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color w:val="000000" w:themeColor="text1"/>
          <w:sz w:val="36"/>
          <w:szCs w:val="36"/>
          <w14:textFill>
            <w14:solidFill>
              <w14:schemeClr w14:val="tx1"/>
            </w14:solidFill>
          </w14:textFill>
        </w:rPr>
      </w:pPr>
      <w:bookmarkStart w:id="0" w:name="_Hlk57883707"/>
      <w:bookmarkStart w:id="6" w:name="_GoBack"/>
    </w:p>
    <w:bookmarkEnd w:id="0"/>
    <w:p>
      <w:pPr>
        <w:adjustRightInd w:val="0"/>
        <w:snapToGrid w:val="0"/>
        <w:spacing w:line="288" w:lineRule="auto"/>
        <w:jc w:val="center"/>
        <w:rPr>
          <w:rFonts w:hint="eastAsia" w:ascii="楷体_GB2312" w:eastAsia="楷体_GB2312"/>
          <w:color w:val="000000" w:themeColor="text1"/>
          <w:sz w:val="36"/>
          <w:szCs w:val="36"/>
          <w:lang w:eastAsia="zh-CN"/>
          <w14:textFill>
            <w14:solidFill>
              <w14:schemeClr w14:val="tx1"/>
            </w14:solidFill>
          </w14:textFill>
        </w:rPr>
      </w:pPr>
      <w:r>
        <w:rPr>
          <w:rFonts w:hint="eastAsia" w:ascii="楷体_GB2312" w:eastAsia="楷体_GB2312"/>
          <w:color w:val="000000" w:themeColor="text1"/>
          <w:sz w:val="36"/>
          <w:szCs w:val="36"/>
          <w:lang w:eastAsia="zh-CN"/>
          <w14:textFill>
            <w14:solidFill>
              <w14:schemeClr w14:val="tx1"/>
            </w14:solidFill>
          </w14:textFill>
        </w:rPr>
        <w:drawing>
          <wp:anchor distT="0" distB="0" distL="114300" distR="114300" simplePos="0" relativeHeight="251663360" behindDoc="1" locked="0" layoutInCell="1" allowOverlap="1">
            <wp:simplePos x="0" y="0"/>
            <wp:positionH relativeFrom="column">
              <wp:posOffset>-972185</wp:posOffset>
            </wp:positionH>
            <wp:positionV relativeFrom="paragraph">
              <wp:posOffset>-1382395</wp:posOffset>
            </wp:positionV>
            <wp:extent cx="7560310" cy="10705465"/>
            <wp:effectExtent l="0" t="0" r="2540" b="635"/>
            <wp:wrapNone/>
            <wp:docPr id="4" name="图片 4" descr="58944c4566ba05b29ec1f6a6d7286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8944c4566ba05b29ec1f6a6d7286b9"/>
                    <pic:cNvPicPr>
                      <a:picLocks noChangeAspect="1"/>
                    </pic:cNvPicPr>
                  </pic:nvPicPr>
                  <pic:blipFill>
                    <a:blip r:embed="rId7"/>
                    <a:stretch>
                      <a:fillRect/>
                    </a:stretch>
                  </pic:blipFill>
                  <pic:spPr>
                    <a:xfrm>
                      <a:off x="0" y="0"/>
                      <a:ext cx="7560310" cy="10705465"/>
                    </a:xfrm>
                    <a:prstGeom prst="rect">
                      <a:avLst/>
                    </a:prstGeom>
                  </pic:spPr>
                </pic:pic>
              </a:graphicData>
            </a:graphic>
          </wp:anchor>
        </w:drawing>
      </w:r>
    </w:p>
    <w:p>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numberInDash" w:start="21"/>
          <w:cols w:space="720" w:num="1"/>
          <w:docGrid w:linePitch="312" w:charSpace="0"/>
        </w:sectPr>
      </w:pPr>
    </w:p>
    <w:p>
      <w:pPr>
        <w:pStyle w:val="19"/>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宋体"/>
          <w:snapToGrid w:val="0"/>
          <w:color w:val="000000" w:themeColor="text1"/>
          <w:sz w:val="30"/>
          <w:szCs w:val="30"/>
          <w14:textFill>
            <w14:solidFill>
              <w14:schemeClr w14:val="tx1"/>
            </w14:solidFill>
          </w14:textFill>
        </w:rPr>
        <w:t>一、建设项目基本情况</w:t>
      </w:r>
    </w:p>
    <w:tbl>
      <w:tblPr>
        <w:tblStyle w:val="22"/>
        <w:tblW w:w="9039" w:type="dxa"/>
        <w:tblInd w:w="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14"/>
        <w:gridCol w:w="2097"/>
        <w:gridCol w:w="158"/>
        <w:gridCol w:w="1968"/>
        <w:gridCol w:w="142"/>
        <w:gridCol w:w="2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 w:hRule="atLeast"/>
        </w:trPr>
        <w:tc>
          <w:tcPr>
            <w:tcW w:w="2014"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rFonts w:hAnsi="宋体" w:eastAsia="宋体"/>
                <w:color w:val="000000" w:themeColor="text1"/>
                <w:sz w:val="24"/>
                <w14:textFill>
                  <w14:solidFill>
                    <w14:schemeClr w14:val="tx1"/>
                  </w14:solidFill>
                </w14:textFill>
              </w:rPr>
              <w:t>建设项目名称</w:t>
            </w:r>
          </w:p>
        </w:tc>
        <w:tc>
          <w:tcPr>
            <w:tcW w:w="7025" w:type="dxa"/>
            <w:gridSpan w:val="5"/>
            <w:vAlign w:val="center"/>
          </w:tcPr>
          <w:p>
            <w:pPr>
              <w:adjustRightInd w:val="0"/>
              <w:snapToGrid w:val="0"/>
              <w:jc w:val="center"/>
              <w:rPr>
                <w:rFonts w:hint="eastAsia" w:eastAsia="宋体"/>
                <w:color w:val="000000" w:themeColor="text1"/>
                <w:sz w:val="24"/>
                <w:lang w:eastAsia="zh-CN"/>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陇县城乡一体化供水工程项目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014"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rFonts w:hAnsi="宋体" w:eastAsia="宋体"/>
                <w:color w:val="000000" w:themeColor="text1"/>
                <w:sz w:val="24"/>
                <w14:textFill>
                  <w14:solidFill>
                    <w14:schemeClr w14:val="tx1"/>
                  </w14:solidFill>
                </w14:textFill>
              </w:rPr>
              <w:t>项目代码</w:t>
            </w:r>
          </w:p>
        </w:tc>
        <w:tc>
          <w:tcPr>
            <w:tcW w:w="7025" w:type="dxa"/>
            <w:gridSpan w:val="5"/>
            <w:vAlign w:val="center"/>
          </w:tcPr>
          <w:p>
            <w:pPr>
              <w:adjustRightInd w:val="0"/>
              <w:snapToGrid w:val="0"/>
              <w:jc w:val="center"/>
              <w:rPr>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2202-610327-04-01-354062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014"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rFonts w:hAnsi="宋体" w:eastAsia="宋体"/>
                <w:color w:val="000000" w:themeColor="text1"/>
                <w:sz w:val="24"/>
                <w14:textFill>
                  <w14:solidFill>
                    <w14:schemeClr w14:val="tx1"/>
                  </w14:solidFill>
                </w14:textFill>
              </w:rPr>
              <w:t>建设单位联系人</w:t>
            </w:r>
          </w:p>
        </w:tc>
        <w:tc>
          <w:tcPr>
            <w:tcW w:w="2255" w:type="dxa"/>
            <w:gridSpan w:val="2"/>
            <w:vAlign w:val="center"/>
          </w:tcPr>
          <w:p>
            <w:pPr>
              <w:adjustRightInd w:val="0"/>
              <w:snapToGrid w:val="0"/>
              <w:jc w:val="center"/>
              <w:rPr>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张强</w:t>
            </w:r>
          </w:p>
        </w:tc>
        <w:tc>
          <w:tcPr>
            <w:tcW w:w="2110" w:type="dxa"/>
            <w:gridSpan w:val="2"/>
            <w:vAlign w:val="center"/>
          </w:tcPr>
          <w:p>
            <w:pPr>
              <w:adjustRightInd w:val="0"/>
              <w:snapToGrid w:val="0"/>
              <w:jc w:val="center"/>
              <w:rPr>
                <w:color w:val="000000" w:themeColor="text1"/>
                <w:sz w:val="24"/>
                <w14:textFill>
                  <w14:solidFill>
                    <w14:schemeClr w14:val="tx1"/>
                  </w14:solidFill>
                </w14:textFill>
              </w:rPr>
            </w:pPr>
            <w:r>
              <w:rPr>
                <w:rFonts w:hAnsi="宋体" w:eastAsia="宋体"/>
                <w:color w:val="000000" w:themeColor="text1"/>
                <w:sz w:val="24"/>
                <w14:textFill>
                  <w14:solidFill>
                    <w14:schemeClr w14:val="tx1"/>
                  </w14:solidFill>
                </w14:textFill>
              </w:rPr>
              <w:t>联系方式</w:t>
            </w:r>
          </w:p>
        </w:tc>
        <w:tc>
          <w:tcPr>
            <w:tcW w:w="2660" w:type="dxa"/>
            <w:vAlign w:val="center"/>
          </w:tcPr>
          <w:p>
            <w:pPr>
              <w:adjustRightInd w:val="0"/>
              <w:snapToGrid w:val="0"/>
              <w:jc w:val="center"/>
              <w:rPr>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13571174575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014"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rFonts w:hAnsi="宋体" w:eastAsia="宋体"/>
                <w:color w:val="000000" w:themeColor="text1"/>
                <w:sz w:val="24"/>
                <w14:textFill>
                  <w14:solidFill>
                    <w14:schemeClr w14:val="tx1"/>
                  </w14:solidFill>
                </w14:textFill>
              </w:rPr>
              <w:t>建设地点</w:t>
            </w:r>
          </w:p>
        </w:tc>
        <w:tc>
          <w:tcPr>
            <w:tcW w:w="7025" w:type="dxa"/>
            <w:gridSpan w:val="5"/>
            <w:vAlign w:val="center"/>
          </w:tcPr>
          <w:p>
            <w:pPr>
              <w:adjustRightInd w:val="0"/>
              <w:snapToGrid w:val="0"/>
              <w:jc w:val="both"/>
              <w:rPr>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陕西省宝鸡市陇县温水镇、曹家湾镇、天成镇、城关镇</w:t>
            </w:r>
            <w:r>
              <w:rPr>
                <w:rFonts w:hint="eastAsia" w:eastAsia="宋体" w:cs="Times New Roman"/>
                <w:color w:val="000000" w:themeColor="text1"/>
                <w:sz w:val="24"/>
                <w:szCs w:val="24"/>
                <w:lang w:eastAsia="zh-CN"/>
                <w14:textFill>
                  <w14:solidFill>
                    <w14:schemeClr w14:val="tx1"/>
                  </w14:solidFill>
                </w14:textFill>
              </w:rPr>
              <w:t>（</w:t>
            </w:r>
            <w:r>
              <w:rPr>
                <w:rFonts w:hint="eastAsia" w:eastAsia="宋体" w:cs="Times New Roman"/>
                <w:color w:val="000000" w:themeColor="text1"/>
                <w:sz w:val="24"/>
                <w:szCs w:val="24"/>
                <w:lang w:val="en-US" w:eastAsia="zh-CN"/>
                <w14:textFill>
                  <w14:solidFill>
                    <w14:schemeClr w14:val="tx1"/>
                  </w14:solidFill>
                </w14:textFill>
              </w:rPr>
              <w:t>含县城区</w:t>
            </w:r>
            <w:r>
              <w:rPr>
                <w:rFonts w:hint="eastAsia"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、东南镇、东风镇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88" w:hRule="atLeast"/>
        </w:trPr>
        <w:tc>
          <w:tcPr>
            <w:tcW w:w="2014"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rFonts w:hAnsi="宋体" w:eastAsia="宋体"/>
                <w:color w:val="000000" w:themeColor="text1"/>
                <w:sz w:val="24"/>
                <w14:textFill>
                  <w14:solidFill>
                    <w14:schemeClr w14:val="tx1"/>
                  </w14:solidFill>
                </w14:textFill>
              </w:rPr>
              <w:t>地理坐标</w:t>
            </w:r>
          </w:p>
        </w:tc>
        <w:tc>
          <w:tcPr>
            <w:tcW w:w="7025" w:type="dxa"/>
            <w:gridSpan w:val="5"/>
            <w:vAlign w:val="center"/>
          </w:tcPr>
          <w:p>
            <w:pPr>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取水点：</w:t>
            </w:r>
            <w:r>
              <w:rPr>
                <w:rFonts w:hint="default" w:ascii="Times New Roman" w:hAnsi="Times New Roman" w:eastAsia="宋体" w:cs="Times New Roman"/>
                <w:color w:val="000000" w:themeColor="text1"/>
                <w:sz w:val="24"/>
                <w:szCs w:val="24"/>
                <w:u w:val="single"/>
                <w14:textFill>
                  <w14:solidFill>
                    <w14:schemeClr w14:val="tx1"/>
                  </w14:solidFill>
                </w14:textFill>
              </w:rPr>
              <w:t>106</w:t>
            </w:r>
            <w:r>
              <w:rPr>
                <w:rFonts w:hint="default" w:ascii="Times New Roman" w:hAnsi="Times New Roman" w:eastAsia="宋体" w:cs="Times New Roman"/>
                <w:color w:val="000000" w:themeColor="text1"/>
                <w:sz w:val="24"/>
                <w:szCs w:val="24"/>
                <w14:textFill>
                  <w14:solidFill>
                    <w14:schemeClr w14:val="tx1"/>
                  </w14:solidFill>
                </w14:textFill>
              </w:rPr>
              <w:t>度</w:t>
            </w:r>
            <w:r>
              <w:rPr>
                <w:rFonts w:hint="default" w:ascii="Times New Roman" w:hAnsi="Times New Roman" w:eastAsia="宋体" w:cs="Times New Roman"/>
                <w:color w:val="000000" w:themeColor="text1"/>
                <w:sz w:val="24"/>
                <w:szCs w:val="24"/>
                <w:u w:val="single"/>
                <w14:textFill>
                  <w14:solidFill>
                    <w14:schemeClr w14:val="tx1"/>
                  </w14:solidFill>
                </w14:textFill>
              </w:rPr>
              <w:t>42</w:t>
            </w:r>
            <w:r>
              <w:rPr>
                <w:rFonts w:hint="default" w:ascii="Times New Roman" w:hAnsi="Times New Roman" w:eastAsia="宋体" w:cs="Times New Roman"/>
                <w:color w:val="000000" w:themeColor="text1"/>
                <w:sz w:val="24"/>
                <w:szCs w:val="24"/>
                <w14:textFill>
                  <w14:solidFill>
                    <w14:schemeClr w14:val="tx1"/>
                  </w14:solidFill>
                </w14:textFill>
              </w:rPr>
              <w:t>分</w:t>
            </w:r>
            <w:r>
              <w:rPr>
                <w:rFonts w:hint="default" w:ascii="Times New Roman" w:hAnsi="Times New Roman" w:eastAsia="宋体" w:cs="Times New Roman"/>
                <w:color w:val="000000" w:themeColor="text1"/>
                <w:sz w:val="24"/>
                <w:szCs w:val="24"/>
                <w:u w:val="single"/>
                <w14:textFill>
                  <w14:solidFill>
                    <w14:schemeClr w14:val="tx1"/>
                  </w14:solidFill>
                </w14:textFill>
              </w:rPr>
              <w:t>25.922</w:t>
            </w:r>
            <w:r>
              <w:rPr>
                <w:rFonts w:hint="default" w:ascii="Times New Roman" w:hAnsi="Times New Roman" w:eastAsia="宋体" w:cs="Times New Roman"/>
                <w:color w:val="000000" w:themeColor="text1"/>
                <w:sz w:val="24"/>
                <w:szCs w:val="24"/>
                <w14:textFill>
                  <w14:solidFill>
                    <w14:schemeClr w14:val="tx1"/>
                  </w14:solidFill>
                </w14:textFill>
              </w:rPr>
              <w:t>秒，</w:t>
            </w:r>
            <w:r>
              <w:rPr>
                <w:rFonts w:hint="default" w:ascii="Times New Roman" w:hAnsi="Times New Roman" w:eastAsia="宋体" w:cs="Times New Roman"/>
                <w:color w:val="000000" w:themeColor="text1"/>
                <w:sz w:val="24"/>
                <w:szCs w:val="24"/>
                <w:u w:val="single"/>
                <w14:textFill>
                  <w14:solidFill>
                    <w14:schemeClr w14:val="tx1"/>
                  </w14:solidFill>
                </w14:textFill>
              </w:rPr>
              <w:t>34</w:t>
            </w:r>
            <w:r>
              <w:rPr>
                <w:rFonts w:hint="default" w:ascii="Times New Roman" w:hAnsi="Times New Roman" w:eastAsia="宋体" w:cs="Times New Roman"/>
                <w:color w:val="000000" w:themeColor="text1"/>
                <w:sz w:val="24"/>
                <w:szCs w:val="24"/>
                <w14:textFill>
                  <w14:solidFill>
                    <w14:schemeClr w14:val="tx1"/>
                  </w14:solidFill>
                </w14:textFill>
              </w:rPr>
              <w:t>度</w:t>
            </w:r>
            <w:r>
              <w:rPr>
                <w:rFonts w:hint="default" w:ascii="Times New Roman" w:hAnsi="Times New Roman" w:eastAsia="宋体" w:cs="Times New Roman"/>
                <w:color w:val="000000" w:themeColor="text1"/>
                <w:sz w:val="24"/>
                <w:szCs w:val="24"/>
                <w:u w:val="single"/>
                <w14:textFill>
                  <w14:solidFill>
                    <w14:schemeClr w14:val="tx1"/>
                  </w14:solidFill>
                </w14:textFill>
              </w:rPr>
              <w:t>55</w:t>
            </w:r>
            <w:r>
              <w:rPr>
                <w:rFonts w:hint="default" w:ascii="Times New Roman" w:hAnsi="Times New Roman" w:eastAsia="宋体" w:cs="Times New Roman"/>
                <w:color w:val="000000" w:themeColor="text1"/>
                <w:sz w:val="24"/>
                <w:szCs w:val="24"/>
                <w14:textFill>
                  <w14:solidFill>
                    <w14:schemeClr w14:val="tx1"/>
                  </w14:solidFill>
                </w14:textFill>
              </w:rPr>
              <w:t>分</w:t>
            </w:r>
            <w:r>
              <w:rPr>
                <w:rFonts w:hint="default" w:ascii="Times New Roman" w:hAnsi="Times New Roman" w:eastAsia="宋体" w:cs="Times New Roman"/>
                <w:color w:val="000000" w:themeColor="text1"/>
                <w:sz w:val="24"/>
                <w:szCs w:val="24"/>
                <w:u w:val="single"/>
                <w14:textFill>
                  <w14:solidFill>
                    <w14:schemeClr w14:val="tx1"/>
                  </w14:solidFill>
                </w14:textFill>
              </w:rPr>
              <w:t>34.041</w:t>
            </w:r>
            <w:r>
              <w:rPr>
                <w:rFonts w:hint="default" w:ascii="Times New Roman" w:hAnsi="Times New Roman" w:eastAsia="宋体" w:cs="Times New Roman"/>
                <w:color w:val="000000" w:themeColor="text1"/>
                <w:sz w:val="24"/>
                <w:szCs w:val="24"/>
                <w14:textFill>
                  <w14:solidFill>
                    <w14:schemeClr w14:val="tx1"/>
                  </w14:solidFill>
                </w14:textFill>
              </w:rPr>
              <w:t>秒；</w:t>
            </w:r>
          </w:p>
          <w:p>
            <w:pPr>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高位水池：</w:t>
            </w:r>
            <w:r>
              <w:rPr>
                <w:rFonts w:hint="default" w:ascii="Times New Roman" w:hAnsi="Times New Roman" w:eastAsia="宋体" w:cs="Times New Roman"/>
                <w:color w:val="000000" w:themeColor="text1"/>
                <w:sz w:val="24"/>
                <w:szCs w:val="24"/>
                <w:u w:val="single"/>
                <w14:textFill>
                  <w14:solidFill>
                    <w14:schemeClr w14:val="tx1"/>
                  </w14:solidFill>
                </w14:textFill>
              </w:rPr>
              <w:t>106</w:t>
            </w:r>
            <w:r>
              <w:rPr>
                <w:rFonts w:hint="default" w:ascii="Times New Roman" w:hAnsi="Times New Roman" w:eastAsia="宋体" w:cs="Times New Roman"/>
                <w:color w:val="000000" w:themeColor="text1"/>
                <w:sz w:val="24"/>
                <w:szCs w:val="24"/>
                <w14:textFill>
                  <w14:solidFill>
                    <w14:schemeClr w14:val="tx1"/>
                  </w14:solidFill>
                </w14:textFill>
              </w:rPr>
              <w:t>度</w:t>
            </w:r>
            <w:r>
              <w:rPr>
                <w:rFonts w:hint="default" w:ascii="Times New Roman" w:hAnsi="Times New Roman" w:eastAsia="宋体" w:cs="Times New Roman"/>
                <w:color w:val="000000" w:themeColor="text1"/>
                <w:sz w:val="24"/>
                <w:szCs w:val="24"/>
                <w:u w:val="single"/>
                <w14:textFill>
                  <w14:solidFill>
                    <w14:schemeClr w14:val="tx1"/>
                  </w14:solidFill>
                </w14:textFill>
              </w:rPr>
              <w:t>42</w:t>
            </w:r>
            <w:r>
              <w:rPr>
                <w:rFonts w:hint="default" w:ascii="Times New Roman" w:hAnsi="Times New Roman" w:eastAsia="宋体" w:cs="Times New Roman"/>
                <w:color w:val="000000" w:themeColor="text1"/>
                <w:sz w:val="24"/>
                <w:szCs w:val="24"/>
                <w14:textFill>
                  <w14:solidFill>
                    <w14:schemeClr w14:val="tx1"/>
                  </w14:solidFill>
                </w14:textFill>
              </w:rPr>
              <w:t>分</w:t>
            </w:r>
            <w:r>
              <w:rPr>
                <w:rFonts w:hint="default" w:ascii="Times New Roman" w:hAnsi="Times New Roman" w:eastAsia="宋体" w:cs="Times New Roman"/>
                <w:color w:val="000000" w:themeColor="text1"/>
                <w:sz w:val="24"/>
                <w:szCs w:val="24"/>
                <w:u w:val="single"/>
                <w14:textFill>
                  <w14:solidFill>
                    <w14:schemeClr w14:val="tx1"/>
                  </w14:solidFill>
                </w14:textFill>
              </w:rPr>
              <w:t>32.871</w:t>
            </w:r>
            <w:r>
              <w:rPr>
                <w:rFonts w:hint="default" w:ascii="Times New Roman" w:hAnsi="Times New Roman" w:eastAsia="宋体" w:cs="Times New Roman"/>
                <w:color w:val="000000" w:themeColor="text1"/>
                <w:sz w:val="24"/>
                <w:szCs w:val="24"/>
                <w14:textFill>
                  <w14:solidFill>
                    <w14:schemeClr w14:val="tx1"/>
                  </w14:solidFill>
                </w14:textFill>
              </w:rPr>
              <w:t>秒，</w:t>
            </w:r>
            <w:r>
              <w:rPr>
                <w:rFonts w:hint="default" w:ascii="Times New Roman" w:hAnsi="Times New Roman" w:eastAsia="宋体" w:cs="Times New Roman"/>
                <w:color w:val="000000" w:themeColor="text1"/>
                <w:sz w:val="24"/>
                <w:szCs w:val="24"/>
                <w:u w:val="single"/>
                <w14:textFill>
                  <w14:solidFill>
                    <w14:schemeClr w14:val="tx1"/>
                  </w14:solidFill>
                </w14:textFill>
              </w:rPr>
              <w:t>34</w:t>
            </w:r>
            <w:r>
              <w:rPr>
                <w:rFonts w:hint="default" w:ascii="Times New Roman" w:hAnsi="Times New Roman" w:eastAsia="宋体" w:cs="Times New Roman"/>
                <w:color w:val="000000" w:themeColor="text1"/>
                <w:sz w:val="24"/>
                <w:szCs w:val="24"/>
                <w14:textFill>
                  <w14:solidFill>
                    <w14:schemeClr w14:val="tx1"/>
                  </w14:solidFill>
                </w14:textFill>
              </w:rPr>
              <w:t>度</w:t>
            </w:r>
            <w:r>
              <w:rPr>
                <w:rFonts w:hint="default" w:ascii="Times New Roman" w:hAnsi="Times New Roman" w:eastAsia="宋体" w:cs="Times New Roman"/>
                <w:color w:val="000000" w:themeColor="text1"/>
                <w:sz w:val="24"/>
                <w:szCs w:val="24"/>
                <w:u w:val="single"/>
                <w14:textFill>
                  <w14:solidFill>
                    <w14:schemeClr w14:val="tx1"/>
                  </w14:solidFill>
                </w14:textFill>
              </w:rPr>
              <w:t>55</w:t>
            </w:r>
            <w:r>
              <w:rPr>
                <w:rFonts w:hint="default" w:ascii="Times New Roman" w:hAnsi="Times New Roman" w:eastAsia="宋体" w:cs="Times New Roman"/>
                <w:color w:val="000000" w:themeColor="text1"/>
                <w:sz w:val="24"/>
                <w:szCs w:val="24"/>
                <w14:textFill>
                  <w14:solidFill>
                    <w14:schemeClr w14:val="tx1"/>
                  </w14:solidFill>
                </w14:textFill>
              </w:rPr>
              <w:t>分</w:t>
            </w:r>
            <w:r>
              <w:rPr>
                <w:rFonts w:hint="default" w:ascii="Times New Roman" w:hAnsi="Times New Roman" w:eastAsia="宋体" w:cs="Times New Roman"/>
                <w:color w:val="000000" w:themeColor="text1"/>
                <w:sz w:val="24"/>
                <w:szCs w:val="24"/>
                <w:u w:val="single"/>
                <w14:textFill>
                  <w14:solidFill>
                    <w14:schemeClr w14:val="tx1"/>
                  </w14:solidFill>
                </w14:textFill>
              </w:rPr>
              <w:t>34.052</w:t>
            </w:r>
            <w:r>
              <w:rPr>
                <w:rFonts w:hint="default" w:ascii="Times New Roman" w:hAnsi="Times New Roman" w:eastAsia="宋体" w:cs="Times New Roman"/>
                <w:color w:val="000000" w:themeColor="text1"/>
                <w:sz w:val="24"/>
                <w:szCs w:val="24"/>
                <w14:textFill>
                  <w14:solidFill>
                    <w14:schemeClr w14:val="tx1"/>
                  </w14:solidFill>
                </w14:textFill>
              </w:rPr>
              <w:t>秒；</w:t>
            </w:r>
          </w:p>
          <w:p>
            <w:pPr>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净水厂：</w:t>
            </w:r>
            <w:r>
              <w:rPr>
                <w:rFonts w:hint="default" w:ascii="Times New Roman" w:hAnsi="Times New Roman" w:eastAsia="宋体" w:cs="Times New Roman"/>
                <w:color w:val="000000" w:themeColor="text1"/>
                <w:sz w:val="24"/>
                <w:szCs w:val="24"/>
                <w:u w:val="single"/>
                <w14:textFill>
                  <w14:solidFill>
                    <w14:schemeClr w14:val="tx1"/>
                  </w14:solidFill>
                </w14:textFill>
              </w:rPr>
              <w:t>106</w:t>
            </w:r>
            <w:r>
              <w:rPr>
                <w:rFonts w:hint="default" w:ascii="Times New Roman" w:hAnsi="Times New Roman" w:eastAsia="宋体" w:cs="Times New Roman"/>
                <w:color w:val="000000" w:themeColor="text1"/>
                <w:sz w:val="24"/>
                <w:szCs w:val="24"/>
                <w14:textFill>
                  <w14:solidFill>
                    <w14:schemeClr w14:val="tx1"/>
                  </w14:solidFill>
                </w14:textFill>
              </w:rPr>
              <w:t>度</w:t>
            </w:r>
            <w:r>
              <w:rPr>
                <w:rFonts w:hint="default" w:ascii="Times New Roman" w:hAnsi="Times New Roman" w:eastAsia="宋体" w:cs="Times New Roman"/>
                <w:color w:val="000000" w:themeColor="text1"/>
                <w:sz w:val="24"/>
                <w:szCs w:val="24"/>
                <w:u w:val="single"/>
                <w14:textFill>
                  <w14:solidFill>
                    <w14:schemeClr w14:val="tx1"/>
                  </w14:solidFill>
                </w14:textFill>
              </w:rPr>
              <w:t>46</w:t>
            </w:r>
            <w:r>
              <w:rPr>
                <w:rFonts w:hint="default" w:ascii="Times New Roman" w:hAnsi="Times New Roman" w:eastAsia="宋体" w:cs="Times New Roman"/>
                <w:color w:val="000000" w:themeColor="text1"/>
                <w:sz w:val="24"/>
                <w:szCs w:val="24"/>
                <w14:textFill>
                  <w14:solidFill>
                    <w14:schemeClr w14:val="tx1"/>
                  </w14:solidFill>
                </w14:textFill>
              </w:rPr>
              <w:t>分</w:t>
            </w:r>
            <w:r>
              <w:rPr>
                <w:rFonts w:hint="default" w:ascii="Times New Roman" w:hAnsi="Times New Roman" w:eastAsia="宋体" w:cs="Times New Roman"/>
                <w:color w:val="000000" w:themeColor="text1"/>
                <w:sz w:val="24"/>
                <w:szCs w:val="24"/>
                <w:u w:val="single"/>
                <w14:textFill>
                  <w14:solidFill>
                    <w14:schemeClr w14:val="tx1"/>
                  </w14:solidFill>
                </w14:textFill>
              </w:rPr>
              <w:t>31.962</w:t>
            </w:r>
            <w:r>
              <w:rPr>
                <w:rFonts w:hint="default" w:ascii="Times New Roman" w:hAnsi="Times New Roman" w:eastAsia="宋体" w:cs="Times New Roman"/>
                <w:color w:val="000000" w:themeColor="text1"/>
                <w:sz w:val="24"/>
                <w:szCs w:val="24"/>
                <w14:textFill>
                  <w14:solidFill>
                    <w14:schemeClr w14:val="tx1"/>
                  </w14:solidFill>
                </w14:textFill>
              </w:rPr>
              <w:t>秒，</w:t>
            </w:r>
            <w:r>
              <w:rPr>
                <w:rFonts w:hint="default" w:ascii="Times New Roman" w:hAnsi="Times New Roman" w:eastAsia="宋体" w:cs="Times New Roman"/>
                <w:color w:val="000000" w:themeColor="text1"/>
                <w:sz w:val="24"/>
                <w:szCs w:val="24"/>
                <w:u w:val="single"/>
                <w14:textFill>
                  <w14:solidFill>
                    <w14:schemeClr w14:val="tx1"/>
                  </w14:solidFill>
                </w14:textFill>
              </w:rPr>
              <w:t>34</w:t>
            </w:r>
            <w:r>
              <w:rPr>
                <w:rFonts w:hint="default" w:ascii="Times New Roman" w:hAnsi="Times New Roman" w:eastAsia="宋体" w:cs="Times New Roman"/>
                <w:color w:val="000000" w:themeColor="text1"/>
                <w:sz w:val="24"/>
                <w:szCs w:val="24"/>
                <w14:textFill>
                  <w14:solidFill>
                    <w14:schemeClr w14:val="tx1"/>
                  </w14:solidFill>
                </w14:textFill>
              </w:rPr>
              <w:t>度</w:t>
            </w:r>
            <w:r>
              <w:rPr>
                <w:rFonts w:hint="default" w:ascii="Times New Roman" w:hAnsi="Times New Roman" w:eastAsia="宋体" w:cs="Times New Roman"/>
                <w:color w:val="000000" w:themeColor="text1"/>
                <w:sz w:val="24"/>
                <w:szCs w:val="24"/>
                <w:u w:val="single"/>
                <w14:textFill>
                  <w14:solidFill>
                    <w14:schemeClr w14:val="tx1"/>
                  </w14:solidFill>
                </w14:textFill>
              </w:rPr>
              <w:t>52</w:t>
            </w:r>
            <w:r>
              <w:rPr>
                <w:rFonts w:hint="default" w:ascii="Times New Roman" w:hAnsi="Times New Roman" w:eastAsia="宋体" w:cs="Times New Roman"/>
                <w:color w:val="000000" w:themeColor="text1"/>
                <w:sz w:val="24"/>
                <w:szCs w:val="24"/>
                <w14:textFill>
                  <w14:solidFill>
                    <w14:schemeClr w14:val="tx1"/>
                  </w14:solidFill>
                </w14:textFill>
              </w:rPr>
              <w:t>分</w:t>
            </w:r>
            <w:r>
              <w:rPr>
                <w:rFonts w:hint="default" w:ascii="Times New Roman" w:hAnsi="Times New Roman" w:eastAsia="宋体" w:cs="Times New Roman"/>
                <w:color w:val="000000" w:themeColor="text1"/>
                <w:sz w:val="24"/>
                <w:szCs w:val="24"/>
                <w:u w:val="single"/>
                <w14:textFill>
                  <w14:solidFill>
                    <w14:schemeClr w14:val="tx1"/>
                  </w14:solidFill>
                </w14:textFill>
              </w:rPr>
              <w:t>41.987</w:t>
            </w:r>
            <w:r>
              <w:rPr>
                <w:rFonts w:hint="default" w:ascii="Times New Roman" w:hAnsi="Times New Roman" w:eastAsia="宋体" w:cs="Times New Roman"/>
                <w:color w:val="000000" w:themeColor="text1"/>
                <w:sz w:val="24"/>
                <w:szCs w:val="24"/>
                <w14:textFill>
                  <w14:solidFill>
                    <w14:schemeClr w14:val="tx1"/>
                  </w14:solidFill>
                </w14:textFill>
              </w:rPr>
              <w:t>秒；</w:t>
            </w:r>
          </w:p>
          <w:p>
            <w:pPr>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净水厂配水工程起点：</w:t>
            </w:r>
            <w:r>
              <w:rPr>
                <w:rFonts w:hint="default" w:ascii="Times New Roman" w:hAnsi="Times New Roman" w:eastAsia="宋体" w:cs="Times New Roman"/>
                <w:color w:val="000000" w:themeColor="text1"/>
                <w:sz w:val="24"/>
                <w:szCs w:val="24"/>
                <w:u w:val="single"/>
                <w14:textFill>
                  <w14:solidFill>
                    <w14:schemeClr w14:val="tx1"/>
                  </w14:solidFill>
                </w14:textFill>
              </w:rPr>
              <w:t>106</w:t>
            </w:r>
            <w:r>
              <w:rPr>
                <w:rFonts w:hint="default" w:ascii="Times New Roman" w:hAnsi="Times New Roman" w:eastAsia="宋体" w:cs="Times New Roman"/>
                <w:color w:val="000000" w:themeColor="text1"/>
                <w:sz w:val="24"/>
                <w:szCs w:val="24"/>
                <w14:textFill>
                  <w14:solidFill>
                    <w14:schemeClr w14:val="tx1"/>
                  </w14:solidFill>
                </w14:textFill>
              </w:rPr>
              <w:t>度</w:t>
            </w:r>
            <w:r>
              <w:rPr>
                <w:rFonts w:hint="default" w:ascii="Times New Roman" w:hAnsi="Times New Roman" w:eastAsia="宋体" w:cs="Times New Roman"/>
                <w:color w:val="000000" w:themeColor="text1"/>
                <w:sz w:val="24"/>
                <w:szCs w:val="24"/>
                <w:u w:val="single"/>
                <w14:textFill>
                  <w14:solidFill>
                    <w14:schemeClr w14:val="tx1"/>
                  </w14:solidFill>
                </w14:textFill>
              </w:rPr>
              <w:t>42</w:t>
            </w:r>
            <w:r>
              <w:rPr>
                <w:rFonts w:hint="default" w:ascii="Times New Roman" w:hAnsi="Times New Roman" w:eastAsia="宋体" w:cs="Times New Roman"/>
                <w:color w:val="000000" w:themeColor="text1"/>
                <w:sz w:val="24"/>
                <w:szCs w:val="24"/>
                <w14:textFill>
                  <w14:solidFill>
                    <w14:schemeClr w14:val="tx1"/>
                  </w14:solidFill>
                </w14:textFill>
              </w:rPr>
              <w:t>分</w:t>
            </w:r>
            <w:r>
              <w:rPr>
                <w:rFonts w:hint="default" w:ascii="Times New Roman" w:hAnsi="Times New Roman" w:eastAsia="宋体" w:cs="Times New Roman"/>
                <w:color w:val="000000" w:themeColor="text1"/>
                <w:sz w:val="24"/>
                <w:szCs w:val="24"/>
                <w:u w:val="single"/>
                <w14:textFill>
                  <w14:solidFill>
                    <w14:schemeClr w14:val="tx1"/>
                  </w14:solidFill>
                </w14:textFill>
              </w:rPr>
              <w:t>32.87</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t>秒，</w:t>
            </w:r>
            <w:r>
              <w:rPr>
                <w:rFonts w:hint="default" w:ascii="Times New Roman" w:hAnsi="Times New Roman" w:eastAsia="宋体" w:cs="Times New Roman"/>
                <w:color w:val="000000" w:themeColor="text1"/>
                <w:sz w:val="24"/>
                <w:szCs w:val="24"/>
                <w:u w:val="single"/>
                <w14:textFill>
                  <w14:solidFill>
                    <w14:schemeClr w14:val="tx1"/>
                  </w14:solidFill>
                </w14:textFill>
              </w:rPr>
              <w:t>34</w:t>
            </w:r>
            <w:r>
              <w:rPr>
                <w:rFonts w:hint="default" w:ascii="Times New Roman" w:hAnsi="Times New Roman" w:eastAsia="宋体" w:cs="Times New Roman"/>
                <w:color w:val="000000" w:themeColor="text1"/>
                <w:sz w:val="24"/>
                <w:szCs w:val="24"/>
                <w14:textFill>
                  <w14:solidFill>
                    <w14:schemeClr w14:val="tx1"/>
                  </w14:solidFill>
                </w14:textFill>
              </w:rPr>
              <w:t>度</w:t>
            </w:r>
            <w:r>
              <w:rPr>
                <w:rFonts w:hint="default" w:ascii="Times New Roman" w:hAnsi="Times New Roman" w:eastAsia="宋体" w:cs="Times New Roman"/>
                <w:color w:val="000000" w:themeColor="text1"/>
                <w:sz w:val="24"/>
                <w:szCs w:val="24"/>
                <w:u w:val="single"/>
                <w14:textFill>
                  <w14:solidFill>
                    <w14:schemeClr w14:val="tx1"/>
                  </w14:solidFill>
                </w14:textFill>
              </w:rPr>
              <w:t>55</w:t>
            </w:r>
            <w:r>
              <w:rPr>
                <w:rFonts w:hint="default" w:ascii="Times New Roman" w:hAnsi="Times New Roman" w:eastAsia="宋体" w:cs="Times New Roman"/>
                <w:color w:val="000000" w:themeColor="text1"/>
                <w:sz w:val="24"/>
                <w:szCs w:val="24"/>
                <w14:textFill>
                  <w14:solidFill>
                    <w14:schemeClr w14:val="tx1"/>
                  </w14:solidFill>
                </w14:textFill>
              </w:rPr>
              <w:t>分</w:t>
            </w:r>
            <w:r>
              <w:rPr>
                <w:rFonts w:hint="default" w:ascii="Times New Roman" w:hAnsi="Times New Roman" w:eastAsia="宋体" w:cs="Times New Roman"/>
                <w:color w:val="000000" w:themeColor="text1"/>
                <w:sz w:val="24"/>
                <w:szCs w:val="24"/>
                <w:u w:val="single"/>
                <w14:textFill>
                  <w14:solidFill>
                    <w14:schemeClr w14:val="tx1"/>
                  </w14:solidFill>
                </w14:textFill>
              </w:rPr>
              <w:t>34.052</w:t>
            </w:r>
            <w:r>
              <w:rPr>
                <w:rFonts w:hint="default" w:ascii="Times New Roman" w:hAnsi="Times New Roman" w:eastAsia="宋体" w:cs="Times New Roman"/>
                <w:color w:val="000000" w:themeColor="text1"/>
                <w:sz w:val="24"/>
                <w:szCs w:val="24"/>
                <w14:textFill>
                  <w14:solidFill>
                    <w14:schemeClr w14:val="tx1"/>
                  </w14:solidFill>
                </w14:textFill>
              </w:rPr>
              <w:t>秒；</w:t>
            </w:r>
          </w:p>
          <w:p>
            <w:pPr>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净水厂配水工程终点：</w:t>
            </w:r>
            <w:r>
              <w:rPr>
                <w:rFonts w:hint="default" w:ascii="Times New Roman" w:hAnsi="Times New Roman" w:eastAsia="宋体" w:cs="Times New Roman"/>
                <w:color w:val="000000" w:themeColor="text1"/>
                <w:sz w:val="24"/>
                <w:szCs w:val="24"/>
                <w:u w:val="single"/>
                <w14:textFill>
                  <w14:solidFill>
                    <w14:schemeClr w14:val="tx1"/>
                  </w14:solidFill>
                </w14:textFill>
              </w:rPr>
              <w:t>106</w:t>
            </w:r>
            <w:r>
              <w:rPr>
                <w:rFonts w:hint="default" w:ascii="Times New Roman" w:hAnsi="Times New Roman" w:eastAsia="宋体" w:cs="Times New Roman"/>
                <w:color w:val="000000" w:themeColor="text1"/>
                <w:sz w:val="24"/>
                <w:szCs w:val="24"/>
                <w14:textFill>
                  <w14:solidFill>
                    <w14:schemeClr w14:val="tx1"/>
                  </w14:solidFill>
                </w14:textFill>
              </w:rPr>
              <w:t>度</w:t>
            </w:r>
            <w:r>
              <w:rPr>
                <w:rFonts w:hint="default" w:ascii="Times New Roman" w:hAnsi="Times New Roman" w:eastAsia="宋体" w:cs="Times New Roman"/>
                <w:color w:val="000000" w:themeColor="text1"/>
                <w:sz w:val="24"/>
                <w:szCs w:val="24"/>
                <w:u w:val="single"/>
                <w14:textFill>
                  <w14:solidFill>
                    <w14:schemeClr w14:val="tx1"/>
                  </w14:solidFill>
                </w14:textFill>
              </w:rPr>
              <w:t>56</w:t>
            </w:r>
            <w:r>
              <w:rPr>
                <w:rFonts w:hint="default" w:ascii="Times New Roman" w:hAnsi="Times New Roman" w:eastAsia="宋体" w:cs="Times New Roman"/>
                <w:color w:val="000000" w:themeColor="text1"/>
                <w:sz w:val="24"/>
                <w:szCs w:val="24"/>
                <w14:textFill>
                  <w14:solidFill>
                    <w14:schemeClr w14:val="tx1"/>
                  </w14:solidFill>
                </w14:textFill>
              </w:rPr>
              <w:t>分</w:t>
            </w:r>
            <w:r>
              <w:rPr>
                <w:rFonts w:hint="default" w:ascii="Times New Roman" w:hAnsi="Times New Roman" w:eastAsia="宋体" w:cs="Times New Roman"/>
                <w:color w:val="000000" w:themeColor="text1"/>
                <w:sz w:val="24"/>
                <w:szCs w:val="24"/>
                <w:u w:val="single"/>
                <w14:textFill>
                  <w14:solidFill>
                    <w14:schemeClr w14:val="tx1"/>
                  </w14:solidFill>
                </w14:textFill>
              </w:rPr>
              <w:t>21.432</w:t>
            </w:r>
            <w:r>
              <w:rPr>
                <w:rFonts w:hint="default" w:ascii="Times New Roman" w:hAnsi="Times New Roman" w:eastAsia="宋体" w:cs="Times New Roman"/>
                <w:color w:val="000000" w:themeColor="text1"/>
                <w:sz w:val="24"/>
                <w:szCs w:val="24"/>
                <w14:textFill>
                  <w14:solidFill>
                    <w14:schemeClr w14:val="tx1"/>
                  </w14:solidFill>
                </w14:textFill>
              </w:rPr>
              <w:t>秒，</w:t>
            </w:r>
            <w:r>
              <w:rPr>
                <w:rFonts w:hint="default" w:ascii="Times New Roman" w:hAnsi="Times New Roman" w:eastAsia="宋体" w:cs="Times New Roman"/>
                <w:color w:val="000000" w:themeColor="text1"/>
                <w:sz w:val="24"/>
                <w:szCs w:val="24"/>
                <w:u w:val="single"/>
                <w14:textFill>
                  <w14:solidFill>
                    <w14:schemeClr w14:val="tx1"/>
                  </w14:solidFill>
                </w14:textFill>
              </w:rPr>
              <w:t>34</w:t>
            </w:r>
            <w:r>
              <w:rPr>
                <w:rFonts w:hint="default" w:ascii="Times New Roman" w:hAnsi="Times New Roman" w:eastAsia="宋体" w:cs="Times New Roman"/>
                <w:color w:val="000000" w:themeColor="text1"/>
                <w:sz w:val="24"/>
                <w:szCs w:val="24"/>
                <w14:textFill>
                  <w14:solidFill>
                    <w14:schemeClr w14:val="tx1"/>
                  </w14:solidFill>
                </w14:textFill>
              </w:rPr>
              <w:t>度</w:t>
            </w:r>
            <w:r>
              <w:rPr>
                <w:rFonts w:hint="default" w:ascii="Times New Roman" w:hAnsi="Times New Roman" w:eastAsia="宋体" w:cs="Times New Roman"/>
                <w:color w:val="000000" w:themeColor="text1"/>
                <w:sz w:val="24"/>
                <w:szCs w:val="24"/>
                <w:u w:val="single"/>
                <w14:textFill>
                  <w14:solidFill>
                    <w14:schemeClr w14:val="tx1"/>
                  </w14:solidFill>
                </w14:textFill>
              </w:rPr>
              <w:t>46</w:t>
            </w:r>
            <w:r>
              <w:rPr>
                <w:rFonts w:hint="default" w:ascii="Times New Roman" w:hAnsi="Times New Roman" w:eastAsia="宋体" w:cs="Times New Roman"/>
                <w:color w:val="000000" w:themeColor="text1"/>
                <w:sz w:val="24"/>
                <w:szCs w:val="24"/>
                <w14:textFill>
                  <w14:solidFill>
                    <w14:schemeClr w14:val="tx1"/>
                  </w14:solidFill>
                </w14:textFill>
              </w:rPr>
              <w:t>分</w:t>
            </w:r>
            <w:r>
              <w:rPr>
                <w:rFonts w:hint="default" w:ascii="Times New Roman" w:hAnsi="Times New Roman" w:eastAsia="宋体" w:cs="Times New Roman"/>
                <w:color w:val="000000" w:themeColor="text1"/>
                <w:sz w:val="24"/>
                <w:szCs w:val="24"/>
                <w:u w:val="single"/>
                <w14:textFill>
                  <w14:solidFill>
                    <w14:schemeClr w14:val="tx1"/>
                  </w14:solidFill>
                </w14:textFill>
              </w:rPr>
              <w:t xml:space="preserve">6.273 </w:t>
            </w:r>
            <w:r>
              <w:rPr>
                <w:rFonts w:hint="default" w:ascii="Times New Roman" w:hAnsi="Times New Roman" w:eastAsia="宋体" w:cs="Times New Roman"/>
                <w:color w:val="000000" w:themeColor="text1"/>
                <w:sz w:val="24"/>
                <w:szCs w:val="24"/>
                <w14:textFill>
                  <w14:solidFill>
                    <w14:schemeClr w14:val="tx1"/>
                  </w14:solidFill>
                </w14:textFill>
              </w:rPr>
              <w:t>秒；</w:t>
            </w:r>
          </w:p>
          <w:p>
            <w:pPr>
              <w:pStyle w:val="3"/>
              <w:spacing w:before="0" w:after="0" w:line="240" w:lineRule="auto"/>
              <w:ind w:left="0" w:leftChars="0" w:firstLine="0" w:firstLineChars="0"/>
              <w:jc w:val="both"/>
              <w:rPr>
                <w:rFonts w:hint="default" w:ascii="Times New Roman" w:hAnsi="Times New Roman"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温河输水工程起点：</w:t>
            </w:r>
            <w:r>
              <w:rPr>
                <w:rFonts w:hint="default" w:ascii="Times New Roman" w:hAnsi="Times New Roman" w:eastAsia="宋体" w:cs="Times New Roman"/>
                <w:b w:val="0"/>
                <w:bCs w:val="0"/>
                <w:color w:val="000000" w:themeColor="text1"/>
                <w:sz w:val="24"/>
                <w:szCs w:val="24"/>
                <w:u w:val="single"/>
                <w14:textFill>
                  <w14:solidFill>
                    <w14:schemeClr w14:val="tx1"/>
                  </w14:solidFill>
                </w14:textFill>
              </w:rPr>
              <w:t>106</w:t>
            </w:r>
            <w:r>
              <w:rPr>
                <w:rFonts w:hint="default" w:ascii="Times New Roman" w:hAnsi="Times New Roman" w:eastAsia="宋体" w:cs="Times New Roman"/>
                <w:b w:val="0"/>
                <w:bCs w:val="0"/>
                <w:color w:val="000000" w:themeColor="text1"/>
                <w:sz w:val="24"/>
                <w:szCs w:val="24"/>
                <w14:textFill>
                  <w14:solidFill>
                    <w14:schemeClr w14:val="tx1"/>
                  </w14:solidFill>
                </w14:textFill>
              </w:rPr>
              <w:t>度</w:t>
            </w:r>
            <w:r>
              <w:rPr>
                <w:rFonts w:hint="default" w:ascii="Times New Roman" w:hAnsi="Times New Roman" w:eastAsia="宋体" w:cs="Times New Roman"/>
                <w:b w:val="0"/>
                <w:bCs w:val="0"/>
                <w:color w:val="000000" w:themeColor="text1"/>
                <w:sz w:val="24"/>
                <w:szCs w:val="24"/>
                <w:u w:val="single"/>
                <w14:textFill>
                  <w14:solidFill>
                    <w14:schemeClr w14:val="tx1"/>
                  </w14:solidFill>
                </w14:textFill>
              </w:rPr>
              <w:t>46</w:t>
            </w:r>
            <w:r>
              <w:rPr>
                <w:rFonts w:hint="default" w:ascii="Times New Roman" w:hAnsi="Times New Roman" w:eastAsia="宋体" w:cs="Times New Roman"/>
                <w:b w:val="0"/>
                <w:bCs w:val="0"/>
                <w:color w:val="000000" w:themeColor="text1"/>
                <w:sz w:val="24"/>
                <w:szCs w:val="24"/>
                <w14:textFill>
                  <w14:solidFill>
                    <w14:schemeClr w14:val="tx1"/>
                  </w14:solidFill>
                </w14:textFill>
              </w:rPr>
              <w:t>分</w:t>
            </w:r>
            <w:r>
              <w:rPr>
                <w:rFonts w:hint="default" w:ascii="Times New Roman" w:hAnsi="Times New Roman" w:eastAsia="宋体" w:cs="Times New Roman"/>
                <w:b w:val="0"/>
                <w:bCs w:val="0"/>
                <w:color w:val="000000" w:themeColor="text1"/>
                <w:sz w:val="24"/>
                <w:szCs w:val="24"/>
                <w:u w:val="single"/>
                <w14:textFill>
                  <w14:solidFill>
                    <w14:schemeClr w14:val="tx1"/>
                  </w14:solidFill>
                </w14:textFill>
              </w:rPr>
              <w:t>30.641</w:t>
            </w:r>
            <w:r>
              <w:rPr>
                <w:rFonts w:hint="default" w:ascii="Times New Roman" w:hAnsi="Times New Roman" w:eastAsia="宋体" w:cs="Times New Roman"/>
                <w:b w:val="0"/>
                <w:bCs w:val="0"/>
                <w:color w:val="000000" w:themeColor="text1"/>
                <w:sz w:val="24"/>
                <w:szCs w:val="24"/>
                <w14:textFill>
                  <w14:solidFill>
                    <w14:schemeClr w14:val="tx1"/>
                  </w14:solidFill>
                </w14:textFill>
              </w:rPr>
              <w:t>秒，</w:t>
            </w:r>
            <w:r>
              <w:rPr>
                <w:rFonts w:hint="default" w:ascii="Times New Roman" w:hAnsi="Times New Roman" w:eastAsia="宋体" w:cs="Times New Roman"/>
                <w:b w:val="0"/>
                <w:bCs w:val="0"/>
                <w:color w:val="000000" w:themeColor="text1"/>
                <w:sz w:val="24"/>
                <w:szCs w:val="24"/>
                <w:u w:val="single"/>
                <w14:textFill>
                  <w14:solidFill>
                    <w14:schemeClr w14:val="tx1"/>
                  </w14:solidFill>
                </w14:textFill>
              </w:rPr>
              <w:t>34</w:t>
            </w:r>
            <w:r>
              <w:rPr>
                <w:rFonts w:hint="default" w:ascii="Times New Roman" w:hAnsi="Times New Roman" w:eastAsia="宋体" w:cs="Times New Roman"/>
                <w:b w:val="0"/>
                <w:bCs w:val="0"/>
                <w:color w:val="000000" w:themeColor="text1"/>
                <w:sz w:val="24"/>
                <w:szCs w:val="24"/>
                <w14:textFill>
                  <w14:solidFill>
                    <w14:schemeClr w14:val="tx1"/>
                  </w14:solidFill>
                </w14:textFill>
              </w:rPr>
              <w:t>度</w:t>
            </w:r>
            <w:r>
              <w:rPr>
                <w:rFonts w:hint="default" w:ascii="Times New Roman" w:hAnsi="Times New Roman" w:eastAsia="宋体" w:cs="Times New Roman"/>
                <w:b w:val="0"/>
                <w:bCs w:val="0"/>
                <w:color w:val="000000" w:themeColor="text1"/>
                <w:sz w:val="24"/>
                <w:szCs w:val="24"/>
                <w:u w:val="single"/>
                <w14:textFill>
                  <w14:solidFill>
                    <w14:schemeClr w14:val="tx1"/>
                  </w14:solidFill>
                </w14:textFill>
              </w:rPr>
              <w:t>56</w:t>
            </w:r>
            <w:r>
              <w:rPr>
                <w:rFonts w:hint="default" w:ascii="Times New Roman" w:hAnsi="Times New Roman" w:eastAsia="宋体" w:cs="Times New Roman"/>
                <w:b w:val="0"/>
                <w:bCs w:val="0"/>
                <w:color w:val="000000" w:themeColor="text1"/>
                <w:sz w:val="24"/>
                <w:szCs w:val="24"/>
                <w14:textFill>
                  <w14:solidFill>
                    <w14:schemeClr w14:val="tx1"/>
                  </w14:solidFill>
                </w14:textFill>
              </w:rPr>
              <w:t>分</w:t>
            </w:r>
            <w:r>
              <w:rPr>
                <w:rFonts w:hint="default" w:ascii="Times New Roman" w:hAnsi="Times New Roman" w:eastAsia="宋体" w:cs="Times New Roman"/>
                <w:b w:val="0"/>
                <w:bCs w:val="0"/>
                <w:color w:val="000000" w:themeColor="text1"/>
                <w:sz w:val="24"/>
                <w:szCs w:val="24"/>
                <w:u w:val="single"/>
                <w14:textFill>
                  <w14:solidFill>
                    <w14:schemeClr w14:val="tx1"/>
                  </w14:solidFill>
                </w14:textFill>
              </w:rPr>
              <w:t>6.223</w:t>
            </w:r>
            <w:r>
              <w:rPr>
                <w:rFonts w:hint="default" w:ascii="Times New Roman" w:hAnsi="Times New Roman" w:eastAsia="宋体" w:cs="Times New Roman"/>
                <w:b w:val="0"/>
                <w:bCs w:val="0"/>
                <w:color w:val="000000" w:themeColor="text1"/>
                <w:sz w:val="24"/>
                <w:szCs w:val="24"/>
                <w14:textFill>
                  <w14:solidFill>
                    <w14:schemeClr w14:val="tx1"/>
                  </w14:solidFill>
                </w14:textFill>
              </w:rPr>
              <w:t>秒；</w:t>
            </w:r>
          </w:p>
          <w:p>
            <w:pPr>
              <w:pStyle w:val="3"/>
              <w:spacing w:before="0" w:after="0" w:line="240" w:lineRule="auto"/>
              <w:ind w:left="0" w:leftChars="0" w:firstLine="0" w:firstLineChars="0"/>
              <w:jc w:val="both"/>
              <w:rPr>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温河输水工程终点：</w:t>
            </w:r>
            <w:r>
              <w:rPr>
                <w:rFonts w:hint="default" w:ascii="Times New Roman" w:hAnsi="Times New Roman" w:eastAsia="宋体" w:cs="Times New Roman"/>
                <w:b w:val="0"/>
                <w:bCs w:val="0"/>
                <w:color w:val="000000" w:themeColor="text1"/>
                <w:sz w:val="24"/>
                <w:szCs w:val="24"/>
                <w:u w:val="single"/>
                <w14:textFill>
                  <w14:solidFill>
                    <w14:schemeClr w14:val="tx1"/>
                  </w14:solidFill>
                </w14:textFill>
              </w:rPr>
              <w:t>106</w:t>
            </w:r>
            <w:r>
              <w:rPr>
                <w:rFonts w:hint="default" w:ascii="Times New Roman" w:hAnsi="Times New Roman" w:eastAsia="宋体" w:cs="Times New Roman"/>
                <w:b w:val="0"/>
                <w:bCs w:val="0"/>
                <w:color w:val="000000" w:themeColor="text1"/>
                <w:sz w:val="24"/>
                <w:szCs w:val="24"/>
                <w14:textFill>
                  <w14:solidFill>
                    <w14:schemeClr w14:val="tx1"/>
                  </w14:solidFill>
                </w14:textFill>
              </w:rPr>
              <w:t>度</w:t>
            </w:r>
            <w:r>
              <w:rPr>
                <w:rFonts w:hint="default" w:ascii="Times New Roman" w:hAnsi="Times New Roman" w:eastAsia="宋体" w:cs="Times New Roman"/>
                <w:b w:val="0"/>
                <w:bCs w:val="0"/>
                <w:color w:val="000000" w:themeColor="text1"/>
                <w:sz w:val="24"/>
                <w:szCs w:val="24"/>
                <w:u w:val="single"/>
                <w14:textFill>
                  <w14:solidFill>
                    <w14:schemeClr w14:val="tx1"/>
                  </w14:solidFill>
                </w14:textFill>
              </w:rPr>
              <w:t>50</w:t>
            </w:r>
            <w:r>
              <w:rPr>
                <w:rFonts w:hint="default" w:ascii="Times New Roman" w:hAnsi="Times New Roman" w:eastAsia="宋体" w:cs="Times New Roman"/>
                <w:b w:val="0"/>
                <w:bCs w:val="0"/>
                <w:color w:val="000000" w:themeColor="text1"/>
                <w:sz w:val="24"/>
                <w:szCs w:val="24"/>
                <w14:textFill>
                  <w14:solidFill>
                    <w14:schemeClr w14:val="tx1"/>
                  </w14:solidFill>
                </w14:textFill>
              </w:rPr>
              <w:t>分</w:t>
            </w:r>
            <w:r>
              <w:rPr>
                <w:rFonts w:hint="default" w:ascii="Times New Roman" w:hAnsi="Times New Roman" w:eastAsia="宋体" w:cs="Times New Roman"/>
                <w:b w:val="0"/>
                <w:bCs w:val="0"/>
                <w:color w:val="000000" w:themeColor="text1"/>
                <w:sz w:val="24"/>
                <w:szCs w:val="24"/>
                <w:u w:val="single"/>
                <w14:textFill>
                  <w14:solidFill>
                    <w14:schemeClr w14:val="tx1"/>
                  </w14:solidFill>
                </w14:textFill>
              </w:rPr>
              <w:t>7.862</w:t>
            </w:r>
            <w:r>
              <w:rPr>
                <w:rFonts w:hint="default" w:ascii="Times New Roman" w:hAnsi="Times New Roman" w:eastAsia="宋体" w:cs="Times New Roman"/>
                <w:b w:val="0"/>
                <w:bCs w:val="0"/>
                <w:color w:val="000000" w:themeColor="text1"/>
                <w:sz w:val="24"/>
                <w:szCs w:val="24"/>
                <w14:textFill>
                  <w14:solidFill>
                    <w14:schemeClr w14:val="tx1"/>
                  </w14:solidFill>
                </w14:textFill>
              </w:rPr>
              <w:t>秒，</w:t>
            </w:r>
            <w:r>
              <w:rPr>
                <w:rFonts w:hint="default" w:ascii="Times New Roman" w:hAnsi="Times New Roman" w:eastAsia="宋体" w:cs="Times New Roman"/>
                <w:b w:val="0"/>
                <w:bCs w:val="0"/>
                <w:color w:val="000000" w:themeColor="text1"/>
                <w:sz w:val="24"/>
                <w:szCs w:val="24"/>
                <w:u w:val="single"/>
                <w14:textFill>
                  <w14:solidFill>
                    <w14:schemeClr w14:val="tx1"/>
                  </w14:solidFill>
                </w14:textFill>
              </w:rPr>
              <w:t>34</w:t>
            </w:r>
            <w:r>
              <w:rPr>
                <w:rFonts w:hint="default" w:ascii="Times New Roman" w:hAnsi="Times New Roman" w:eastAsia="宋体" w:cs="Times New Roman"/>
                <w:b w:val="0"/>
                <w:bCs w:val="0"/>
                <w:color w:val="000000" w:themeColor="text1"/>
                <w:sz w:val="24"/>
                <w:szCs w:val="24"/>
                <w14:textFill>
                  <w14:solidFill>
                    <w14:schemeClr w14:val="tx1"/>
                  </w14:solidFill>
                </w14:textFill>
              </w:rPr>
              <w:t>度</w:t>
            </w:r>
            <w:r>
              <w:rPr>
                <w:rFonts w:hint="default" w:ascii="Times New Roman" w:hAnsi="Times New Roman" w:eastAsia="宋体" w:cs="Times New Roman"/>
                <w:b w:val="0"/>
                <w:bCs w:val="0"/>
                <w:color w:val="000000" w:themeColor="text1"/>
                <w:sz w:val="24"/>
                <w:szCs w:val="24"/>
                <w:u w:val="single"/>
                <w14:textFill>
                  <w14:solidFill>
                    <w14:schemeClr w14:val="tx1"/>
                  </w14:solidFill>
                </w14:textFill>
              </w:rPr>
              <w:t>54</w:t>
            </w:r>
            <w:r>
              <w:rPr>
                <w:rFonts w:hint="default" w:ascii="Times New Roman" w:hAnsi="Times New Roman" w:eastAsia="宋体" w:cs="Times New Roman"/>
                <w:b w:val="0"/>
                <w:bCs w:val="0"/>
                <w:color w:val="000000" w:themeColor="text1"/>
                <w:sz w:val="24"/>
                <w:szCs w:val="24"/>
                <w14:textFill>
                  <w14:solidFill>
                    <w14:schemeClr w14:val="tx1"/>
                  </w14:solidFill>
                </w14:textFill>
              </w:rPr>
              <w:t>分</w:t>
            </w:r>
            <w:r>
              <w:rPr>
                <w:rFonts w:hint="default" w:ascii="Times New Roman" w:hAnsi="Times New Roman" w:eastAsia="宋体" w:cs="Times New Roman"/>
                <w:b w:val="0"/>
                <w:bCs w:val="0"/>
                <w:color w:val="000000" w:themeColor="text1"/>
                <w:sz w:val="24"/>
                <w:szCs w:val="24"/>
                <w:u w:val="single"/>
                <w14:textFill>
                  <w14:solidFill>
                    <w14:schemeClr w14:val="tx1"/>
                  </w14:solidFill>
                </w14:textFill>
              </w:rPr>
              <w:t>14.746</w:t>
            </w:r>
            <w:r>
              <w:rPr>
                <w:rFonts w:hint="default" w:ascii="Times New Roman" w:hAnsi="Times New Roman" w:eastAsia="宋体" w:cs="Times New Roman"/>
                <w:b w:val="0"/>
                <w:bCs w:val="0"/>
                <w:color w:val="000000" w:themeColor="text1"/>
                <w:sz w:val="24"/>
                <w:szCs w:val="24"/>
                <w14:textFill>
                  <w14:solidFill>
                    <w14:schemeClr w14:val="tx1"/>
                  </w14:solidFill>
                </w14:textFill>
              </w:rPr>
              <w:t>秒</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014"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rFonts w:hAnsi="宋体" w:eastAsia="宋体"/>
                <w:color w:val="000000" w:themeColor="text1"/>
                <w:sz w:val="24"/>
                <w14:textFill>
                  <w14:solidFill>
                    <w14:schemeClr w14:val="tx1"/>
                  </w14:solidFill>
                </w14:textFill>
              </w:rPr>
              <w:t>建设项目</w:t>
            </w:r>
          </w:p>
          <w:p>
            <w:pPr>
              <w:adjustRightInd w:val="0"/>
              <w:snapToGrid w:val="0"/>
              <w:jc w:val="center"/>
              <w:rPr>
                <w:color w:val="000000" w:themeColor="text1"/>
                <w:sz w:val="24"/>
                <w14:textFill>
                  <w14:solidFill>
                    <w14:schemeClr w14:val="tx1"/>
                  </w14:solidFill>
                </w14:textFill>
              </w:rPr>
            </w:pPr>
            <w:r>
              <w:rPr>
                <w:rFonts w:hAnsi="宋体" w:eastAsia="宋体"/>
                <w:color w:val="000000" w:themeColor="text1"/>
                <w:sz w:val="24"/>
                <w14:textFill>
                  <w14:solidFill>
                    <w14:schemeClr w14:val="tx1"/>
                  </w14:solidFill>
                </w14:textFill>
              </w:rPr>
              <w:t>行业类别</w:t>
            </w:r>
          </w:p>
        </w:tc>
        <w:tc>
          <w:tcPr>
            <w:tcW w:w="2097" w:type="dxa"/>
            <w:vAlign w:val="center"/>
          </w:tcPr>
          <w:p>
            <w:pPr>
              <w:adjustRightInd w:val="0"/>
              <w:snapToGrid w:val="0"/>
              <w:jc w:val="both"/>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五十一</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水利</w:t>
            </w: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 </w:t>
            </w:r>
            <w:r>
              <w:rPr>
                <w:rFonts w:hint="eastAsia" w:cs="Times New Roman"/>
                <w:color w:val="000000" w:themeColor="text1"/>
                <w:sz w:val="24"/>
                <w:lang w:val="en-US" w:eastAsia="zh-CN"/>
                <w14:textFill>
                  <w14:solidFill>
                    <w14:schemeClr w14:val="tx1"/>
                  </w14:solidFill>
                </w14:textFill>
              </w:rPr>
              <w:t>126</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引水工程</w:t>
            </w:r>
            <w:r>
              <w:rPr>
                <w:rFonts w:hint="default" w:ascii="Times New Roman" w:hAnsi="Times New Roman" w:eastAsia="宋体" w:cs="Times New Roman"/>
                <w:color w:val="000000" w:themeColor="text1"/>
                <w:sz w:val="24"/>
                <w:lang w:val="en-US" w:eastAsia="zh-CN"/>
                <w14:textFill>
                  <w14:solidFill>
                    <w14:schemeClr w14:val="tx1"/>
                  </w14:solidFill>
                </w14:textFill>
              </w:rPr>
              <w:t>”中的“</w:t>
            </w:r>
            <w:r>
              <w:rPr>
                <w:rFonts w:hint="eastAsia" w:cs="Times New Roman"/>
                <w:color w:val="000000" w:themeColor="text1"/>
                <w:sz w:val="24"/>
                <w:lang w:val="en-US" w:eastAsia="zh-CN"/>
                <w14:textFill>
                  <w14:solidFill>
                    <w14:schemeClr w14:val="tx1"/>
                  </w14:solidFill>
                </w14:textFill>
              </w:rPr>
              <w:t>其他</w:t>
            </w:r>
            <w:r>
              <w:rPr>
                <w:rFonts w:hint="default" w:ascii="Times New Roman" w:hAnsi="Times New Roman" w:eastAsia="宋体" w:cs="Times New Roman"/>
                <w:color w:val="000000" w:themeColor="text1"/>
                <w:sz w:val="24"/>
                <w:lang w:val="en-US" w:eastAsia="zh-CN"/>
                <w14:textFill>
                  <w14:solidFill>
                    <w14:schemeClr w14:val="tx1"/>
                  </w14:solidFill>
                </w14:textFill>
              </w:rPr>
              <w:t>”</w:t>
            </w:r>
          </w:p>
        </w:tc>
        <w:tc>
          <w:tcPr>
            <w:tcW w:w="2126" w:type="dxa"/>
            <w:gridSpan w:val="2"/>
            <w:vAlign w:val="center"/>
          </w:tcPr>
          <w:p>
            <w:pPr>
              <w:adjustRightInd w:val="0"/>
              <w:snapToGrid w:val="0"/>
              <w:jc w:val="center"/>
              <w:rPr>
                <w:color w:val="000000" w:themeColor="text1"/>
                <w:sz w:val="24"/>
                <w14:textFill>
                  <w14:solidFill>
                    <w14:schemeClr w14:val="tx1"/>
                  </w14:solidFill>
                </w14:textFill>
              </w:rPr>
            </w:pPr>
            <w:r>
              <w:rPr>
                <w:rFonts w:hAnsi="宋体" w:eastAsia="宋体"/>
                <w:color w:val="000000" w:themeColor="text1"/>
                <w:sz w:val="24"/>
                <w14:textFill>
                  <w14:solidFill>
                    <w14:schemeClr w14:val="tx1"/>
                  </w14:solidFill>
                </w14:textFill>
              </w:rPr>
              <w:t>用地（用海）面积（</w:t>
            </w:r>
            <w:r>
              <w:rPr>
                <w:rFonts w:eastAsia="宋体"/>
                <w:color w:val="000000" w:themeColor="text1"/>
                <w:sz w:val="24"/>
                <w14:textFill>
                  <w14:solidFill>
                    <w14:schemeClr w14:val="tx1"/>
                  </w14:solidFill>
                </w14:textFill>
              </w:rPr>
              <w:t>m</w:t>
            </w:r>
            <w:r>
              <w:rPr>
                <w:rFonts w:eastAsia="宋体"/>
                <w:color w:val="000000" w:themeColor="text1"/>
                <w:sz w:val="24"/>
                <w:vertAlign w:val="superscript"/>
                <w14:textFill>
                  <w14:solidFill>
                    <w14:schemeClr w14:val="tx1"/>
                  </w14:solidFill>
                </w14:textFill>
              </w:rPr>
              <w:t>2</w:t>
            </w:r>
            <w:r>
              <w:rPr>
                <w:rFonts w:hAnsi="宋体" w:eastAsia="宋体"/>
                <w:color w:val="000000" w:themeColor="text1"/>
                <w:sz w:val="24"/>
                <w14:textFill>
                  <w14:solidFill>
                    <w14:schemeClr w14:val="tx1"/>
                  </w14:solidFill>
                </w14:textFill>
              </w:rPr>
              <w:t>）</w:t>
            </w:r>
            <w:r>
              <w:rPr>
                <w:rFonts w:eastAsia="宋体"/>
                <w:color w:val="000000" w:themeColor="text1"/>
                <w:sz w:val="24"/>
                <w14:textFill>
                  <w14:solidFill>
                    <w14:schemeClr w14:val="tx1"/>
                  </w14:solidFill>
                </w14:textFill>
              </w:rPr>
              <w:t>/</w:t>
            </w:r>
            <w:r>
              <w:rPr>
                <w:rFonts w:hAnsi="宋体" w:eastAsia="宋体"/>
                <w:color w:val="000000" w:themeColor="text1"/>
                <w:sz w:val="24"/>
                <w14:textFill>
                  <w14:solidFill>
                    <w14:schemeClr w14:val="tx1"/>
                  </w14:solidFill>
                </w14:textFill>
              </w:rPr>
              <w:t>长度（</w:t>
            </w:r>
            <w:r>
              <w:rPr>
                <w:rFonts w:eastAsia="宋体"/>
                <w:color w:val="000000" w:themeColor="text1"/>
                <w:sz w:val="24"/>
                <w14:textFill>
                  <w14:solidFill>
                    <w14:schemeClr w14:val="tx1"/>
                  </w14:solidFill>
                </w14:textFill>
              </w:rPr>
              <w:t>km</w:t>
            </w:r>
            <w:r>
              <w:rPr>
                <w:rFonts w:hAnsi="宋体" w:eastAsia="宋体"/>
                <w:color w:val="000000" w:themeColor="text1"/>
                <w:sz w:val="24"/>
                <w14:textFill>
                  <w14:solidFill>
                    <w14:schemeClr w14:val="tx1"/>
                  </w14:solidFill>
                </w14:textFill>
              </w:rPr>
              <w:t>）</w:t>
            </w:r>
          </w:p>
        </w:tc>
        <w:tc>
          <w:tcPr>
            <w:tcW w:w="2802" w:type="dxa"/>
            <w:gridSpan w:val="2"/>
            <w:vAlign w:val="center"/>
          </w:tcPr>
          <w:p>
            <w:pPr>
              <w:adjustRightInd w:val="0"/>
              <w:snapToGrid w:val="0"/>
              <w:jc w:val="both"/>
              <w:rPr>
                <w:rFonts w:hint="default"/>
                <w:color w:val="000000" w:themeColor="text1"/>
                <w:sz w:val="24"/>
                <w:lang w:val="en-US"/>
                <w14:textFill>
                  <w14:solidFill>
                    <w14:schemeClr w14:val="tx1"/>
                  </w14:solidFill>
                </w14:textFill>
              </w:rPr>
            </w:pPr>
            <w:r>
              <w:rPr>
                <w:rFonts w:hint="eastAsia" w:eastAsia="宋体" w:cs="Times New Roman"/>
                <w:color w:val="000000" w:themeColor="text1"/>
                <w:sz w:val="24"/>
                <w:lang w:val="en-US" w:eastAsia="zh-CN"/>
                <w14:textFill>
                  <w14:solidFill>
                    <w14:schemeClr w14:val="tx1"/>
                  </w14:solidFill>
                </w14:textFill>
              </w:rPr>
              <w:t>总</w:t>
            </w:r>
            <w:r>
              <w:rPr>
                <w:rFonts w:hint="eastAsia" w:ascii="Times New Roman" w:hAnsi="Times New Roman" w:eastAsia="宋体" w:cs="Times New Roman"/>
                <w:color w:val="000000" w:themeColor="text1"/>
                <w:sz w:val="24"/>
                <w:lang w:val="en-US" w:eastAsia="zh-CN"/>
                <w14:textFill>
                  <w14:solidFill>
                    <w14:schemeClr w14:val="tx1"/>
                  </w14:solidFill>
                </w14:textFill>
              </w:rPr>
              <w:t>占地</w:t>
            </w:r>
            <w:r>
              <w:rPr>
                <w:rFonts w:hint="eastAsia" w:eastAsia="宋体" w:cs="Times New Roman"/>
                <w:color w:val="000000" w:themeColor="text1"/>
                <w:sz w:val="24"/>
                <w:lang w:val="en-US" w:eastAsia="zh-CN"/>
                <w14:textFill>
                  <w14:solidFill>
                    <w14:schemeClr w14:val="tx1"/>
                  </w14:solidFill>
                </w14:textFill>
              </w:rPr>
              <w:t>25.97万</w:t>
            </w:r>
            <w:r>
              <w:rPr>
                <w:rFonts w:eastAsia="宋体"/>
                <w:color w:val="000000" w:themeColor="text1"/>
                <w:sz w:val="24"/>
                <w14:textFill>
                  <w14:solidFill>
                    <w14:schemeClr w14:val="tx1"/>
                  </w14:solidFill>
                </w14:textFill>
              </w:rPr>
              <w:t>m</w:t>
            </w:r>
            <w:r>
              <w:rPr>
                <w:rFonts w:eastAsia="宋体"/>
                <w:color w:val="000000" w:themeColor="text1"/>
                <w:sz w:val="24"/>
                <w:vertAlign w:val="superscript"/>
                <w14:textFill>
                  <w14:solidFill>
                    <w14:schemeClr w14:val="tx1"/>
                  </w14:solidFill>
                </w14:textFill>
              </w:rPr>
              <w:t>2</w:t>
            </w:r>
            <w:r>
              <w:rPr>
                <w:rFonts w:hint="eastAsia" w:ascii="Times New Roman" w:hAnsi="Times New Roman" w:eastAsia="宋体" w:cs="Times New Roman"/>
                <w:color w:val="000000" w:themeColor="text1"/>
                <w:sz w:val="24"/>
                <w:lang w:val="en-US" w:eastAsia="zh-CN"/>
                <w14:textFill>
                  <w14:solidFill>
                    <w14:schemeClr w14:val="tx1"/>
                  </w14:solidFill>
                </w14:textFill>
              </w:rPr>
              <w:t>，其中永久占地</w:t>
            </w:r>
            <w:r>
              <w:rPr>
                <w:rFonts w:hint="eastAsia" w:eastAsia="宋体" w:cs="Times New Roman"/>
                <w:color w:val="000000" w:themeColor="text1"/>
                <w:sz w:val="24"/>
                <w:lang w:val="en-US" w:eastAsia="zh-CN"/>
                <w14:textFill>
                  <w14:solidFill>
                    <w14:schemeClr w14:val="tx1"/>
                  </w14:solidFill>
                </w14:textFill>
              </w:rPr>
              <w:t>1.97万</w:t>
            </w:r>
            <w:r>
              <w:rPr>
                <w:rFonts w:eastAsia="宋体"/>
                <w:color w:val="000000" w:themeColor="text1"/>
                <w:sz w:val="24"/>
                <w14:textFill>
                  <w14:solidFill>
                    <w14:schemeClr w14:val="tx1"/>
                  </w14:solidFill>
                </w14:textFill>
              </w:rPr>
              <w:t>m</w:t>
            </w:r>
            <w:r>
              <w:rPr>
                <w:rFonts w:eastAsia="宋体"/>
                <w:color w:val="000000" w:themeColor="text1"/>
                <w:sz w:val="24"/>
                <w:vertAlign w:val="superscript"/>
                <w14:textFill>
                  <w14:solidFill>
                    <w14:schemeClr w14:val="tx1"/>
                  </w14:solidFill>
                </w14:textFill>
              </w:rPr>
              <w:t>2</w:t>
            </w:r>
            <w:r>
              <w:rPr>
                <w:rFonts w:hint="eastAsia" w:ascii="Times New Roman" w:hAnsi="Times New Roman" w:eastAsia="宋体" w:cs="Times New Roman"/>
                <w:color w:val="000000" w:themeColor="text1"/>
                <w:sz w:val="24"/>
                <w:lang w:val="en-US" w:eastAsia="zh-CN"/>
                <w14:textFill>
                  <w14:solidFill>
                    <w14:schemeClr w14:val="tx1"/>
                  </w14:solidFill>
                </w14:textFill>
              </w:rPr>
              <w:t>，临时占地</w:t>
            </w:r>
            <w:r>
              <w:rPr>
                <w:rFonts w:hint="eastAsia" w:eastAsia="宋体" w:cs="Times New Roman"/>
                <w:color w:val="000000" w:themeColor="text1"/>
                <w:sz w:val="24"/>
                <w:lang w:val="en-US" w:eastAsia="zh-CN"/>
                <w14:textFill>
                  <w14:solidFill>
                    <w14:schemeClr w14:val="tx1"/>
                  </w14:solidFill>
                </w14:textFill>
              </w:rPr>
              <w:t>24万</w:t>
            </w:r>
            <w:r>
              <w:rPr>
                <w:rFonts w:eastAsia="宋体"/>
                <w:color w:val="000000" w:themeColor="text1"/>
                <w:sz w:val="24"/>
                <w14:textFill>
                  <w14:solidFill>
                    <w14:schemeClr w14:val="tx1"/>
                  </w14:solidFill>
                </w14:textFill>
              </w:rPr>
              <w:t>m</w:t>
            </w:r>
            <w:r>
              <w:rPr>
                <w:rFonts w:eastAsia="宋体"/>
                <w:color w:val="000000" w:themeColor="text1"/>
                <w:sz w:val="24"/>
                <w:vertAlign w:val="superscript"/>
                <w14:textFill>
                  <w14:solidFill>
                    <w14:schemeClr w14:val="tx1"/>
                  </w14:solidFill>
                </w14:textFill>
              </w:rPr>
              <w:t>2</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eastAsia" w:eastAsia="宋体" w:cs="Times New Roman"/>
                <w:color w:val="000000" w:themeColor="text1"/>
                <w:sz w:val="24"/>
                <w:lang w:val="en-US" w:eastAsia="zh-CN"/>
                <w14:textFill>
                  <w14:solidFill>
                    <w14:schemeClr w14:val="tx1"/>
                  </w14:solidFill>
                </w14:textFill>
              </w:rPr>
              <w:t>长度</w:t>
            </w:r>
            <w:r>
              <w:rPr>
                <w:rFonts w:hint="eastAsia" w:cs="Times New Roman"/>
                <w:color w:val="000000" w:themeColor="text1"/>
                <w:sz w:val="24"/>
                <w:lang w:val="en-US" w:eastAsia="zh-CN"/>
                <w14:textFill>
                  <w14:solidFill>
                    <w14:schemeClr w14:val="tx1"/>
                  </w14:solidFill>
                </w14:textFill>
              </w:rPr>
              <w:t>83.5</w:t>
            </w:r>
            <w:r>
              <w:rPr>
                <w:rFonts w:eastAsia="宋体"/>
                <w:color w:val="000000" w:themeColor="text1"/>
                <w:sz w:val="24"/>
                <w14:textFill>
                  <w14:solidFill>
                    <w14:schemeClr w14:val="tx1"/>
                  </w14:solidFill>
                </w14:textFill>
              </w:rPr>
              <w: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014"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rFonts w:hAnsi="宋体" w:eastAsia="宋体"/>
                <w:color w:val="000000" w:themeColor="text1"/>
                <w:sz w:val="24"/>
                <w14:textFill>
                  <w14:solidFill>
                    <w14:schemeClr w14:val="tx1"/>
                  </w14:solidFill>
                </w14:textFill>
              </w:rPr>
              <w:t>建设性质</w:t>
            </w:r>
          </w:p>
        </w:tc>
        <w:tc>
          <w:tcPr>
            <w:tcW w:w="2097" w:type="dxa"/>
            <w:vAlign w:val="center"/>
          </w:tcPr>
          <w:p>
            <w:pPr>
              <w:adjustRightInd w:val="0"/>
              <w:snapToGrid w:val="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rFonts w:hAnsi="宋体" w:eastAsia="宋体"/>
                <w:color w:val="000000" w:themeColor="text1"/>
                <w:sz w:val="24"/>
                <w14:textFill>
                  <w14:solidFill>
                    <w14:schemeClr w14:val="tx1"/>
                  </w14:solidFill>
                </w14:textFill>
              </w:rPr>
              <w:t>新建（迁建）</w:t>
            </w:r>
          </w:p>
          <w:p>
            <w:pPr>
              <w:adjustRightInd w:val="0"/>
              <w:snapToGrid w:val="0"/>
              <w:jc w:val="left"/>
              <w:rPr>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w:t>
            </w:r>
            <w:r>
              <w:rPr>
                <w:rFonts w:hAnsi="宋体" w:eastAsia="宋体"/>
                <w:color w:val="000000" w:themeColor="text1"/>
                <w:sz w:val="24"/>
                <w14:textFill>
                  <w14:solidFill>
                    <w14:schemeClr w14:val="tx1"/>
                  </w14:solidFill>
                </w14:textFill>
              </w:rPr>
              <w:t>改建</w:t>
            </w:r>
          </w:p>
          <w:p>
            <w:pPr>
              <w:adjustRightInd w:val="0"/>
              <w:snapToGrid w:val="0"/>
              <w:jc w:val="left"/>
              <w:rPr>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w:t>
            </w:r>
            <w:r>
              <w:rPr>
                <w:rFonts w:hAnsi="宋体" w:eastAsia="宋体"/>
                <w:color w:val="000000" w:themeColor="text1"/>
                <w:sz w:val="24"/>
                <w14:textFill>
                  <w14:solidFill>
                    <w14:schemeClr w14:val="tx1"/>
                  </w14:solidFill>
                </w14:textFill>
              </w:rPr>
              <w:t>扩建</w:t>
            </w:r>
          </w:p>
          <w:p>
            <w:pPr>
              <w:adjustRightInd w:val="0"/>
              <w:snapToGrid w:val="0"/>
              <w:jc w:val="left"/>
              <w:rPr>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w:t>
            </w:r>
            <w:r>
              <w:rPr>
                <w:rFonts w:hAnsi="宋体" w:eastAsia="宋体"/>
                <w:color w:val="000000" w:themeColor="text1"/>
                <w:sz w:val="24"/>
                <w14:textFill>
                  <w14:solidFill>
                    <w14:schemeClr w14:val="tx1"/>
                  </w14:solidFill>
                </w14:textFill>
              </w:rPr>
              <w:t>技术改造</w:t>
            </w:r>
          </w:p>
        </w:tc>
        <w:tc>
          <w:tcPr>
            <w:tcW w:w="2126" w:type="dxa"/>
            <w:gridSpan w:val="2"/>
            <w:vAlign w:val="center"/>
          </w:tcPr>
          <w:p>
            <w:pPr>
              <w:adjustRightInd w:val="0"/>
              <w:snapToGrid w:val="0"/>
              <w:jc w:val="center"/>
              <w:rPr>
                <w:color w:val="000000" w:themeColor="text1"/>
                <w:sz w:val="24"/>
                <w14:textFill>
                  <w14:solidFill>
                    <w14:schemeClr w14:val="tx1"/>
                  </w14:solidFill>
                </w14:textFill>
              </w:rPr>
            </w:pPr>
            <w:r>
              <w:rPr>
                <w:rFonts w:hAnsi="宋体" w:eastAsia="宋体"/>
                <w:color w:val="000000" w:themeColor="text1"/>
                <w:sz w:val="24"/>
                <w14:textFill>
                  <w14:solidFill>
                    <w14:schemeClr w14:val="tx1"/>
                  </w14:solidFill>
                </w14:textFill>
              </w:rPr>
              <w:t>建设项目</w:t>
            </w:r>
          </w:p>
          <w:p>
            <w:pPr>
              <w:adjustRightInd w:val="0"/>
              <w:snapToGrid w:val="0"/>
              <w:jc w:val="center"/>
              <w:rPr>
                <w:color w:val="000000" w:themeColor="text1"/>
                <w:sz w:val="24"/>
                <w14:textFill>
                  <w14:solidFill>
                    <w14:schemeClr w14:val="tx1"/>
                  </w14:solidFill>
                </w14:textFill>
              </w:rPr>
            </w:pPr>
            <w:r>
              <w:rPr>
                <w:rFonts w:hAnsi="宋体" w:eastAsia="宋体"/>
                <w:color w:val="000000" w:themeColor="text1"/>
                <w:sz w:val="24"/>
                <w14:textFill>
                  <w14:solidFill>
                    <w14:schemeClr w14:val="tx1"/>
                  </w14:solidFill>
                </w14:textFill>
              </w:rPr>
              <w:t>申报情形</w:t>
            </w:r>
          </w:p>
        </w:tc>
        <w:tc>
          <w:tcPr>
            <w:tcW w:w="2802" w:type="dxa"/>
            <w:gridSpan w:val="2"/>
            <w:vAlign w:val="center"/>
          </w:tcPr>
          <w:p>
            <w:pPr>
              <w:adjustRightInd w:val="0"/>
              <w:snapToGrid w:val="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rFonts w:hAnsi="宋体" w:eastAsia="宋体"/>
                <w:color w:val="000000" w:themeColor="text1"/>
                <w:sz w:val="24"/>
                <w14:textFill>
                  <w14:solidFill>
                    <w14:schemeClr w14:val="tx1"/>
                  </w14:solidFill>
                </w14:textFill>
              </w:rPr>
              <w:t>首次申报项目</w:t>
            </w:r>
          </w:p>
          <w:p>
            <w:pPr>
              <w:adjustRightInd w:val="0"/>
              <w:snapToGrid w:val="0"/>
              <w:jc w:val="left"/>
              <w:rPr>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w:t>
            </w:r>
            <w:r>
              <w:rPr>
                <w:rFonts w:hAnsi="宋体" w:eastAsia="宋体"/>
                <w:color w:val="000000" w:themeColor="text1"/>
                <w:sz w:val="24"/>
                <w14:textFill>
                  <w14:solidFill>
                    <w14:schemeClr w14:val="tx1"/>
                  </w14:solidFill>
                </w14:textFill>
              </w:rPr>
              <w:t>不予批准后再次申报项目</w:t>
            </w:r>
          </w:p>
          <w:p>
            <w:pPr>
              <w:adjustRightInd w:val="0"/>
              <w:snapToGrid w:val="0"/>
              <w:jc w:val="left"/>
              <w:rPr>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w:t>
            </w:r>
            <w:r>
              <w:rPr>
                <w:rFonts w:hAnsi="宋体" w:eastAsia="宋体"/>
                <w:color w:val="000000" w:themeColor="text1"/>
                <w:sz w:val="24"/>
                <w14:textFill>
                  <w14:solidFill>
                    <w14:schemeClr w14:val="tx1"/>
                  </w14:solidFill>
                </w14:textFill>
              </w:rPr>
              <w:t>超五年重新审核项目</w:t>
            </w:r>
          </w:p>
          <w:p>
            <w:pPr>
              <w:adjustRightInd w:val="0"/>
              <w:snapToGrid w:val="0"/>
              <w:rPr>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w:t>
            </w:r>
            <w:r>
              <w:rPr>
                <w:rFonts w:hAnsi="宋体" w:eastAsia="宋体"/>
                <w:color w:val="000000" w:themeColor="text1"/>
                <w:sz w:val="24"/>
                <w14:textFill>
                  <w14:solidFill>
                    <w14:schemeClr w14:val="tx1"/>
                  </w14:solidFill>
                </w14:textFill>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 w:hRule="atLeast"/>
        </w:trPr>
        <w:tc>
          <w:tcPr>
            <w:tcW w:w="2014"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rFonts w:hAnsi="宋体" w:eastAsia="宋体"/>
                <w:color w:val="000000" w:themeColor="text1"/>
                <w:sz w:val="24"/>
                <w14:textFill>
                  <w14:solidFill>
                    <w14:schemeClr w14:val="tx1"/>
                  </w14:solidFill>
                </w14:textFill>
              </w:rPr>
              <w:t>项目审批（核准</w:t>
            </w:r>
            <w:r>
              <w:rPr>
                <w:rFonts w:eastAsia="宋体"/>
                <w:color w:val="000000" w:themeColor="text1"/>
                <w:sz w:val="24"/>
                <w14:textFill>
                  <w14:solidFill>
                    <w14:schemeClr w14:val="tx1"/>
                  </w14:solidFill>
                </w14:textFill>
              </w:rPr>
              <w:t>/</w:t>
            </w:r>
          </w:p>
          <w:p>
            <w:pPr>
              <w:adjustRightInd w:val="0"/>
              <w:snapToGrid w:val="0"/>
              <w:jc w:val="center"/>
              <w:rPr>
                <w:color w:val="000000" w:themeColor="text1"/>
                <w:sz w:val="24"/>
                <w14:textFill>
                  <w14:solidFill>
                    <w14:schemeClr w14:val="tx1"/>
                  </w14:solidFill>
                </w14:textFill>
              </w:rPr>
            </w:pPr>
            <w:r>
              <w:rPr>
                <w:rFonts w:hAnsi="宋体" w:eastAsia="宋体"/>
                <w:color w:val="000000" w:themeColor="text1"/>
                <w:sz w:val="24"/>
                <w14:textFill>
                  <w14:solidFill>
                    <w14:schemeClr w14:val="tx1"/>
                  </w14:solidFill>
                </w14:textFill>
              </w:rPr>
              <w:t>备案）部门（选填）</w:t>
            </w:r>
          </w:p>
        </w:tc>
        <w:tc>
          <w:tcPr>
            <w:tcW w:w="2097" w:type="dxa"/>
            <w:vAlign w:val="center"/>
          </w:tcPr>
          <w:p>
            <w:pPr>
              <w:adjustRightInd w:val="0"/>
              <w:snapToGrid w:val="0"/>
              <w:jc w:val="center"/>
              <w:rPr>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陇县发展和改革局</w:t>
            </w:r>
          </w:p>
        </w:tc>
        <w:tc>
          <w:tcPr>
            <w:tcW w:w="2126" w:type="dxa"/>
            <w:gridSpan w:val="2"/>
            <w:vAlign w:val="center"/>
          </w:tcPr>
          <w:p>
            <w:pPr>
              <w:adjustRightInd w:val="0"/>
              <w:snapToGrid w:val="0"/>
              <w:jc w:val="center"/>
              <w:rPr>
                <w:color w:val="000000" w:themeColor="text1"/>
                <w:sz w:val="24"/>
                <w14:textFill>
                  <w14:solidFill>
                    <w14:schemeClr w14:val="tx1"/>
                  </w14:solidFill>
                </w14:textFill>
              </w:rPr>
            </w:pPr>
            <w:r>
              <w:rPr>
                <w:rFonts w:hAnsi="宋体" w:eastAsia="宋体"/>
                <w:color w:val="000000" w:themeColor="text1"/>
                <w:sz w:val="24"/>
                <w14:textFill>
                  <w14:solidFill>
                    <w14:schemeClr w14:val="tx1"/>
                  </w14:solidFill>
                </w14:textFill>
              </w:rPr>
              <w:t>项目审批（核准</w:t>
            </w:r>
            <w:r>
              <w:rPr>
                <w:rFonts w:eastAsia="宋体"/>
                <w:color w:val="000000" w:themeColor="text1"/>
                <w:sz w:val="24"/>
                <w14:textFill>
                  <w14:solidFill>
                    <w14:schemeClr w14:val="tx1"/>
                  </w14:solidFill>
                </w14:textFill>
              </w:rPr>
              <w:t>/</w:t>
            </w:r>
          </w:p>
          <w:p>
            <w:pPr>
              <w:adjustRightInd w:val="0"/>
              <w:snapToGrid w:val="0"/>
              <w:jc w:val="center"/>
              <w:rPr>
                <w:color w:val="000000" w:themeColor="text1"/>
                <w:sz w:val="24"/>
                <w14:textFill>
                  <w14:solidFill>
                    <w14:schemeClr w14:val="tx1"/>
                  </w14:solidFill>
                </w14:textFill>
              </w:rPr>
            </w:pPr>
            <w:r>
              <w:rPr>
                <w:rFonts w:hAnsi="宋体" w:eastAsia="宋体"/>
                <w:color w:val="000000" w:themeColor="text1"/>
                <w:sz w:val="24"/>
                <w14:textFill>
                  <w14:solidFill>
                    <w14:schemeClr w14:val="tx1"/>
                  </w14:solidFill>
                </w14:textFill>
              </w:rPr>
              <w:t>备案）文号（选填）</w:t>
            </w:r>
          </w:p>
        </w:tc>
        <w:tc>
          <w:tcPr>
            <w:tcW w:w="2802" w:type="dxa"/>
            <w:gridSpan w:val="2"/>
            <w:vAlign w:val="center"/>
          </w:tcPr>
          <w:p>
            <w:pPr>
              <w:adjustRightInd w:val="0"/>
              <w:snapToGrid w:val="0"/>
              <w:jc w:val="center"/>
              <w:rPr>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陇发改发[2022]29号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2014"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rFonts w:hAnsi="宋体" w:eastAsia="宋体"/>
                <w:color w:val="000000" w:themeColor="text1"/>
                <w:sz w:val="24"/>
                <w14:textFill>
                  <w14:solidFill>
                    <w14:schemeClr w14:val="tx1"/>
                  </w14:solidFill>
                </w14:textFill>
              </w:rPr>
              <w:t>总投资（万元）</w:t>
            </w:r>
          </w:p>
        </w:tc>
        <w:tc>
          <w:tcPr>
            <w:tcW w:w="2097" w:type="dxa"/>
            <w:vAlign w:val="center"/>
          </w:tcPr>
          <w:p>
            <w:pPr>
              <w:adjustRightInd w:val="0"/>
              <w:snapToGrid w:val="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12000</w:t>
            </w:r>
          </w:p>
        </w:tc>
        <w:tc>
          <w:tcPr>
            <w:tcW w:w="2126" w:type="dxa"/>
            <w:gridSpan w:val="2"/>
            <w:tcMar>
              <w:top w:w="16" w:type="dxa"/>
              <w:left w:w="16" w:type="dxa"/>
              <w:right w:w="16" w:type="dxa"/>
            </w:tcMar>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环保投资（万元）</w:t>
            </w:r>
          </w:p>
        </w:tc>
        <w:tc>
          <w:tcPr>
            <w:tcW w:w="2802" w:type="dxa"/>
            <w:gridSpan w:val="2"/>
            <w:vAlign w:val="center"/>
          </w:tcPr>
          <w:p>
            <w:pPr>
              <w:adjustRightInd w:val="0"/>
              <w:snapToGrid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014"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rFonts w:hAnsi="宋体" w:eastAsia="宋体"/>
                <w:color w:val="000000" w:themeColor="text1"/>
                <w:sz w:val="24"/>
                <w14:textFill>
                  <w14:solidFill>
                    <w14:schemeClr w14:val="tx1"/>
                  </w14:solidFill>
                </w14:textFill>
              </w:rPr>
              <w:t>环保投资占比（</w:t>
            </w:r>
            <w:r>
              <w:rPr>
                <w:rFonts w:eastAsia="宋体"/>
                <w:color w:val="000000" w:themeColor="text1"/>
                <w:sz w:val="24"/>
                <w14:textFill>
                  <w14:solidFill>
                    <w14:schemeClr w14:val="tx1"/>
                  </w14:solidFill>
                </w14:textFill>
              </w:rPr>
              <w:t>%</w:t>
            </w:r>
            <w:r>
              <w:rPr>
                <w:rFonts w:hAnsi="宋体" w:eastAsia="宋体"/>
                <w:color w:val="000000" w:themeColor="text1"/>
                <w:sz w:val="24"/>
                <w14:textFill>
                  <w14:solidFill>
                    <w14:schemeClr w14:val="tx1"/>
                  </w14:solidFill>
                </w14:textFill>
              </w:rPr>
              <w:t>）</w:t>
            </w:r>
          </w:p>
        </w:tc>
        <w:tc>
          <w:tcPr>
            <w:tcW w:w="2097" w:type="dxa"/>
            <w:vAlign w:val="center"/>
          </w:tcPr>
          <w:p>
            <w:pPr>
              <w:adjustRightInd w:val="0"/>
              <w:snapToGrid w:val="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0.76</w:t>
            </w:r>
          </w:p>
        </w:tc>
        <w:tc>
          <w:tcPr>
            <w:tcW w:w="2126" w:type="dxa"/>
            <w:gridSpan w:val="2"/>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rFonts w:hAnsi="宋体" w:eastAsia="宋体"/>
                <w:color w:val="000000" w:themeColor="text1"/>
                <w:sz w:val="24"/>
                <w14:textFill>
                  <w14:solidFill>
                    <w14:schemeClr w14:val="tx1"/>
                  </w14:solidFill>
                </w14:textFill>
              </w:rPr>
              <w:t>施工工期</w:t>
            </w:r>
          </w:p>
        </w:tc>
        <w:tc>
          <w:tcPr>
            <w:tcW w:w="2802" w:type="dxa"/>
            <w:gridSpan w:val="2"/>
            <w:vAlign w:val="center"/>
          </w:tcPr>
          <w:p>
            <w:pPr>
              <w:adjustRightInd w:val="0"/>
              <w:snapToGrid w:val="0"/>
              <w:jc w:val="center"/>
              <w:rPr>
                <w:rFonts w:hint="default" w:eastAsia="宋体"/>
                <w:color w:val="000000" w:themeColor="text1"/>
                <w:sz w:val="24"/>
                <w:lang w:val="en-US" w:eastAsia="zh-CN"/>
                <w14:textFill>
                  <w14:solidFill>
                    <w14:schemeClr w14:val="tx1"/>
                  </w14:solidFill>
                </w14:textFill>
              </w:rPr>
            </w:pPr>
            <w:r>
              <w:rPr>
                <w:rFonts w:hint="eastAsia" w:eastAsia="宋体"/>
                <w:color w:val="000000" w:themeColor="text1"/>
                <w:sz w:val="24"/>
                <w:lang w:val="en-US" w:eastAsia="zh-CN"/>
                <w14:textFill>
                  <w14:solidFill>
                    <w14:schemeClr w14:val="tx1"/>
                  </w14:solidFill>
                </w14:textFill>
              </w:rPr>
              <w:t>42个月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014"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rFonts w:hAnsi="宋体" w:eastAsia="宋体"/>
                <w:color w:val="000000" w:themeColor="text1"/>
                <w:sz w:val="24"/>
                <w14:textFill>
                  <w14:solidFill>
                    <w14:schemeClr w14:val="tx1"/>
                  </w14:solidFill>
                </w14:textFill>
              </w:rPr>
              <w:t>是否开工建设</w:t>
            </w:r>
          </w:p>
        </w:tc>
        <w:tc>
          <w:tcPr>
            <w:tcW w:w="7025" w:type="dxa"/>
            <w:gridSpan w:val="5"/>
            <w:vAlign w:val="center"/>
          </w:tcPr>
          <w:p>
            <w:pPr>
              <w:adjustRightInd w:val="0"/>
              <w:snapToGrid w:val="0"/>
              <w:ind w:firstLine="105"/>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rFonts w:hAnsi="宋体" w:eastAsia="宋体"/>
                <w:color w:val="000000" w:themeColor="text1"/>
                <w:sz w:val="24"/>
                <w14:textFill>
                  <w14:solidFill>
                    <w14:schemeClr w14:val="tx1"/>
                  </w14:solidFill>
                </w14:textFill>
              </w:rPr>
              <w:t>否</w:t>
            </w:r>
          </w:p>
          <w:p>
            <w:pPr>
              <w:adjustRightInd w:val="0"/>
              <w:snapToGrid w:val="0"/>
              <w:ind w:firstLine="92"/>
              <w:jc w:val="left"/>
              <w:rPr>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w:t>
            </w:r>
            <w:r>
              <w:rPr>
                <w:rFonts w:hAnsi="宋体" w:eastAsia="宋体"/>
                <w:color w:val="000000" w:themeColor="text1"/>
                <w:sz w:val="24"/>
                <w14:textFill>
                  <w14:solidFill>
                    <w14:schemeClr w14:val="tx1"/>
                  </w14:solidFill>
                </w14:textFill>
              </w:rPr>
              <w:t>是：</w:t>
            </w:r>
            <w:r>
              <w:rPr>
                <w:rFonts w:eastAsia="宋体"/>
                <w:color w:val="000000" w:themeColor="text1"/>
                <w:sz w:val="24"/>
                <w:u w:val="single"/>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014" w:type="dxa"/>
            <w:tcMar>
              <w:top w:w="16" w:type="dxa"/>
              <w:left w:w="16" w:type="dxa"/>
              <w:right w:w="16" w:type="dxa"/>
            </w:tcMar>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rFonts w:hAnsi="宋体" w:eastAsia="宋体"/>
                <w:color w:val="000000" w:themeColor="text1"/>
                <w:kern w:val="0"/>
                <w:sz w:val="24"/>
                <w14:textFill>
                  <w14:solidFill>
                    <w14:schemeClr w14:val="tx1"/>
                  </w14:solidFill>
                </w14:textFill>
              </w:rPr>
              <w:t>专项评价设置情况</w:t>
            </w:r>
          </w:p>
        </w:tc>
        <w:tc>
          <w:tcPr>
            <w:tcW w:w="7025" w:type="dxa"/>
            <w:gridSpan w:val="5"/>
            <w:tcMar>
              <w:top w:w="16" w:type="dxa"/>
              <w:left w:w="16" w:type="dxa"/>
              <w:right w:w="16" w:type="dxa"/>
            </w:tcMar>
            <w:vAlign w:val="center"/>
          </w:tcPr>
          <w:p>
            <w:pPr>
              <w:autoSpaceDE w:val="0"/>
              <w:autoSpaceDN w:val="0"/>
              <w:adjustRightInd w:val="0"/>
              <w:snapToGrid w:val="0"/>
              <w:jc w:val="both"/>
              <w:rPr>
                <w:rFonts w:hint="eastAsia" w:eastAsia="宋体"/>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设置</w:t>
            </w:r>
            <w:r>
              <w:rPr>
                <w:rFonts w:hint="eastAsia" w:ascii="Times New Roman" w:hAnsi="Times New Roman" w:cs="Times New Roman"/>
                <w:color w:val="000000" w:themeColor="text1"/>
                <w:kern w:val="0"/>
                <w:sz w:val="24"/>
                <w:lang w:val="en-US" w:eastAsia="zh-CN"/>
                <w14:textFill>
                  <w14:solidFill>
                    <w14:schemeClr w14:val="tx1"/>
                  </w14:solidFill>
                </w14:textFill>
              </w:rPr>
              <w:t>地表水</w:t>
            </w:r>
            <w:r>
              <w:rPr>
                <w:rFonts w:hint="default" w:ascii="Times New Roman" w:hAnsi="Times New Roman" w:cs="Times New Roman"/>
                <w:color w:val="000000" w:themeColor="text1"/>
                <w:kern w:val="0"/>
                <w:sz w:val="24"/>
                <w14:textFill>
                  <w14:solidFill>
                    <w14:schemeClr w14:val="tx1"/>
                  </w14:solidFill>
                </w14:textFill>
              </w:rPr>
              <w:t>专项评价。本项目水源为段家峡水库，取水口设计取水规模为4万m</w:t>
            </w:r>
            <w:r>
              <w:rPr>
                <w:rFonts w:hint="default" w:ascii="Times New Roman" w:hAnsi="Times New Roman" w:cs="Times New Roman"/>
                <w:color w:val="000000" w:themeColor="text1"/>
                <w:kern w:val="0"/>
                <w:sz w:val="24"/>
                <w:vertAlign w:val="superscript"/>
                <w14:textFill>
                  <w14:solidFill>
                    <w14:schemeClr w14:val="tx1"/>
                  </w14:solidFill>
                </w14:textFill>
              </w:rPr>
              <w:t>3</w:t>
            </w:r>
            <w:r>
              <w:rPr>
                <w:rFonts w:hint="default" w:ascii="Times New Roman" w:hAnsi="Times New Roman" w:cs="Times New Roman"/>
                <w:color w:val="000000" w:themeColor="text1"/>
                <w:kern w:val="0"/>
                <w:sz w:val="24"/>
                <w14:textFill>
                  <w14:solidFill>
                    <w14:schemeClr w14:val="tx1"/>
                  </w14:solidFill>
                </w14:textFill>
              </w:rPr>
              <w:t>/d，根据《建设项目环境影响报告表编制技术指南》（</w:t>
            </w:r>
            <w:r>
              <w:rPr>
                <w:rFonts w:hint="eastAsia" w:ascii="Times New Roman" w:hAnsi="Times New Roman" w:cs="Times New Roman"/>
                <w:color w:val="000000" w:themeColor="text1"/>
                <w:kern w:val="0"/>
                <w:sz w:val="24"/>
                <w:lang w:val="en-US" w:eastAsia="zh-CN"/>
                <w14:textFill>
                  <w14:solidFill>
                    <w14:schemeClr w14:val="tx1"/>
                  </w14:solidFill>
                </w14:textFill>
              </w:rPr>
              <w:t>生态</w:t>
            </w:r>
            <w:r>
              <w:rPr>
                <w:rFonts w:hint="default" w:ascii="Times New Roman" w:hAnsi="Times New Roman" w:cs="Times New Roman"/>
                <w:color w:val="000000" w:themeColor="text1"/>
                <w:kern w:val="0"/>
                <w:sz w:val="24"/>
                <w14:textFill>
                  <w14:solidFill>
                    <w14:schemeClr w14:val="tx1"/>
                  </w14:solidFill>
                </w14:textFill>
              </w:rPr>
              <w:t>影响类）（试行）</w:t>
            </w:r>
            <w:r>
              <w:rPr>
                <w:rFonts w:hint="eastAsia" w:ascii="Times New Roman" w:hAnsi="Times New Roman" w:cs="Times New Roman"/>
                <w:color w:val="000000" w:themeColor="text1"/>
                <w:kern w:val="0"/>
                <w:sz w:val="24"/>
                <w:lang w:eastAsia="zh-CN"/>
                <w14:textFill>
                  <w14:solidFill>
                    <w14:schemeClr w14:val="tx1"/>
                  </w14:solidFill>
                </w14:textFill>
              </w:rPr>
              <w:t>》</w:t>
            </w:r>
            <w:r>
              <w:rPr>
                <w:rFonts w:hint="default" w:ascii="Times New Roman" w:hAnsi="Times New Roman" w:cs="Times New Roman"/>
                <w:color w:val="000000" w:themeColor="text1"/>
                <w:kern w:val="0"/>
                <w:sz w:val="24"/>
                <w14:textFill>
                  <w14:solidFill>
                    <w14:schemeClr w14:val="tx1"/>
                  </w14:solidFill>
                </w14:textFill>
              </w:rPr>
              <w:t>表1，</w:t>
            </w:r>
            <w:r>
              <w:rPr>
                <w:rFonts w:hint="eastAsia" w:ascii="Times New Roman" w:hAnsi="Times New Roman" w:cs="Times New Roman"/>
                <w:color w:val="000000" w:themeColor="text1"/>
                <w:kern w:val="0"/>
                <w:sz w:val="24"/>
                <w:lang w:val="en-US" w:eastAsia="zh-CN"/>
                <w14:textFill>
                  <w14:solidFill>
                    <w14:schemeClr w14:val="tx1"/>
                  </w14:solidFill>
                </w14:textFill>
              </w:rPr>
              <w:t>本项目涉及引水工程</w:t>
            </w:r>
            <w:r>
              <w:rPr>
                <w:rFonts w:hint="default" w:ascii="Times New Roman" w:hAnsi="Times New Roman" w:cs="Times New Roman"/>
                <w:color w:val="000000" w:themeColor="text1"/>
                <w:kern w:val="0"/>
                <w:sz w:val="24"/>
                <w14:textFill>
                  <w14:solidFill>
                    <w14:schemeClr w14:val="tx1"/>
                  </w14:solidFill>
                </w14:textFill>
              </w:rPr>
              <w:t>，故设置</w:t>
            </w:r>
            <w:r>
              <w:rPr>
                <w:rFonts w:hint="eastAsia" w:ascii="Times New Roman" w:hAnsi="Times New Roman" w:cs="Times New Roman"/>
                <w:color w:val="000000" w:themeColor="text1"/>
                <w:kern w:val="0"/>
                <w:sz w:val="24"/>
                <w:lang w:val="en-US" w:eastAsia="zh-CN"/>
                <w14:textFill>
                  <w14:solidFill>
                    <w14:schemeClr w14:val="tx1"/>
                  </w14:solidFill>
                </w14:textFill>
              </w:rPr>
              <w:t>地表水</w:t>
            </w:r>
            <w:r>
              <w:rPr>
                <w:rFonts w:hint="default" w:ascii="Times New Roman" w:hAnsi="Times New Roman" w:cs="Times New Roman"/>
                <w:color w:val="000000" w:themeColor="text1"/>
                <w:kern w:val="0"/>
                <w:sz w:val="24"/>
                <w14:textFill>
                  <w14:solidFill>
                    <w14:schemeClr w14:val="tx1"/>
                  </w14:solidFill>
                </w14:textFill>
              </w:rPr>
              <w:t>专项评价</w:t>
            </w:r>
            <w:r>
              <w:rPr>
                <w:rFonts w:hint="eastAsia" w:ascii="Times New Roman" w:hAnsi="Times New Roman" w:cs="Times New Roman"/>
                <w:color w:val="000000" w:themeColor="text1"/>
                <w:kern w:val="0"/>
                <w:sz w:val="24"/>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014" w:type="dxa"/>
            <w:tcMar>
              <w:top w:w="16" w:type="dxa"/>
              <w:left w:w="16" w:type="dxa"/>
              <w:right w:w="16" w:type="dxa"/>
            </w:tcMar>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rFonts w:hAnsi="宋体" w:eastAsia="宋体"/>
                <w:color w:val="000000" w:themeColor="text1"/>
                <w:sz w:val="24"/>
                <w14:textFill>
                  <w14:solidFill>
                    <w14:schemeClr w14:val="tx1"/>
                  </w14:solidFill>
                </w14:textFill>
              </w:rPr>
              <w:t>规划情况</w:t>
            </w:r>
          </w:p>
        </w:tc>
        <w:tc>
          <w:tcPr>
            <w:tcW w:w="7025" w:type="dxa"/>
            <w:gridSpan w:val="5"/>
            <w:tcMar>
              <w:top w:w="16" w:type="dxa"/>
              <w:left w:w="16" w:type="dxa"/>
              <w:right w:w="16" w:type="dxa"/>
            </w:tcMar>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rFonts w:hint="eastAsia" w:eastAsia="宋体"/>
                <w:color w:val="000000" w:themeColor="text1"/>
                <w:kern w:val="0"/>
                <w:sz w:val="24"/>
                <w:lang w:val="en-US" w:eastAsia="zh-CN"/>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014" w:type="dxa"/>
            <w:tcMar>
              <w:top w:w="16" w:type="dxa"/>
              <w:left w:w="16" w:type="dxa"/>
              <w:right w:w="16" w:type="dxa"/>
            </w:tcMar>
            <w:vAlign w:val="center"/>
          </w:tcPr>
          <w:p>
            <w:pPr>
              <w:autoSpaceDE w:val="0"/>
              <w:autoSpaceDN w:val="0"/>
              <w:adjustRightInd w:val="0"/>
              <w:snapToGrid w:val="0"/>
              <w:jc w:val="center"/>
              <w:rPr>
                <w:color w:val="000000" w:themeColor="text1"/>
                <w:sz w:val="24"/>
                <w14:textFill>
                  <w14:solidFill>
                    <w14:schemeClr w14:val="tx1"/>
                  </w14:solidFill>
                </w14:textFill>
              </w:rPr>
            </w:pPr>
            <w:r>
              <w:rPr>
                <w:rFonts w:hAnsi="宋体" w:eastAsia="宋体"/>
                <w:color w:val="000000" w:themeColor="text1"/>
                <w:sz w:val="24"/>
                <w14:textFill>
                  <w14:solidFill>
                    <w14:schemeClr w14:val="tx1"/>
                  </w14:solidFill>
                </w14:textFill>
              </w:rPr>
              <w:t>规划环境影响</w:t>
            </w:r>
          </w:p>
          <w:p>
            <w:pPr>
              <w:autoSpaceDE w:val="0"/>
              <w:autoSpaceDN w:val="0"/>
              <w:adjustRightInd w:val="0"/>
              <w:snapToGrid w:val="0"/>
              <w:jc w:val="center"/>
              <w:rPr>
                <w:color w:val="000000" w:themeColor="text1"/>
                <w:kern w:val="0"/>
                <w:sz w:val="24"/>
                <w14:textFill>
                  <w14:solidFill>
                    <w14:schemeClr w14:val="tx1"/>
                  </w14:solidFill>
                </w14:textFill>
              </w:rPr>
            </w:pPr>
            <w:r>
              <w:rPr>
                <w:rFonts w:hAnsi="宋体" w:eastAsia="宋体"/>
                <w:color w:val="000000" w:themeColor="text1"/>
                <w:sz w:val="24"/>
                <w14:textFill>
                  <w14:solidFill>
                    <w14:schemeClr w14:val="tx1"/>
                  </w14:solidFill>
                </w14:textFill>
              </w:rPr>
              <w:t>评价情况</w:t>
            </w:r>
          </w:p>
        </w:tc>
        <w:tc>
          <w:tcPr>
            <w:tcW w:w="7025" w:type="dxa"/>
            <w:gridSpan w:val="5"/>
            <w:tcMar>
              <w:top w:w="16" w:type="dxa"/>
              <w:left w:w="16" w:type="dxa"/>
              <w:right w:w="16" w:type="dxa"/>
            </w:tcMar>
            <w:vAlign w:val="center"/>
          </w:tcPr>
          <w:p>
            <w:pPr>
              <w:adjustRightInd w:val="0"/>
              <w:snapToGrid w:val="0"/>
              <w:jc w:val="center"/>
              <w:rPr>
                <w:color w:val="000000" w:themeColor="text1"/>
                <w:kern w:val="0"/>
                <w:sz w:val="24"/>
                <w14:textFill>
                  <w14:solidFill>
                    <w14:schemeClr w14:val="tx1"/>
                  </w14:solidFill>
                </w14:textFill>
              </w:rPr>
            </w:pPr>
            <w:r>
              <w:rPr>
                <w:rFonts w:hint="eastAsia" w:eastAsia="宋体"/>
                <w:color w:val="000000" w:themeColor="text1"/>
                <w:kern w:val="0"/>
                <w:sz w:val="24"/>
                <w:lang w:val="en-US" w:eastAsia="zh-CN"/>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014" w:type="dxa"/>
            <w:tcMar>
              <w:top w:w="16" w:type="dxa"/>
              <w:left w:w="16" w:type="dxa"/>
              <w:right w:w="16" w:type="dxa"/>
            </w:tcMar>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rFonts w:hAnsi="宋体" w:eastAsia="宋体"/>
                <w:color w:val="000000" w:themeColor="text1"/>
                <w:kern w:val="0"/>
                <w:sz w:val="24"/>
                <w14:textFill>
                  <w14:solidFill>
                    <w14:schemeClr w14:val="tx1"/>
                  </w14:solidFill>
                </w14:textFill>
              </w:rPr>
              <w:t>规划及</w:t>
            </w:r>
            <w:r>
              <w:rPr>
                <w:rFonts w:hAnsi="宋体" w:eastAsia="宋体"/>
                <w:color w:val="000000" w:themeColor="text1"/>
                <w:sz w:val="24"/>
                <w14:textFill>
                  <w14:solidFill>
                    <w14:schemeClr w14:val="tx1"/>
                  </w14:solidFill>
                </w14:textFill>
              </w:rPr>
              <w:t>规划环境影响评价</w:t>
            </w:r>
            <w:r>
              <w:rPr>
                <w:rFonts w:hAnsi="宋体" w:eastAsia="宋体"/>
                <w:color w:val="000000" w:themeColor="text1"/>
                <w:kern w:val="0"/>
                <w:sz w:val="24"/>
                <w14:textFill>
                  <w14:solidFill>
                    <w14:schemeClr w14:val="tx1"/>
                  </w14:solidFill>
                </w14:textFill>
              </w:rPr>
              <w:t>符合性分析</w:t>
            </w:r>
          </w:p>
        </w:tc>
        <w:tc>
          <w:tcPr>
            <w:tcW w:w="7025" w:type="dxa"/>
            <w:gridSpan w:val="5"/>
            <w:tcMar>
              <w:top w:w="16" w:type="dxa"/>
              <w:left w:w="16" w:type="dxa"/>
              <w:right w:w="16" w:type="dxa"/>
            </w:tcMar>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rFonts w:hint="eastAsia" w:eastAsia="宋体"/>
                <w:color w:val="000000" w:themeColor="text1"/>
                <w:kern w:val="0"/>
                <w:sz w:val="24"/>
                <w:lang w:val="en-US" w:eastAsia="zh-CN"/>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31" w:hRule="atLeast"/>
        </w:trPr>
        <w:tc>
          <w:tcPr>
            <w:tcW w:w="2014" w:type="dxa"/>
            <w:tcMar>
              <w:top w:w="16" w:type="dxa"/>
              <w:left w:w="16" w:type="dxa"/>
              <w:right w:w="16" w:type="dxa"/>
            </w:tcMar>
            <w:vAlign w:val="center"/>
          </w:tcPr>
          <w:p>
            <w:pPr>
              <w:autoSpaceDE w:val="0"/>
              <w:autoSpaceDN w:val="0"/>
              <w:adjustRightInd w:val="0"/>
              <w:snapToGrid w:val="0"/>
              <w:jc w:val="center"/>
              <w:rPr>
                <w:color w:val="000000" w:themeColor="text1"/>
                <w:kern w:val="0"/>
                <w:sz w:val="24"/>
                <w14:textFill>
                  <w14:solidFill>
                    <w14:schemeClr w14:val="tx1"/>
                  </w14:solidFill>
                </w14:textFill>
              </w:rPr>
            </w:pPr>
            <w:bookmarkStart w:id="1" w:name="_Hlk56690880"/>
            <w:r>
              <w:rPr>
                <w:rFonts w:hAnsi="宋体" w:eastAsia="宋体"/>
                <w:color w:val="000000" w:themeColor="text1"/>
                <w:kern w:val="0"/>
                <w:sz w:val="24"/>
                <w14:textFill>
                  <w14:solidFill>
                    <w14:schemeClr w14:val="tx1"/>
                  </w14:solidFill>
                </w14:textFill>
              </w:rPr>
              <w:t>其他符合性分析</w:t>
            </w:r>
            <w:bookmarkEnd w:id="1"/>
          </w:p>
        </w:tc>
        <w:tc>
          <w:tcPr>
            <w:tcW w:w="7025" w:type="dxa"/>
            <w:gridSpan w:val="5"/>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default" w:ascii="Times New Roman" w:hAnsi="Times New Roman"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1、“三线一单”符合性分析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w:t>
            </w:r>
            <w:r>
              <w:rPr>
                <w:rFonts w:hint="default" w:ascii="Times New Roman" w:hAnsi="Times New Roman" w:eastAsia="宋体" w:cs="Times New Roman"/>
                <w:color w:val="000000" w:themeColor="text1"/>
                <w:sz w:val="24"/>
                <w:lang w:val="en-US" w:eastAsia="zh-CN"/>
                <w14:textFill>
                  <w14:solidFill>
                    <w14:schemeClr w14:val="tx1"/>
                  </w14:solidFill>
                </w14:textFill>
              </w:rPr>
              <w:t>与宝鸡市</w:t>
            </w:r>
            <w:r>
              <w:rPr>
                <w:rFonts w:hint="default" w:ascii="Times New Roman" w:hAnsi="Times New Roman" w:eastAsia="宋体" w:cs="Times New Roman"/>
                <w:color w:val="000000" w:themeColor="text1"/>
                <w:sz w:val="24"/>
                <w14:textFill>
                  <w14:solidFill>
                    <w14:schemeClr w14:val="tx1"/>
                  </w14:solidFill>
                </w14:textFill>
              </w:rPr>
              <w:t>“三线一单”符合性分析见表1-</w:t>
            </w:r>
            <w:r>
              <w:rPr>
                <w:rFonts w:hint="default" w:ascii="Times New Roman" w:hAnsi="Times New Roman" w:eastAsia="宋体"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表1-</w:t>
            </w:r>
            <w:r>
              <w:rPr>
                <w:rFonts w:hint="default" w:ascii="Times New Roman" w:hAnsi="Times New Roman" w:eastAsia="宋体" w:cs="Times New Roman"/>
                <w:b/>
                <w:color w:val="000000" w:themeColor="text1"/>
                <w:sz w:val="24"/>
                <w:lang w:val="en-US" w:eastAsia="zh-CN"/>
                <w14:textFill>
                  <w14:solidFill>
                    <w14:schemeClr w14:val="tx1"/>
                  </w14:solidFill>
                </w14:textFill>
              </w:rPr>
              <w:t>1</w:t>
            </w:r>
            <w:r>
              <w:rPr>
                <w:rFonts w:hint="default" w:ascii="Times New Roman" w:hAnsi="Times New Roman" w:eastAsia="宋体" w:cs="Times New Roman"/>
                <w:b/>
                <w:color w:val="000000" w:themeColor="text1"/>
                <w:sz w:val="24"/>
                <w14:textFill>
                  <w14:solidFill>
                    <w14:schemeClr w14:val="tx1"/>
                  </w14:solidFill>
                </w14:textFill>
              </w:rPr>
              <w:t xml:space="preserve">  </w:t>
            </w:r>
            <w:r>
              <w:rPr>
                <w:rFonts w:hint="default" w:ascii="Times New Roman" w:hAnsi="Times New Roman" w:eastAsia="宋体" w:cs="Times New Roman"/>
                <w:b/>
                <w:color w:val="000000" w:themeColor="text1"/>
                <w:sz w:val="24"/>
                <w:lang w:val="en-US" w:eastAsia="zh-CN"/>
                <w14:textFill>
                  <w14:solidFill>
                    <w14:schemeClr w14:val="tx1"/>
                  </w14:solidFill>
                </w14:textFill>
              </w:rPr>
              <w:t>与宝鸡市</w:t>
            </w:r>
            <w:r>
              <w:rPr>
                <w:rFonts w:hint="default" w:ascii="Times New Roman" w:hAnsi="Times New Roman" w:eastAsia="宋体" w:cs="Times New Roman"/>
                <w:b/>
                <w:color w:val="000000" w:themeColor="text1"/>
                <w:sz w:val="24"/>
                <w14:textFill>
                  <w14:solidFill>
                    <w14:schemeClr w14:val="tx1"/>
                  </w14:solidFill>
                </w14:textFill>
              </w:rPr>
              <w:t>“三线一单”符合性分析一览表</w:t>
            </w:r>
          </w:p>
          <w:tbl>
            <w:tblPr>
              <w:tblStyle w:val="22"/>
              <w:tblW w:w="4983"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08"/>
              <w:gridCol w:w="5592"/>
              <w:gridCol w:w="66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具体要求</w:t>
                  </w:r>
                </w:p>
              </w:tc>
              <w:tc>
                <w:tcPr>
                  <w:tcW w:w="553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本项目情况</w:t>
                  </w:r>
                </w:p>
              </w:tc>
              <w:tc>
                <w:tcPr>
                  <w:tcW w:w="657"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生态保护红线</w:t>
                  </w:r>
                </w:p>
              </w:tc>
              <w:tc>
                <w:tcPr>
                  <w:tcW w:w="5533" w:type="dxa"/>
                  <w:tcBorders>
                    <w:tl2br w:val="nil"/>
                    <w:tr2bl w:val="nil"/>
                  </w:tcBorders>
                  <w:noWrap w:val="0"/>
                  <w:vAlign w:val="center"/>
                </w:tcPr>
                <w:p>
                  <w:pPr>
                    <w:keepNext w:val="0"/>
                    <w:keepLines w:val="0"/>
                    <w:widowControl/>
                    <w:suppressLineNumbers w:val="0"/>
                    <w:jc w:val="both"/>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根据《冯家山水库饮用水水源保护区调整技术报告》</w:t>
                  </w:r>
                  <w:r>
                    <w:rPr>
                      <w:rFonts w:hint="eastAsia" w:ascii="Times New Roman" w:hAnsi="Times New Roman" w:cs="Times New Roman"/>
                      <w:color w:val="000000" w:themeColor="text1"/>
                      <w:sz w:val="21"/>
                      <w:szCs w:val="21"/>
                      <w:lang w:val="en-US" w:eastAsia="zh-CN"/>
                      <w14:textFill>
                        <w14:solidFill>
                          <w14:schemeClr w14:val="tx1"/>
                        </w14:solidFill>
                      </w14:textFill>
                    </w:rPr>
                    <w:t>（宝鸡市人民政府，2019年12月）</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冯家山水库饮用水源地二级保护区，陆域范围：一级保护区陆域外延至两岸分水岭，以及水库大坝上游11.8km至15.5km（从千河桥下游2300m至下游6000m）的水域两侧外至两岸分水岭。准保护区，水域范围：二级保护区以外的千河上游流域。陆域范围：准保护区水域两侧外延至两岸第一道分水岭。本</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净水厂</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位于陕西省宝鸡市陇县天成镇王马咀村东侧村道十字交叉口，</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输水管道和供水管网</w:t>
                  </w:r>
                  <w:r>
                    <w:rPr>
                      <w:rFonts w:hint="eastAsia" w:ascii="Times New Roman" w:hAnsi="Times New Roman" w:cs="Times New Roman"/>
                      <w:color w:val="000000" w:themeColor="text1"/>
                      <w:sz w:val="21"/>
                      <w:szCs w:val="21"/>
                      <w:lang w:val="en-US" w:eastAsia="zh-CN"/>
                      <w14:textFill>
                        <w14:solidFill>
                          <w14:schemeClr w14:val="tx1"/>
                        </w14:solidFill>
                      </w14:textFill>
                    </w:rPr>
                    <w:t>途经</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陇县温水镇、曹家湾镇、天成镇、城关镇</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（含县城区）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、东南镇、东风镇</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14:textFill>
                        <w14:solidFill>
                          <w14:schemeClr w14:val="tx1"/>
                        </w14:solidFill>
                      </w14:textFill>
                    </w:rPr>
                    <w:t>根据《宝鸡市“三线一单”生态环境分区管控方案》（宝政发〔2021〕19号），本项目所在区域属于一般管控单元</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（详见附图</w:t>
                  </w:r>
                  <w:r>
                    <w:rPr>
                      <w:rFonts w:hint="eastAsia" w:ascii="Times New Roman" w:hAnsi="Times New Roman"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，位于冯家</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山水库饮用水源地准保护区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准保护</w:t>
                  </w:r>
                  <w:r>
                    <w:rPr>
                      <w:rFonts w:hint="eastAsia" w:ascii="Times New Roman" w:hAnsi="Times New Roman" w:cs="Times New Roman"/>
                      <w:color w:val="000000" w:themeColor="text1"/>
                      <w:sz w:val="21"/>
                      <w:szCs w:val="21"/>
                      <w:lang w:val="en-US" w:eastAsia="zh-CN"/>
                      <w14:textFill>
                        <w14:solidFill>
                          <w14:schemeClr w14:val="tx1"/>
                        </w14:solidFill>
                      </w14:textFill>
                    </w:rPr>
                    <w:t>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范围内</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14:textFill>
                        <w14:solidFill>
                          <w14:schemeClr w14:val="tx1"/>
                        </w14:solidFill>
                      </w14:textFill>
                    </w:rPr>
                    <w:t>施工期及运营期严格执行环评提出的生态环境保护措施后，能有效落实生态环境保护基本要求。</w:t>
                  </w:r>
                </w:p>
                <w:p>
                  <w:pPr>
                    <w:keepNext w:val="0"/>
                    <w:keepLines w:val="0"/>
                    <w:widowControl/>
                    <w:suppressLineNumbers w:val="0"/>
                    <w:jc w:val="both"/>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14:textFill>
                        <w14:solidFill>
                          <w14:schemeClr w14:val="tx1"/>
                        </w14:solidFill>
                      </w14:textFill>
                    </w:rPr>
                    <w:t>本项目不涉及</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其他</w:t>
                  </w:r>
                  <w:r>
                    <w:rPr>
                      <w:rFonts w:hint="default" w:ascii="Times New Roman" w:hAnsi="Times New Roman" w:eastAsia="宋体" w:cs="Times New Roman"/>
                      <w:color w:val="000000" w:themeColor="text1"/>
                      <w:sz w:val="21"/>
                      <w:szCs w:val="21"/>
                      <w:vertAlign w:val="baseline"/>
                      <w14:textFill>
                        <w14:solidFill>
                          <w14:schemeClr w14:val="tx1"/>
                        </w14:solidFill>
                      </w14:textFill>
                    </w:rPr>
                    <w:t>自然保护区、森林公园、风景名胜区、世界文化自然遗产、地质公园等禁止开发的生态红线区、重点保护生态红线区以及脆弱生态保护红线区</w:t>
                  </w: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w:t>
                  </w:r>
                </w:p>
              </w:tc>
              <w:tc>
                <w:tcPr>
                  <w:tcW w:w="657"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环境质量底线</w:t>
                  </w:r>
                </w:p>
              </w:tc>
              <w:tc>
                <w:tcPr>
                  <w:tcW w:w="553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both"/>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拟建区域</w:t>
                  </w:r>
                  <w:r>
                    <w:rPr>
                      <w:rFonts w:hint="default" w:ascii="Times New Roman" w:hAnsi="Times New Roman" w:eastAsia="宋体" w:cs="Times New Roman"/>
                      <w:color w:val="000000" w:themeColor="text1"/>
                      <w:sz w:val="21"/>
                      <w:szCs w:val="21"/>
                      <w14:textFill>
                        <w14:solidFill>
                          <w14:schemeClr w14:val="tx1"/>
                        </w14:solidFill>
                      </w14:textFill>
                    </w:rPr>
                    <w:t>属于环境空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气达标区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千陇交界（水沟桥）</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和千湖（冯家山水库）</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断面</w:t>
                  </w:r>
                  <w:r>
                    <w:rPr>
                      <w:rFonts w:hint="default" w:ascii="Times New Roman" w:hAnsi="Times New Roman" w:eastAsia="宋体" w:cs="Times New Roman"/>
                      <w:color w:val="000000" w:themeColor="text1"/>
                      <w:sz w:val="21"/>
                      <w:szCs w:val="21"/>
                      <w14:textFill>
                        <w14:solidFill>
                          <w14:schemeClr w14:val="tx1"/>
                        </w14:solidFill>
                      </w14:textFill>
                    </w:rPr>
                    <w:t>水质满足《地表水环境质量标准》（GB3838-2002）中</w:t>
                  </w:r>
                  <w:r>
                    <w:rPr>
                      <w:rFonts w:hint="default" w:ascii="Times New Roman" w:hAnsi="Times New Roman" w:cs="Times New Roman"/>
                      <w:color w:val="000000" w:themeColor="text1"/>
                      <w:szCs w:val="21"/>
                      <w:lang w:val="en-US" w:eastAsia="zh-CN" w:bidi="ar"/>
                      <w14:textFill>
                        <w14:solidFill>
                          <w14:schemeClr w14:val="tx1"/>
                        </w14:solidFill>
                      </w14:textFill>
                    </w:rPr>
                    <w:t>Ⅱ</w:t>
                  </w:r>
                  <w:r>
                    <w:rPr>
                      <w:rFonts w:hint="default" w:ascii="Times New Roman" w:hAnsi="Times New Roman" w:eastAsia="宋体" w:cs="Times New Roman"/>
                      <w:color w:val="000000" w:themeColor="text1"/>
                      <w:sz w:val="21"/>
                      <w:szCs w:val="21"/>
                      <w14:textFill>
                        <w14:solidFill>
                          <w14:schemeClr w14:val="tx1"/>
                        </w14:solidFill>
                      </w14:textFill>
                    </w:rPr>
                    <w:t>类水域标准要求</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声环境质量</w:t>
                  </w:r>
                  <w:r>
                    <w:rPr>
                      <w:rFonts w:hint="default" w:ascii="Times New Roman" w:hAnsi="Times New Roman" w:eastAsia="宋体" w:cs="Times New Roman"/>
                      <w:color w:val="000000" w:themeColor="text1"/>
                      <w:sz w:val="21"/>
                      <w:szCs w:val="21"/>
                      <w14:textFill>
                        <w14:solidFill>
                          <w14:schemeClr w14:val="tx1"/>
                        </w14:solidFill>
                      </w14:textFill>
                    </w:rPr>
                    <w:t>满足《声环境质量标准》（GB3096-2008）2类声环境功能区标准</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本项目</w:t>
                  </w:r>
                  <w:r>
                    <w:rPr>
                      <w:rFonts w:hint="default" w:ascii="Times New Roman" w:hAnsi="Times New Roman" w:eastAsia="宋体" w:cs="Times New Roman"/>
                      <w:color w:val="000000" w:themeColor="text1"/>
                      <w:sz w:val="21"/>
                      <w:szCs w:val="21"/>
                      <w14:textFill>
                        <w14:solidFill>
                          <w14:schemeClr w14:val="tx1"/>
                        </w14:solidFill>
                      </w14:textFill>
                    </w:rPr>
                    <w:t>采取环评提出的各项环境保护措施后，污染物可以做到达标排放，本项目</w:t>
                  </w:r>
                  <w:r>
                    <w:rPr>
                      <w:rFonts w:hint="eastAsia" w:cs="Times New Roman"/>
                      <w:color w:val="000000" w:themeColor="text1"/>
                      <w:sz w:val="21"/>
                      <w:szCs w:val="21"/>
                      <w:lang w:val="en-US" w:eastAsia="zh-CN"/>
                      <w14:textFill>
                        <w14:solidFill>
                          <w14:schemeClr w14:val="tx1"/>
                        </w14:solidFill>
                      </w14:textFill>
                    </w:rPr>
                    <w:t>建成后拟建区域环境质量仍可维持现状，</w:t>
                  </w:r>
                  <w:r>
                    <w:rPr>
                      <w:rFonts w:hint="default" w:ascii="Times New Roman" w:hAnsi="Times New Roman" w:eastAsia="宋体" w:cs="Times New Roman"/>
                      <w:color w:val="000000" w:themeColor="text1"/>
                      <w:sz w:val="21"/>
                      <w:szCs w:val="21"/>
                      <w14:textFill>
                        <w14:solidFill>
                          <w14:schemeClr w14:val="tx1"/>
                        </w14:solidFill>
                      </w14:textFill>
                    </w:rPr>
                    <w:t>本项目</w:t>
                  </w:r>
                  <w:r>
                    <w:rPr>
                      <w:rFonts w:hint="eastAsia" w:cs="Times New Roman"/>
                      <w:color w:val="000000" w:themeColor="text1"/>
                      <w:sz w:val="21"/>
                      <w:szCs w:val="21"/>
                      <w:lang w:val="en-US" w:eastAsia="zh-CN"/>
                      <w14:textFill>
                        <w14:solidFill>
                          <w14:schemeClr w14:val="tx1"/>
                        </w14:solidFill>
                      </w14:textFill>
                    </w:rPr>
                    <w:t>对</w:t>
                  </w:r>
                  <w:r>
                    <w:rPr>
                      <w:rFonts w:hint="default" w:ascii="Times New Roman" w:hAnsi="Times New Roman" w:eastAsia="宋体" w:cs="Times New Roman"/>
                      <w:color w:val="000000" w:themeColor="text1"/>
                      <w:sz w:val="21"/>
                      <w:szCs w:val="21"/>
                      <w14:textFill>
                        <w14:solidFill>
                          <w14:schemeClr w14:val="tx1"/>
                        </w14:solidFill>
                      </w14:textFill>
                    </w:rPr>
                    <w:t>所在区域环境质量产生的影响可接受。</w:t>
                  </w:r>
                </w:p>
              </w:tc>
              <w:tc>
                <w:tcPr>
                  <w:tcW w:w="657"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资源利用上线</w:t>
                  </w:r>
                </w:p>
              </w:tc>
              <w:tc>
                <w:tcPr>
                  <w:tcW w:w="553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both"/>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本项目运营过程中主要能源消耗为水、电，</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根据《陇县城乡一体化供水工程水资源论证报告》，</w:t>
                  </w:r>
                  <w:r>
                    <w:rPr>
                      <w:rFonts w:hint="eastAsia" w:cs="Times New Roman"/>
                      <w:color w:val="000000" w:themeColor="text1"/>
                      <w:sz w:val="21"/>
                      <w:szCs w:val="21"/>
                      <w:lang w:val="en-US" w:eastAsia="zh-CN"/>
                      <w14:textFill>
                        <w14:solidFill>
                          <w14:schemeClr w14:val="tx1"/>
                        </w14:solidFill>
                      </w14:textFill>
                    </w:rPr>
                    <w:t>本</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项目的用水指标符合陕西省行业用水定额，用水合理。</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用地性质为工业用地</w:t>
                  </w:r>
                  <w:r>
                    <w:rPr>
                      <w:rFonts w:hint="default" w:ascii="Times New Roman" w:hAnsi="Times New Roman" w:eastAsia="宋体" w:cs="Times New Roman"/>
                      <w:color w:val="000000" w:themeColor="text1"/>
                      <w:sz w:val="21"/>
                      <w:szCs w:val="21"/>
                      <w14:textFill>
                        <w14:solidFill>
                          <w14:schemeClr w14:val="tx1"/>
                        </w14:solidFill>
                      </w14:textFill>
                    </w:rPr>
                    <w:t>，不占用基本农田，土地资源符合当地用地规划，资源利用不会对区域的资源利用造成明显影响。不触及资源利用上线。</w:t>
                  </w:r>
                </w:p>
              </w:tc>
              <w:tc>
                <w:tcPr>
                  <w:tcW w:w="657"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1"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宝鸡市生态环境总体准入清单</w:t>
                  </w:r>
                </w:p>
              </w:tc>
              <w:tc>
                <w:tcPr>
                  <w:tcW w:w="553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both"/>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经查阅关于印发《陕西省国家重点生态功能区产业准入负面清单（试行）》的通知（陕发改规划＜2018＞213号），本项目拟建地不在负面清单管理范围，本项目不属于负面清单禁止内项目</w:t>
                  </w:r>
                  <w:r>
                    <w:rPr>
                      <w:rFonts w:hint="default" w:ascii="Times New Roman" w:hAnsi="Times New Roman" w:eastAsia="宋体" w:cs="Times New Roman"/>
                      <w:color w:val="000000" w:themeColor="text1"/>
                      <w:sz w:val="21"/>
                      <w:szCs w:val="21"/>
                      <w:vertAlign w:val="baseline"/>
                      <w14:textFill>
                        <w14:solidFill>
                          <w14:schemeClr w14:val="tx1"/>
                        </w14:solidFill>
                      </w14:textFill>
                    </w:rPr>
                    <w:t>。</w:t>
                  </w:r>
                </w:p>
              </w:tc>
              <w:tc>
                <w:tcPr>
                  <w:tcW w:w="657"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1"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553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both"/>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14:textFill>
                        <w14:solidFill>
                          <w14:schemeClr w14:val="tx1"/>
                        </w14:solidFill>
                      </w14:textFill>
                    </w:rPr>
                    <w:t>坚决遏制高耗能高排放项目盲目发展</w:t>
                  </w: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14:textFill>
                        <w14:solidFill>
                          <w14:schemeClr w14:val="tx1"/>
                        </w14:solidFill>
                      </w14:textFill>
                    </w:rPr>
                    <w:t>关中地区严格控制新建、扩建化学制浆造纸、化工、印染、果汁和淀粉加工等</w:t>
                  </w:r>
                  <w:r>
                    <w:rPr>
                      <w:rFonts w:hint="default" w:ascii="Times New Roman" w:hAnsi="Times New Roman" w:eastAsia="宋体" w:cs="Times New Roman"/>
                      <w:color w:val="000000" w:themeColor="text1"/>
                      <w:szCs w:val="21"/>
                      <w14:textFill>
                        <w14:solidFill>
                          <w14:schemeClr w14:val="tx1"/>
                        </w14:solidFill>
                      </w14:textFill>
                    </w:rPr>
                    <w:t>高耗能、高排放</w:t>
                  </w:r>
                  <w:r>
                    <w:rPr>
                      <w:rFonts w:hint="default" w:ascii="Times New Roman" w:hAnsi="Times New Roman" w:eastAsia="宋体" w:cs="Times New Roman"/>
                      <w:color w:val="000000" w:themeColor="text1"/>
                      <w:sz w:val="21"/>
                      <w:szCs w:val="21"/>
                      <w:vertAlign w:val="baseline"/>
                      <w14:textFill>
                        <w14:solidFill>
                          <w14:schemeClr w14:val="tx1"/>
                        </w14:solidFill>
                      </w14:textFill>
                    </w:rPr>
                    <w:t>项目；严格控制煤电、石化、化工、钢铁、有色金属冶炼、建材等“两高”行业项目</w:t>
                  </w: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14:textFill>
                        <w14:solidFill>
                          <w14:schemeClr w14:val="tx1"/>
                        </w14:solidFill>
                      </w14:textFill>
                    </w:rPr>
                    <w:t>本项目为</w:t>
                  </w:r>
                  <w:r>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t>自来水的生产和供应</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业</w:t>
                  </w:r>
                  <w:r>
                    <w:rPr>
                      <w:rFonts w:hint="default" w:ascii="Times New Roman" w:hAnsi="Times New Roman" w:eastAsia="宋体" w:cs="Times New Roman"/>
                      <w:color w:val="000000" w:themeColor="text1"/>
                      <w:sz w:val="21"/>
                      <w:szCs w:val="21"/>
                      <w:vertAlign w:val="baseline"/>
                      <w14:textFill>
                        <w14:solidFill>
                          <w14:schemeClr w14:val="tx1"/>
                        </w14:solidFill>
                      </w14:textFill>
                    </w:rPr>
                    <w:t>，经检索《陕西省“两高”项目管理暂行目录（2022年版）》，不属于高耗能、高排放项目</w:t>
                  </w: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w:t>
                  </w:r>
                </w:p>
              </w:tc>
              <w:tc>
                <w:tcPr>
                  <w:tcW w:w="657"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、与相关生态环境保护法律法规政策、生态环境保护规划的符合性</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lang w:val="en-US" w:eastAsia="zh-CN"/>
                <w14:textFill>
                  <w14:solidFill>
                    <w14:schemeClr w14:val="tx1"/>
                  </w14:solidFill>
                </w14:textFill>
              </w:rPr>
              <w:t>与相关生态环境保护法律法规政策、生态环境保护规划符合性分析见表1-</w:t>
            </w:r>
            <w:r>
              <w:rPr>
                <w:rFonts w:hint="eastAsia" w:ascii="Times New Roman" w:hAnsi="Times New Roman" w:eastAsia="宋体"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jc w:val="both"/>
              <w:textAlignment w:val="baseline"/>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表1-</w:t>
            </w:r>
            <w:r>
              <w:rPr>
                <w:rFonts w:hint="eastAsia" w:eastAsia="宋体" w:cs="Times New Roman"/>
                <w:b/>
                <w:color w:val="000000" w:themeColor="text1"/>
                <w:sz w:val="24"/>
                <w:szCs w:val="24"/>
                <w:lang w:val="en-US" w:eastAsia="zh-CN"/>
                <w14:textFill>
                  <w14:solidFill>
                    <w14:schemeClr w14:val="tx1"/>
                  </w14:solidFill>
                </w14:textFill>
              </w:rPr>
              <w:t>2  本</w:t>
            </w:r>
            <w:r>
              <w:rPr>
                <w:rFonts w:hint="default" w:ascii="Times New Roman" w:hAnsi="Times New Roman" w:eastAsia="宋体" w:cs="Times New Roman"/>
                <w:b/>
                <w:color w:val="000000" w:themeColor="text1"/>
                <w:sz w:val="24"/>
                <w:szCs w:val="24"/>
                <w14:textFill>
                  <w14:solidFill>
                    <w14:schemeClr w14:val="tx1"/>
                  </w14:solidFill>
                </w14:textFill>
              </w:rPr>
              <w:t>项</w:t>
            </w:r>
            <w:r>
              <w:rPr>
                <w:rFonts w:hint="default" w:eastAsia="宋体" w:cs="Times New Roman"/>
                <w:b/>
                <w:color w:val="000000" w:themeColor="text1"/>
                <w:sz w:val="24"/>
                <w:szCs w:val="24"/>
                <w:lang w:val="en-US" w:eastAsia="zh-CN"/>
                <w14:textFill>
                  <w14:solidFill>
                    <w14:schemeClr w14:val="tx1"/>
                  </w14:solidFill>
                </w14:textFill>
              </w:rPr>
              <w:t>目与生态环境保护法律法规政策、生态环境保护规划符合性分析一览表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3129"/>
              <w:gridCol w:w="2162"/>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vAlign w:val="center"/>
                </w:tcPr>
                <w:p>
                  <w:pPr>
                    <w:autoSpaceDE w:val="0"/>
                    <w:autoSpaceDN w:val="0"/>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相关政策</w:t>
                  </w:r>
                </w:p>
              </w:tc>
              <w:tc>
                <w:tcPr>
                  <w:tcW w:w="2240" w:type="pct"/>
                  <w:vAlign w:val="center"/>
                </w:tcPr>
                <w:p>
                  <w:pPr>
                    <w:autoSpaceDE w:val="0"/>
                    <w:autoSpaceDN w:val="0"/>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具体要求</w:t>
                  </w:r>
                </w:p>
              </w:tc>
              <w:tc>
                <w:tcPr>
                  <w:tcW w:w="1548" w:type="pct"/>
                  <w:vAlign w:val="center"/>
                </w:tcPr>
                <w:p>
                  <w:pPr>
                    <w:autoSpaceDE w:val="0"/>
                    <w:autoSpaceDN w:val="0"/>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本项目情况</w:t>
                  </w:r>
                </w:p>
              </w:tc>
              <w:tc>
                <w:tcPr>
                  <w:tcW w:w="455" w:type="pct"/>
                  <w:vAlign w:val="center"/>
                </w:tcPr>
                <w:p>
                  <w:pPr>
                    <w:autoSpaceDE w:val="0"/>
                    <w:autoSpaceDN w:val="0"/>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vMerge w:val="restart"/>
                  <w:vAlign w:val="center"/>
                </w:tcPr>
                <w:p>
                  <w:pPr>
                    <w:autoSpaceDE w:val="0"/>
                    <w:autoSpaceDN w:val="0"/>
                    <w:jc w:val="center"/>
                    <w:rPr>
                      <w:rFonts w:hint="default" w:ascii="Times New Roman" w:hAnsi="Times New Roman" w:eastAsia="宋体" w:cs="Times New Roman"/>
                      <w:b/>
                      <w:bCs/>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《宝鸡市饮用水水源地保护条例》</w:t>
                  </w:r>
                </w:p>
              </w:tc>
              <w:tc>
                <w:tcPr>
                  <w:tcW w:w="2240" w:type="pct"/>
                  <w:vAlign w:val="center"/>
                </w:tcPr>
                <w:p>
                  <w:pP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在饮用水水源保护区和准保护区内，禁止以下行为：（一）倾倒工业废渣、垃圾及其他废弃物，或者贮存、堆放固体废弃物和其他污染物；（二）排放油类、酸液、碱液或者剧毒废液；（三）清洗装贮过油类、有毒污染物的车辆或者容器；（四）排放、倾倒放射性固体废弃物或者含有高放射性和中放射性物质的废水；（五）违反国家有关规定或标准，向水体排放热废水或者含病原体的污水；（六）法律法规规定的其他可能污染饮用水水体的行为。</w:t>
                  </w:r>
                </w:p>
              </w:tc>
              <w:tc>
                <w:tcPr>
                  <w:tcW w:w="1548" w:type="pct"/>
                  <w:vAlign w:val="center"/>
                </w:tcPr>
                <w:p>
                  <w:pP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（一）本项目不倾倒</w:t>
                  </w:r>
                  <w:r>
                    <w:rPr>
                      <w:rFonts w:hint="default" w:ascii="Times New Roman" w:hAnsi="Times New Roman" w:eastAsia="宋体" w:cs="Times New Roman"/>
                      <w:color w:val="000000" w:themeColor="text1"/>
                      <w:szCs w:val="21"/>
                      <w:lang w:val="en-US" w:eastAsia="zh-CN"/>
                      <w14:textFill>
                        <w14:solidFill>
                          <w14:schemeClr w14:val="tx1"/>
                        </w14:solidFill>
                      </w14:textFill>
                    </w:rPr>
                    <w:t>工业废渣、垃圾及其他废弃物，</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废</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机油和废油桶等均为更换时产生的危险废物，</w:t>
                  </w:r>
                  <w:r>
                    <w:rPr>
                      <w:rFonts w:hint="default" w:ascii="Times New Roman" w:hAnsi="Times New Roman" w:cs="Times New Roman"/>
                      <w:color w:val="000000" w:themeColor="text1"/>
                      <w:sz w:val="21"/>
                      <w:szCs w:val="21"/>
                      <w14:textFill>
                        <w14:solidFill>
                          <w14:schemeClr w14:val="tx1"/>
                        </w14:solidFill>
                      </w14:textFill>
                    </w:rPr>
                    <w:t>分类集中收集后，暂存于</w:t>
                  </w:r>
                  <w:r>
                    <w:rPr>
                      <w:rFonts w:hint="eastAsia" w:ascii="Times New Roman" w:hAnsi="Times New Roman" w:cs="Times New Roman"/>
                      <w:color w:val="000000" w:themeColor="text1"/>
                      <w:sz w:val="21"/>
                      <w:szCs w:val="21"/>
                      <w:lang w:val="en-US" w:eastAsia="zh-CN"/>
                      <w14:textFill>
                        <w14:solidFill>
                          <w14:schemeClr w14:val="tx1"/>
                        </w14:solidFill>
                      </w14:textFill>
                    </w:rPr>
                    <w:t>净水厂</w:t>
                  </w:r>
                  <w:r>
                    <w:rPr>
                      <w:rFonts w:hint="default" w:ascii="Times New Roman" w:hAnsi="Times New Roman" w:cs="Times New Roman"/>
                      <w:color w:val="000000" w:themeColor="text1"/>
                      <w:sz w:val="21"/>
                      <w:szCs w:val="21"/>
                      <w14:textFill>
                        <w14:solidFill>
                          <w14:schemeClr w14:val="tx1"/>
                        </w14:solidFill>
                      </w14:textFill>
                    </w:rPr>
                    <w:t>危废暂存间内，</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按照相关要求合理处置</w:t>
                  </w:r>
                  <w:r>
                    <w:rPr>
                      <w:rFonts w:hint="eastAsia" w:ascii="Times New Roman" w:hAnsi="Times New Roman" w:eastAsia="宋体" w:cs="Times New Roman"/>
                      <w:color w:val="000000" w:themeColor="text1"/>
                      <w:szCs w:val="21"/>
                      <w:lang w:val="en-US" w:eastAsia="zh-CN"/>
                      <w14:textFill>
                        <w14:solidFill>
                          <w14:schemeClr w14:val="tx1"/>
                        </w14:solidFill>
                      </w14:textFill>
                    </w:rPr>
                    <w:t>；（二）本项目不</w:t>
                  </w:r>
                  <w:r>
                    <w:rPr>
                      <w:rFonts w:hint="default" w:ascii="Times New Roman" w:hAnsi="Times New Roman" w:eastAsia="宋体" w:cs="Times New Roman"/>
                      <w:color w:val="000000" w:themeColor="text1"/>
                      <w:szCs w:val="21"/>
                      <w:lang w:val="en-US" w:eastAsia="zh-CN"/>
                      <w14:textFill>
                        <w14:solidFill>
                          <w14:schemeClr w14:val="tx1"/>
                        </w14:solidFill>
                      </w14:textFill>
                    </w:rPr>
                    <w:t>排放油类、酸液、碱液或者剧毒废液；</w:t>
                  </w:r>
                  <w:r>
                    <w:rPr>
                      <w:rFonts w:hint="eastAsia" w:ascii="Times New Roman" w:hAnsi="Times New Roman" w:eastAsia="宋体" w:cs="Times New Roman"/>
                      <w:color w:val="000000" w:themeColor="text1"/>
                      <w:szCs w:val="21"/>
                      <w:lang w:val="en-US" w:eastAsia="zh-CN"/>
                      <w14:textFill>
                        <w14:solidFill>
                          <w14:schemeClr w14:val="tx1"/>
                        </w14:solidFill>
                      </w14:textFill>
                    </w:rPr>
                    <w:t>（三）本项目不</w:t>
                  </w:r>
                  <w:r>
                    <w:rPr>
                      <w:rFonts w:hint="default" w:ascii="Times New Roman" w:hAnsi="Times New Roman" w:eastAsia="宋体" w:cs="Times New Roman"/>
                      <w:color w:val="000000" w:themeColor="text1"/>
                      <w:szCs w:val="21"/>
                      <w:lang w:val="en-US" w:eastAsia="zh-CN"/>
                      <w14:textFill>
                        <w14:solidFill>
                          <w14:schemeClr w14:val="tx1"/>
                        </w14:solidFill>
                      </w14:textFill>
                    </w:rPr>
                    <w:t>清洗装贮过油类、有毒污染物的车辆或者容器；（四）</w:t>
                  </w:r>
                  <w:r>
                    <w:rPr>
                      <w:rFonts w:hint="eastAsia" w:ascii="Times New Roman" w:hAnsi="Times New Roman" w:eastAsia="宋体" w:cs="Times New Roman"/>
                      <w:color w:val="000000" w:themeColor="text1"/>
                      <w:szCs w:val="21"/>
                      <w:lang w:val="en-US" w:eastAsia="zh-CN"/>
                      <w14:textFill>
                        <w14:solidFill>
                          <w14:schemeClr w14:val="tx1"/>
                        </w14:solidFill>
                      </w14:textFill>
                    </w:rPr>
                    <w:t>本项目不</w:t>
                  </w:r>
                  <w:r>
                    <w:rPr>
                      <w:rFonts w:hint="default" w:ascii="Times New Roman" w:hAnsi="Times New Roman" w:eastAsia="宋体" w:cs="Times New Roman"/>
                      <w:color w:val="000000" w:themeColor="text1"/>
                      <w:szCs w:val="21"/>
                      <w:lang w:val="en-US" w:eastAsia="zh-CN"/>
                      <w14:textFill>
                        <w14:solidFill>
                          <w14:schemeClr w14:val="tx1"/>
                        </w14:solidFill>
                      </w14:textFill>
                    </w:rPr>
                    <w:t>排放、倾倒放射性固体废弃物或者含有高放射性和中放射性物质的废水；（五）</w:t>
                  </w:r>
                  <w:r>
                    <w:rPr>
                      <w:rFonts w:hint="eastAsia" w:ascii="Times New Roman" w:hAnsi="Times New Roman" w:eastAsia="宋体" w:cs="Times New Roman"/>
                      <w:color w:val="000000" w:themeColor="text1"/>
                      <w:szCs w:val="21"/>
                      <w:lang w:val="en-US" w:eastAsia="zh-CN"/>
                      <w14:textFill>
                        <w14:solidFill>
                          <w14:schemeClr w14:val="tx1"/>
                        </w14:solidFill>
                      </w14:textFill>
                    </w:rPr>
                    <w:t>本项目不</w:t>
                  </w:r>
                  <w:r>
                    <w:rPr>
                      <w:rFonts w:hint="default" w:ascii="Times New Roman" w:hAnsi="Times New Roman" w:eastAsia="宋体" w:cs="Times New Roman"/>
                      <w:color w:val="000000" w:themeColor="text1"/>
                      <w:szCs w:val="21"/>
                      <w:lang w:val="en-US" w:eastAsia="zh-CN"/>
                      <w14:textFill>
                        <w14:solidFill>
                          <w14:schemeClr w14:val="tx1"/>
                        </w14:solidFill>
                      </w14:textFill>
                    </w:rPr>
                    <w:t>向水体排放热废水或者含病原体的污水；（六）</w:t>
                  </w:r>
                  <w:r>
                    <w:rPr>
                      <w:rFonts w:hint="eastAsia" w:ascii="Times New Roman" w:hAnsi="Times New Roman" w:eastAsia="宋体" w:cs="Times New Roman"/>
                      <w:color w:val="000000" w:themeColor="text1"/>
                      <w:szCs w:val="21"/>
                      <w:lang w:val="en-US" w:eastAsia="zh-CN"/>
                      <w14:textFill>
                        <w14:solidFill>
                          <w14:schemeClr w14:val="tx1"/>
                        </w14:solidFill>
                      </w14:textFill>
                    </w:rPr>
                    <w:t>本项目</w:t>
                  </w:r>
                  <w:r>
                    <w:rPr>
                      <w:rFonts w:hint="eastAsia" w:cs="Times New Roman"/>
                      <w:color w:val="000000" w:themeColor="text1"/>
                      <w:szCs w:val="21"/>
                      <w:lang w:val="en-US" w:eastAsia="zh-CN"/>
                      <w14:textFill>
                        <w14:solidFill>
                          <w14:schemeClr w14:val="tx1"/>
                        </w14:solidFill>
                      </w14:textFill>
                    </w:rPr>
                    <w:t>废水不外排，不设置排污口</w:t>
                  </w:r>
                  <w:r>
                    <w:rPr>
                      <w:rFonts w:hint="eastAsia" w:ascii="Times New Roman" w:hAnsi="Times New Roman" w:cs="Times New Roman"/>
                      <w:color w:val="000000" w:themeColor="text1"/>
                      <w:szCs w:val="21"/>
                      <w:lang w:val="en-US"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不涉及</w:t>
                  </w:r>
                  <w:r>
                    <w:rPr>
                      <w:rFonts w:hint="default" w:ascii="Times New Roman" w:hAnsi="Times New Roman" w:eastAsia="宋体" w:cs="Times New Roman"/>
                      <w:color w:val="000000" w:themeColor="text1"/>
                      <w:szCs w:val="21"/>
                      <w:lang w:val="en-US" w:eastAsia="zh-CN"/>
                      <w14:textFill>
                        <w14:solidFill>
                          <w14:schemeClr w14:val="tx1"/>
                        </w14:solidFill>
                      </w14:textFill>
                    </w:rPr>
                    <w:t>其他可能污染饮用水水体的行为</w:t>
                  </w: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455" w:type="pct"/>
                  <w:vAlign w:val="center"/>
                </w:tcPr>
                <w:p>
                  <w:pP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6" w:type="pct"/>
                  <w:vMerge w:val="continue"/>
                  <w:vAlign w:val="center"/>
                </w:tcPr>
                <w:p>
                  <w:pPr>
                    <w:autoSpaceDE w:val="0"/>
                    <w:autoSpaceDN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2240" w:type="pct"/>
                  <w:vAlign w:val="center"/>
                </w:tcPr>
                <w:p>
                  <w:pP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禁止在饮用水水源保护区内设置排污口。</w:t>
                  </w:r>
                </w:p>
              </w:tc>
              <w:tc>
                <w:tcPr>
                  <w:tcW w:w="1548" w:type="pct"/>
                  <w:vAlign w:val="center"/>
                </w:tcPr>
                <w:p>
                  <w:pPr>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本项目</w:t>
                  </w:r>
                  <w:r>
                    <w:rPr>
                      <w:rFonts w:hint="default" w:ascii="Times New Roman" w:hAnsi="Times New Roman" w:eastAsia="宋体" w:cs="Times New Roman"/>
                      <w:color w:val="000000" w:themeColor="text1"/>
                      <w:kern w:val="0"/>
                      <w:szCs w:val="21"/>
                      <w14:textFill>
                        <w14:solidFill>
                          <w14:schemeClr w14:val="tx1"/>
                        </w14:solidFill>
                      </w14:textFill>
                    </w:rPr>
                    <w:t>V型滤池的反洗废水</w:t>
                  </w:r>
                  <w:r>
                    <w:rPr>
                      <w:rFonts w:hint="default" w:ascii="Times New Roman" w:hAnsi="Times New Roman" w:cs="Times New Roman"/>
                      <w:color w:val="000000" w:themeColor="text1"/>
                      <w:kern w:val="0"/>
                      <w:szCs w:val="21"/>
                      <w:lang w:eastAsia="zh-CN"/>
                      <w14:textFill>
                        <w14:solidFill>
                          <w14:schemeClr w14:val="tx1"/>
                        </w14:solidFill>
                      </w14:textFill>
                    </w:rPr>
                    <w:t>、</w:t>
                  </w:r>
                  <w:r>
                    <w:rPr>
                      <w:rFonts w:hint="default" w:ascii="Times New Roman" w:hAnsi="Times New Roman" w:cs="Times New Roman"/>
                      <w:color w:val="000000" w:themeColor="text1"/>
                      <w:kern w:val="0"/>
                      <w:szCs w:val="21"/>
                      <w:lang w:val="en-US" w:eastAsia="zh-CN"/>
                      <w14:textFill>
                        <w14:solidFill>
                          <w14:schemeClr w14:val="tx1"/>
                        </w14:solidFill>
                      </w14:textFill>
                    </w:rPr>
                    <w:t>污泥脱水过程产生的废水经</w:t>
                  </w:r>
                  <w:r>
                    <w:rPr>
                      <w:rFonts w:hint="default" w:ascii="Times New Roman" w:hAnsi="Times New Roman" w:eastAsia="宋体" w:cs="Times New Roman"/>
                      <w:color w:val="000000" w:themeColor="text1"/>
                      <w:kern w:val="0"/>
                      <w:szCs w:val="21"/>
                      <w14:textFill>
                        <w14:solidFill>
                          <w14:schemeClr w14:val="tx1"/>
                        </w14:solidFill>
                      </w14:textFill>
                    </w:rPr>
                    <w:t>重力排入回收水池，经泵提升至配水井，重新进入系统回收利用</w:t>
                  </w:r>
                  <w:r>
                    <w:rPr>
                      <w:rFonts w:hint="default" w:ascii="Times New Roman" w:hAnsi="Times New Roman" w:eastAsia="宋体" w:cs="Times New Roman"/>
                      <w:color w:val="000000" w:themeColor="text1"/>
                      <w:kern w:val="0"/>
                      <w:szCs w:val="21"/>
                      <w:lang w:eastAsia="zh-CN"/>
                      <w14:textFill>
                        <w14:solidFill>
                          <w14:schemeClr w14:val="tx1"/>
                        </w14:solidFill>
                      </w14:textFill>
                    </w:rPr>
                    <w:t>；</w:t>
                  </w:r>
                  <w:r>
                    <w:rPr>
                      <w:rFonts w:hint="default" w:ascii="Times New Roman" w:hAnsi="Times New Roman" w:cs="Times New Roman"/>
                      <w:color w:val="000000" w:themeColor="text1"/>
                      <w:kern w:val="0"/>
                      <w:szCs w:val="21"/>
                      <w:lang w:val="en-US" w:eastAsia="zh-CN"/>
                      <w14:textFill>
                        <w14:solidFill>
                          <w14:schemeClr w14:val="tx1"/>
                        </w14:solidFill>
                      </w14:textFill>
                    </w:rPr>
                    <w:t>污泥脱水过程产生的废水返回沉淀、过滤工序处理再利用，不外排</w:t>
                  </w:r>
                  <w:r>
                    <w:rPr>
                      <w:rFonts w:hint="default" w:ascii="Times New Roman" w:hAnsi="Times New Roman" w:cs="Times New Roman"/>
                      <w:color w:val="000000" w:themeColor="text1"/>
                      <w:kern w:val="0"/>
                      <w:szCs w:val="21"/>
                      <w:lang w:eastAsia="zh-CN"/>
                      <w14:textFill>
                        <w14:solidFill>
                          <w14:schemeClr w14:val="tx1"/>
                        </w14:solidFill>
                      </w14:textFill>
                    </w:rPr>
                    <w:t>；</w:t>
                  </w:r>
                  <w:r>
                    <w:rPr>
                      <w:rFonts w:hint="default" w:ascii="Times New Roman" w:hAnsi="Times New Roman" w:eastAsia="宋体" w:cs="Times New Roman"/>
                      <w:color w:val="000000" w:themeColor="text1"/>
                      <w:kern w:val="0"/>
                      <w:szCs w:val="21"/>
                      <w14:textFill>
                        <w14:solidFill>
                          <w14:schemeClr w14:val="tx1"/>
                        </w14:solidFill>
                      </w14:textFill>
                    </w:rPr>
                    <w:t>生活污水</w:t>
                  </w:r>
                  <w:r>
                    <w:rPr>
                      <w:rFonts w:hint="default" w:ascii="Times New Roman" w:hAnsi="Times New Roman" w:cs="Times New Roman"/>
                      <w:color w:val="000000" w:themeColor="text1"/>
                      <w:kern w:val="0"/>
                      <w:szCs w:val="21"/>
                      <w:lang w:val="en-US" w:eastAsia="zh-CN"/>
                      <w14:textFill>
                        <w14:solidFill>
                          <w14:schemeClr w14:val="tx1"/>
                        </w14:solidFill>
                      </w14:textFill>
                    </w:rPr>
                    <w:t>经</w:t>
                  </w:r>
                  <w:r>
                    <w:rPr>
                      <w:rFonts w:hint="default" w:ascii="Times New Roman" w:hAnsi="Times New Roman" w:eastAsia="宋体" w:cs="Times New Roman"/>
                      <w:color w:val="000000" w:themeColor="text1"/>
                      <w:kern w:val="0"/>
                      <w:szCs w:val="21"/>
                      <w14:textFill>
                        <w14:solidFill>
                          <w14:schemeClr w14:val="tx1"/>
                        </w14:solidFill>
                      </w14:textFill>
                    </w:rPr>
                    <w:t>化粪池收集后</w:t>
                  </w:r>
                  <w:r>
                    <w:rPr>
                      <w:rFonts w:hint="default" w:ascii="Times New Roman" w:hAnsi="Times New Roman" w:cs="Times New Roman"/>
                      <w:color w:val="000000" w:themeColor="text1"/>
                      <w:kern w:val="0"/>
                      <w:szCs w:val="21"/>
                      <w:lang w:val="en-US" w:eastAsia="zh-CN"/>
                      <w14:textFill>
                        <w14:solidFill>
                          <w14:schemeClr w14:val="tx1"/>
                        </w14:solidFill>
                      </w14:textFill>
                    </w:rPr>
                    <w:t>由周边农户定期清运肥田</w:t>
                  </w:r>
                  <w:r>
                    <w:rPr>
                      <w:rFonts w:hint="eastAsia" w:ascii="Times New Roman" w:hAnsi="Times New Roman" w:cs="Times New Roman"/>
                      <w:color w:val="000000" w:themeColor="text1"/>
                      <w:kern w:val="0"/>
                      <w:szCs w:val="21"/>
                      <w:lang w:val="en-US" w:eastAsia="zh-CN"/>
                      <w14:textFill>
                        <w14:solidFill>
                          <w14:schemeClr w14:val="tx1"/>
                        </w14:solidFill>
                      </w14:textFill>
                    </w:rPr>
                    <w:t>。本项目</w:t>
                  </w:r>
                  <w:r>
                    <w:rPr>
                      <w:rFonts w:hint="eastAsia" w:cs="Times New Roman"/>
                      <w:color w:val="000000" w:themeColor="text1"/>
                      <w:szCs w:val="21"/>
                      <w:lang w:val="en-US" w:eastAsia="zh-CN"/>
                      <w14:textFill>
                        <w14:solidFill>
                          <w14:schemeClr w14:val="tx1"/>
                        </w14:solidFill>
                      </w14:textFill>
                    </w:rPr>
                    <w:t>无废水外排，不设置排污口</w:t>
                  </w: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455" w:type="pct"/>
                  <w:vAlign w:val="center"/>
                </w:tcPr>
                <w:p>
                  <w:pP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vMerge w:val="continue"/>
                  <w:vAlign w:val="center"/>
                </w:tcPr>
                <w:p>
                  <w:pPr>
                    <w:autoSpaceDE w:val="0"/>
                    <w:autoSpaceDN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2240" w:type="pct"/>
                  <w:vAlign w:val="center"/>
                </w:tcPr>
                <w:p>
                  <w:pP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禁止在饮用水水源保护区内使用农药。</w:t>
                  </w:r>
                </w:p>
              </w:tc>
              <w:tc>
                <w:tcPr>
                  <w:tcW w:w="1548"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本项目不使用农药。</w:t>
                  </w:r>
                </w:p>
              </w:tc>
              <w:tc>
                <w:tcPr>
                  <w:tcW w:w="455" w:type="pct"/>
                  <w:vAlign w:val="center"/>
                </w:tcPr>
                <w:p>
                  <w:pP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vMerge w:val="continue"/>
                  <w:vAlign w:val="center"/>
                </w:tcPr>
                <w:p>
                  <w:pPr>
                    <w:autoSpaceDE w:val="0"/>
                    <w:autoSpaceDN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2240" w:type="pct"/>
                  <w:vAlign w:val="center"/>
                </w:tcPr>
                <w:p>
                  <w:pP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禁止在饮用水水源准保护区内新建、扩建油库、制药、化工等对水体污染严重的建设项目；改建建设项目，不得增加排污量。</w:t>
                  </w:r>
                </w:p>
              </w:tc>
              <w:tc>
                <w:tcPr>
                  <w:tcW w:w="1548" w:type="pct"/>
                  <w:vAlign w:val="center"/>
                </w:tcPr>
                <w:p>
                  <w:pP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32"/>
                      <w:lang w:val="en-US" w:eastAsia="zh-CN" w:bidi="ar-SA"/>
                      <w14:textFill>
                        <w14:solidFill>
                          <w14:schemeClr w14:val="tx1"/>
                        </w14:solidFill>
                      </w14:textFill>
                    </w:rPr>
                    <w:t>本项目</w:t>
                  </w:r>
                  <w:r>
                    <w:rPr>
                      <w:rFonts w:hint="eastAsia" w:ascii="Times New Roman" w:hAnsi="Times New Roman" w:eastAsia="宋体" w:cs="Times New Roman"/>
                      <w:bCs/>
                      <w:color w:val="000000" w:themeColor="text1"/>
                      <w:kern w:val="0"/>
                      <w:sz w:val="21"/>
                      <w:szCs w:val="32"/>
                      <w:lang w:val="en-US" w:eastAsia="zh-CN" w:bidi="ar-SA"/>
                      <w14:textFill>
                        <w14:solidFill>
                          <w14:schemeClr w14:val="tx1"/>
                        </w14:solidFill>
                      </w14:textFill>
                    </w:rPr>
                    <w:t>为新建项目，属于</w:t>
                  </w:r>
                  <w:r>
                    <w:rPr>
                      <w:rFonts w:hint="default" w:ascii="Times New Roman" w:hAnsi="Times New Roman" w:eastAsia="宋体" w:cs="Times New Roman"/>
                      <w:bCs/>
                      <w:color w:val="000000" w:themeColor="text1"/>
                      <w:kern w:val="0"/>
                      <w:sz w:val="21"/>
                      <w:szCs w:val="32"/>
                      <w:lang w:val="en-US" w:eastAsia="zh-CN" w:bidi="ar-SA"/>
                      <w14:textFill>
                        <w14:solidFill>
                          <w14:schemeClr w14:val="tx1"/>
                        </w14:solidFill>
                      </w14:textFill>
                    </w:rPr>
                    <w:t>自来水生产和供应业</w:t>
                  </w:r>
                  <w:r>
                    <w:rPr>
                      <w:rFonts w:hint="eastAsia" w:ascii="Times New Roman" w:hAnsi="Times New Roman" w:eastAsia="宋体" w:cs="Times New Roman"/>
                      <w:bCs/>
                      <w:color w:val="000000" w:themeColor="text1"/>
                      <w:kern w:val="0"/>
                      <w:sz w:val="21"/>
                      <w:szCs w:val="32"/>
                      <w:lang w:val="en-US" w:eastAsia="zh-CN" w:bidi="ar-SA"/>
                      <w14:textFill>
                        <w14:solidFill>
                          <w14:schemeClr w14:val="tx1"/>
                        </w14:solidFill>
                      </w14:textFill>
                    </w:rPr>
                    <w:t>，</w:t>
                  </w:r>
                  <w:r>
                    <w:rPr>
                      <w:rFonts w:hint="eastAsia" w:ascii="Times New Roman" w:hAnsi="Times New Roman" w:cs="Times New Roman"/>
                      <w:bCs/>
                      <w:color w:val="000000" w:themeColor="text1"/>
                      <w:kern w:val="0"/>
                      <w:sz w:val="21"/>
                      <w:szCs w:val="32"/>
                      <w:lang w:val="en-US" w:eastAsia="zh-CN" w:bidi="ar-SA"/>
                      <w14:textFill>
                        <w14:solidFill>
                          <w14:schemeClr w14:val="tx1"/>
                        </w14:solidFill>
                      </w14:textFill>
                    </w:rPr>
                    <w:t>不属于</w:t>
                  </w:r>
                  <w:r>
                    <w:rPr>
                      <w:rFonts w:hint="eastAsia" w:ascii="Times New Roman" w:hAnsi="Times New Roman" w:eastAsia="宋体" w:cs="Times New Roman"/>
                      <w:color w:val="000000" w:themeColor="text1"/>
                      <w:szCs w:val="21"/>
                      <w:lang w:val="en-US" w:eastAsia="zh-CN"/>
                      <w14:textFill>
                        <w14:solidFill>
                          <w14:schemeClr w14:val="tx1"/>
                        </w14:solidFill>
                      </w14:textFill>
                    </w:rPr>
                    <w:t>对水体污染严重的建设项目</w:t>
                  </w:r>
                  <w:r>
                    <w:rPr>
                      <w:rFonts w:hint="eastAsia" w:ascii="Times New Roman" w:hAnsi="Times New Roman" w:cs="Times New Roman"/>
                      <w:color w:val="000000" w:themeColor="text1"/>
                      <w:szCs w:val="21"/>
                      <w:lang w:val="en-US" w:eastAsia="zh-CN"/>
                      <w14:textFill>
                        <w14:solidFill>
                          <w14:schemeClr w14:val="tx1"/>
                        </w14:solidFill>
                      </w14:textFill>
                    </w:rPr>
                    <w:t>。</w:t>
                  </w:r>
                </w:p>
              </w:tc>
              <w:tc>
                <w:tcPr>
                  <w:tcW w:w="455" w:type="pct"/>
                  <w:vAlign w:val="center"/>
                </w:tcPr>
                <w:p>
                  <w:pP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vAlign w:val="center"/>
                </w:tcPr>
                <w:p>
                  <w:pPr>
                    <w:autoSpaceDE w:val="0"/>
                    <w:autoSpaceDN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《陕西省第一批不纳入环境影响评价管理的项目目录（试行）》（陕环环评函〔2020〕16号）</w:t>
                  </w:r>
                </w:p>
              </w:tc>
              <w:tc>
                <w:tcPr>
                  <w:tcW w:w="2240" w:type="pct"/>
                  <w:vAlign w:val="center"/>
                </w:tcPr>
                <w:p>
                  <w:pP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《目录（试行）》内涉及的14大类39小类项目，原则上不纳入建设项目环境影响评价管理，但不免除建设单位应当承担的生态环境保护责任。</w:t>
                  </w:r>
                </w:p>
              </w:tc>
              <w:tc>
                <w:tcPr>
                  <w:tcW w:w="1548" w:type="pct"/>
                  <w:vAlign w:val="center"/>
                </w:tcPr>
                <w:p>
                  <w:pPr>
                    <w:rPr>
                      <w:rFonts w:hint="default" w:ascii="Times New Roman" w:hAnsi="Times New Roman" w:eastAsia="宋体" w:cs="Times New Roman"/>
                      <w:bCs/>
                      <w:color w:val="000000" w:themeColor="text1"/>
                      <w:kern w:val="0"/>
                      <w:sz w:val="21"/>
                      <w:szCs w:val="32"/>
                      <w:lang w:val="en-US" w:eastAsia="zh-CN" w:bidi="ar-SA"/>
                      <w14:textFill>
                        <w14:solidFill>
                          <w14:schemeClr w14:val="tx1"/>
                        </w14:solidFill>
                      </w14:textFill>
                    </w:rPr>
                  </w:pPr>
                  <w:r>
                    <w:rPr>
                      <w:rFonts w:hint="eastAsia" w:ascii="Times New Roman" w:hAnsi="Times New Roman" w:cs="Times New Roman"/>
                      <w:bCs/>
                      <w:color w:val="000000" w:themeColor="text1"/>
                      <w:kern w:val="0"/>
                      <w:sz w:val="21"/>
                      <w:szCs w:val="32"/>
                      <w:lang w:val="en-US" w:eastAsia="zh-CN" w:bidi="ar-SA"/>
                      <w14:textFill>
                        <w14:solidFill>
                          <w14:schemeClr w14:val="tx1"/>
                        </w14:solidFill>
                      </w14:textFill>
                    </w:rPr>
                    <w:t>经查阅</w:t>
                  </w:r>
                  <w:r>
                    <w:rPr>
                      <w:rFonts w:hint="eastAsia" w:ascii="Times New Roman" w:hAnsi="Times New Roman" w:eastAsia="宋体" w:cs="Times New Roman"/>
                      <w:color w:val="000000" w:themeColor="text1"/>
                      <w:kern w:val="0"/>
                      <w:szCs w:val="21"/>
                      <w14:textFill>
                        <w14:solidFill>
                          <w14:schemeClr w14:val="tx1"/>
                        </w14:solidFill>
                      </w14:textFill>
                    </w:rPr>
                    <w:t>《陕西省第一批不纳入环境影响评价管理的项目目录（试行）》（陕环环评函〔2020〕16号）</w:t>
                  </w:r>
                  <w:r>
                    <w:rPr>
                      <w:rFonts w:hint="eastAsia" w:ascii="Times New Roman" w:hAnsi="Times New Roman" w:cs="Times New Roman"/>
                      <w:color w:val="000000" w:themeColor="text1"/>
                      <w:kern w:val="0"/>
                      <w:szCs w:val="21"/>
                      <w:lang w:eastAsia="zh-CN"/>
                      <w14:textFill>
                        <w14:solidFill>
                          <w14:schemeClr w14:val="tx1"/>
                        </w14:solidFill>
                      </w14:textFill>
                    </w:rPr>
                    <w:t>，</w:t>
                  </w:r>
                  <w:r>
                    <w:rPr>
                      <w:rFonts w:hint="eastAsia" w:ascii="Times New Roman" w:hAnsi="Times New Roman" w:cs="Times New Roman"/>
                      <w:color w:val="000000" w:themeColor="text1"/>
                      <w:kern w:val="0"/>
                      <w:szCs w:val="21"/>
                      <w:lang w:val="en-US" w:eastAsia="zh-CN"/>
                      <w14:textFill>
                        <w14:solidFill>
                          <w14:schemeClr w14:val="tx1"/>
                        </w14:solidFill>
                      </w14:textFill>
                    </w:rPr>
                    <w:t>本项目不属于其</w:t>
                  </w:r>
                  <w:r>
                    <w:rPr>
                      <w:rFonts w:hint="eastAsia" w:ascii="Times New Roman" w:hAnsi="Times New Roman" w:eastAsia="宋体" w:cs="Times New Roman"/>
                      <w:color w:val="000000" w:themeColor="text1"/>
                      <w:szCs w:val="21"/>
                      <w:lang w:val="en-US" w:eastAsia="zh-CN"/>
                      <w14:textFill>
                        <w14:solidFill>
                          <w14:schemeClr w14:val="tx1"/>
                        </w14:solidFill>
                      </w14:textFill>
                    </w:rPr>
                    <w:t>14大类</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39小类项目。</w:t>
                  </w:r>
                </w:p>
              </w:tc>
              <w:tc>
                <w:tcPr>
                  <w:tcW w:w="455" w:type="pct"/>
                  <w:vAlign w:val="center"/>
                </w:tcPr>
                <w:p>
                  <w:pP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vMerge w:val="restart"/>
                  <w:vAlign w:val="center"/>
                </w:tcPr>
                <w:p>
                  <w:pPr>
                    <w:autoSpaceDE w:val="0"/>
                    <w:autoSpaceDN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《陕西省“十四五”生态环境保护规划》</w:t>
                  </w:r>
                </w:p>
              </w:tc>
              <w:tc>
                <w:tcPr>
                  <w:tcW w:w="2240" w:type="pct"/>
                  <w:vAlign w:val="center"/>
                </w:tcPr>
                <w:p>
                  <w:pPr>
                    <w:autoSpaceDE w:val="0"/>
                    <w:autoSpaceDN w:val="0"/>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加强扬尘精细化管控。建立扬尘污染源清单，实现扬尘污染源动态管理，构建“过程全覆盖、管理全方位、责任全链条” 的扬尘防治体系。全面推行绿色施工，将绿色施工纳入企业资质和信用评价。</w:t>
                  </w:r>
                </w:p>
              </w:tc>
              <w:tc>
                <w:tcPr>
                  <w:tcW w:w="1548" w:type="pct"/>
                  <w:vAlign w:val="center"/>
                </w:tcPr>
                <w:p>
                  <w:pPr>
                    <w:autoSpaceDE w:val="0"/>
                    <w:autoSpaceDN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本项目施工过程中采用洒水、覆盖、硬化、冲洗、绿化、围挡等措施进行扬尘管理。</w:t>
                  </w:r>
                </w:p>
              </w:tc>
              <w:tc>
                <w:tcPr>
                  <w:tcW w:w="455" w:type="pct"/>
                  <w:vAlign w:val="center"/>
                </w:tcPr>
                <w:p>
                  <w:pPr>
                    <w:autoSpaceDE w:val="0"/>
                    <w:autoSpaceDN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vMerge w:val="continue"/>
                  <w:vAlign w:val="center"/>
                </w:tcPr>
                <w:p>
                  <w:pPr>
                    <w:autoSpaceDE w:val="0"/>
                    <w:autoSpaceDN w:val="0"/>
                    <w:jc w:val="center"/>
                    <w:rPr>
                      <w:rFonts w:hint="default" w:ascii="Times New Roman" w:hAnsi="Times New Roman" w:cs="Times New Roman"/>
                      <w:color w:val="000000" w:themeColor="text1"/>
                      <w:kern w:val="0"/>
                      <w:szCs w:val="21"/>
                      <w14:textFill>
                        <w14:solidFill>
                          <w14:schemeClr w14:val="tx1"/>
                        </w14:solidFill>
                      </w14:textFill>
                    </w:rPr>
                  </w:pPr>
                </w:p>
              </w:tc>
              <w:tc>
                <w:tcPr>
                  <w:tcW w:w="2240" w:type="pct"/>
                  <w:vAlign w:val="center"/>
                </w:tcPr>
                <w:p>
                  <w:pPr>
                    <w:adjustRightInd/>
                    <w:snapToGrid/>
                    <w:spacing w:line="240" w:lineRule="auto"/>
                    <w:ind w:firstLine="0" w:firstLineChars="0"/>
                    <w:jc w:val="both"/>
                    <w:rPr>
                      <w:rFonts w:hint="default" w:ascii="Times New Roman" w:hAnsi="Times New Roman" w:eastAsia="宋体" w:cs="Times New Roman"/>
                      <w:color w:val="000000" w:themeColor="text1"/>
                      <w:sz w:val="21"/>
                      <w:szCs w:val="21"/>
                      <w:lang w:val="en-US" w:eastAsia="zh-Hans"/>
                      <w14:textFill>
                        <w14:solidFill>
                          <w14:schemeClr w14:val="tx1"/>
                        </w14:solidFill>
                      </w14:textFill>
                    </w:rPr>
                  </w:pPr>
                  <w:r>
                    <w:rPr>
                      <w:rFonts w:ascii="Times New Roman" w:hAnsi="Times New Roman" w:eastAsia="宋体" w:cs="Times New Roman"/>
                      <w:color w:val="000000" w:themeColor="text1"/>
                      <w:sz w:val="21"/>
                      <w:szCs w:val="21"/>
                      <w:lang w:eastAsia="zh-Hans"/>
                      <w14:textFill>
                        <w14:solidFill>
                          <w14:schemeClr w14:val="tx1"/>
                        </w14:solidFill>
                      </w14:textFill>
                    </w:rPr>
                    <w:t>严格</w:t>
                  </w:r>
                  <w:r>
                    <w:rPr>
                      <w:rFonts w:hint="eastAsia" w:ascii="Times New Roman" w:hAnsi="Times New Roman" w:eastAsia="宋体" w:cs="Times New Roman"/>
                      <w:color w:val="000000" w:themeColor="text1"/>
                      <w:sz w:val="21"/>
                      <w:szCs w:val="21"/>
                      <w:lang w:eastAsia="zh-Hans"/>
                      <w14:textFill>
                        <w14:solidFill>
                          <w14:schemeClr w14:val="tx1"/>
                        </w14:solidFill>
                      </w14:textFill>
                    </w:rPr>
                    <w:t>控制</w:t>
                  </w:r>
                  <w:r>
                    <w:rPr>
                      <w:rFonts w:ascii="Times New Roman" w:hAnsi="Times New Roman" w:eastAsia="宋体" w:cs="Times New Roman"/>
                      <w:color w:val="000000" w:themeColor="text1"/>
                      <w:sz w:val="21"/>
                      <w:szCs w:val="21"/>
                      <w:lang w:eastAsia="zh-Hans"/>
                      <w14:textFill>
                        <w14:solidFill>
                          <w14:schemeClr w14:val="tx1"/>
                        </w14:solidFill>
                      </w14:textFill>
                    </w:rPr>
                    <w:t>新建、扩建</w:t>
                  </w:r>
                  <w:r>
                    <w:rPr>
                      <w:rFonts w:hint="eastAsia" w:ascii="Times New Roman" w:hAnsi="Times New Roman" w:eastAsia="宋体" w:cs="Times New Roman"/>
                      <w:color w:val="000000" w:themeColor="text1"/>
                      <w:sz w:val="21"/>
                      <w:szCs w:val="21"/>
                      <w:lang w:eastAsia="zh-Hans"/>
                      <w14:textFill>
                        <w14:solidFill>
                          <w14:schemeClr w14:val="tx1"/>
                        </w14:solidFill>
                      </w14:textFill>
                    </w:rPr>
                    <w:t>化学制浆造纸、化工</w:t>
                  </w:r>
                  <w:r>
                    <w:rPr>
                      <w:rFonts w:ascii="Times New Roman" w:hAnsi="Times New Roman" w:eastAsia="宋体" w:cs="Times New Roman"/>
                      <w:color w:val="000000" w:themeColor="text1"/>
                      <w:sz w:val="21"/>
                      <w:szCs w:val="21"/>
                      <w:lang w:eastAsia="zh-Hans"/>
                      <w14:textFill>
                        <w14:solidFill>
                          <w14:schemeClr w14:val="tx1"/>
                        </w14:solidFill>
                      </w14:textFill>
                    </w:rPr>
                    <w:t>、印染、果汁和淀粉加工等高耗能、高排放项目。</w:t>
                  </w:r>
                </w:p>
              </w:tc>
              <w:tc>
                <w:tcPr>
                  <w:tcW w:w="1548" w:type="pct"/>
                  <w:vAlign w:val="center"/>
                </w:tcPr>
                <w:p>
                  <w:pPr>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sz w:val="21"/>
                      <w:szCs w:val="21"/>
                      <w:lang w:eastAsia="zh-Hans"/>
                      <w14:textFill>
                        <w14:solidFill>
                          <w14:schemeClr w14:val="tx1"/>
                        </w14:solidFill>
                      </w14:textFill>
                    </w:rPr>
                    <w:t>本项目为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水的生产和供应</w:t>
                  </w:r>
                  <w:r>
                    <w:rPr>
                      <w:rFonts w:ascii="Times New Roman" w:hAnsi="Times New Roman" w:eastAsia="宋体" w:cs="Times New Roman"/>
                      <w:color w:val="000000" w:themeColor="text1"/>
                      <w:sz w:val="21"/>
                      <w:szCs w:val="21"/>
                      <w:lang w:eastAsia="zh-Hans"/>
                      <w14:textFill>
                        <w14:solidFill>
                          <w14:schemeClr w14:val="tx1"/>
                        </w14:solidFill>
                      </w14:textFill>
                    </w:rPr>
                    <w:t>业，</w:t>
                  </w:r>
                  <w:r>
                    <w:rPr>
                      <w:rFonts w:hint="eastAsia" w:ascii="Times New Roman" w:hAnsi="Times New Roman" w:eastAsia="宋体" w:cs="Times New Roman"/>
                      <w:color w:val="000000" w:themeColor="text1"/>
                      <w:sz w:val="21"/>
                      <w:szCs w:val="21"/>
                      <w:lang w:eastAsia="zh-Hans"/>
                      <w14:textFill>
                        <w14:solidFill>
                          <w14:schemeClr w14:val="tx1"/>
                        </w14:solidFill>
                      </w14:textFill>
                    </w:rPr>
                    <w:t>根据中华人民共和国水利部发布的《18项工业用水定额为高耗水工业行业用水划定约束边界》，不属于高耗水行业</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此外，</w:t>
                  </w:r>
                  <w:r>
                    <w:rPr>
                      <w:rFonts w:hint="eastAsia" w:ascii="Times New Roman" w:hAnsi="Times New Roman" w:eastAsia="宋体" w:cs="Times New Roman"/>
                      <w:color w:val="000000" w:themeColor="text1"/>
                      <w:sz w:val="21"/>
                      <w:szCs w:val="21"/>
                      <w:lang w:eastAsia="zh-Hans"/>
                      <w14:textFill>
                        <w14:solidFill>
                          <w14:schemeClr w14:val="tx1"/>
                        </w14:solidFill>
                      </w14:textFill>
                    </w:rPr>
                    <w:t>经检索《环境保护综合名录（2021年版）》</w:t>
                  </w:r>
                  <w:r>
                    <w:rPr>
                      <w:rFonts w:ascii="Times New Roman" w:hAnsi="Times New Roman" w:eastAsia="宋体" w:cs="Times New Roman"/>
                      <w:color w:val="000000" w:themeColor="text1"/>
                      <w:sz w:val="21"/>
                      <w:szCs w:val="21"/>
                      <w:lang w:eastAsia="zh-Hans"/>
                      <w14:textFill>
                        <w14:solidFill>
                          <w14:schemeClr w14:val="tx1"/>
                        </w14:solidFill>
                      </w14:textFill>
                    </w:rPr>
                    <w:t>，不属于高耗</w:t>
                  </w:r>
                  <w:r>
                    <w:rPr>
                      <w:rFonts w:hint="eastAsia" w:ascii="Times New Roman" w:hAnsi="Times New Roman" w:eastAsia="宋体" w:cs="Times New Roman"/>
                      <w:color w:val="000000" w:themeColor="text1"/>
                      <w:sz w:val="21"/>
                      <w:szCs w:val="21"/>
                      <w:lang w:eastAsia="zh-Hans"/>
                      <w14:textFill>
                        <w14:solidFill>
                          <w14:schemeClr w14:val="tx1"/>
                        </w14:solidFill>
                      </w14:textFill>
                    </w:rPr>
                    <w:t>水</w:t>
                  </w:r>
                  <w:r>
                    <w:rPr>
                      <w:rFonts w:ascii="Times New Roman" w:hAnsi="Times New Roman" w:eastAsia="宋体" w:cs="Times New Roman"/>
                      <w:color w:val="000000" w:themeColor="text1"/>
                      <w:sz w:val="21"/>
                      <w:szCs w:val="21"/>
                      <w:lang w:eastAsia="zh-Hans"/>
                      <w14:textFill>
                        <w14:solidFill>
                          <w14:schemeClr w14:val="tx1"/>
                        </w14:solidFill>
                      </w14:textFill>
                    </w:rPr>
                    <w:t>、高</w:t>
                  </w:r>
                  <w:r>
                    <w:rPr>
                      <w:rFonts w:hint="eastAsia" w:ascii="Times New Roman" w:hAnsi="Times New Roman" w:eastAsia="宋体" w:cs="Times New Roman"/>
                      <w:color w:val="000000" w:themeColor="text1"/>
                      <w:sz w:val="21"/>
                      <w:szCs w:val="21"/>
                      <w:lang w:eastAsia="zh-Hans"/>
                      <w14:textFill>
                        <w14:solidFill>
                          <w14:schemeClr w14:val="tx1"/>
                        </w14:solidFill>
                      </w14:textFill>
                    </w:rPr>
                    <w:t>污染</w:t>
                  </w:r>
                  <w:r>
                    <w:rPr>
                      <w:rFonts w:ascii="Times New Roman" w:hAnsi="Times New Roman" w:eastAsia="宋体" w:cs="Times New Roman"/>
                      <w:color w:val="000000" w:themeColor="text1"/>
                      <w:sz w:val="21"/>
                      <w:szCs w:val="21"/>
                      <w:lang w:eastAsia="zh-Hans"/>
                      <w14:textFill>
                        <w14:solidFill>
                          <w14:schemeClr w14:val="tx1"/>
                        </w14:solidFill>
                      </w14:textFill>
                    </w:rPr>
                    <w:t>项目。</w:t>
                  </w:r>
                </w:p>
              </w:tc>
              <w:tc>
                <w:tcPr>
                  <w:tcW w:w="455" w:type="pct"/>
                  <w:vAlign w:val="center"/>
                </w:tcPr>
                <w:p>
                  <w:pPr>
                    <w:autoSpaceDE w:val="0"/>
                    <w:autoSpaceDN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vMerge w:val="continue"/>
                  <w:vAlign w:val="center"/>
                </w:tcPr>
                <w:p>
                  <w:pPr>
                    <w:autoSpaceDE w:val="0"/>
                    <w:autoSpaceDN w:val="0"/>
                    <w:jc w:val="center"/>
                    <w:rPr>
                      <w:rFonts w:hint="default" w:ascii="Times New Roman" w:hAnsi="Times New Roman" w:cs="Times New Roman"/>
                      <w:color w:val="000000" w:themeColor="text1"/>
                      <w:kern w:val="0"/>
                      <w:szCs w:val="21"/>
                      <w14:textFill>
                        <w14:solidFill>
                          <w14:schemeClr w14:val="tx1"/>
                        </w14:solidFill>
                      </w14:textFill>
                    </w:rPr>
                  </w:pPr>
                </w:p>
              </w:tc>
              <w:tc>
                <w:tcPr>
                  <w:tcW w:w="2240" w:type="pct"/>
                  <w:vAlign w:val="center"/>
                </w:tcPr>
                <w:p>
                  <w:pPr>
                    <w:adjustRightInd/>
                    <w:snapToGrid/>
                    <w:spacing w:line="240" w:lineRule="auto"/>
                    <w:ind w:firstLine="0" w:firstLineChars="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强化工业炉窑和锅炉全面管控。巩固锅炉拆改成效，扎实推进燃煤锅炉淘汰。关中地区巩固燃煤锅炉拆改成效、燃气锅炉低氮改造效果。</w:t>
                  </w:r>
                </w:p>
              </w:tc>
              <w:tc>
                <w:tcPr>
                  <w:tcW w:w="1548" w:type="pct"/>
                  <w:vAlign w:val="center"/>
                </w:tcPr>
                <w:p>
                  <w:pPr>
                    <w:adjustRightInd/>
                    <w:snapToGrid/>
                    <w:spacing w:line="240" w:lineRule="auto"/>
                    <w:ind w:firstLine="0" w:firstLineChars="0"/>
                    <w:jc w:val="both"/>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本项目位于</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陕西省宝鸡市陇县</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，属关中地区。本项目新建1台燃气热水锅炉，配套低氮燃烧器，可满足陕西省地方标准《锅炉大气污染物排放标准》（DB 61/1226-2018）表3中的燃气锅炉大气污染物排放限值要求。</w:t>
                  </w:r>
                </w:p>
              </w:tc>
              <w:tc>
                <w:tcPr>
                  <w:tcW w:w="455" w:type="pct"/>
                  <w:vAlign w:val="center"/>
                </w:tcPr>
                <w:p>
                  <w:pPr>
                    <w:autoSpaceDE w:val="0"/>
                    <w:autoSpaceDN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vMerge w:val="restart"/>
                  <w:vAlign w:val="center"/>
                </w:tcPr>
                <w:p>
                  <w:pPr>
                    <w:autoSpaceDE w:val="0"/>
                    <w:autoSpaceDN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《宝鸡市“十四五”生态 环境保护规划》</w:t>
                  </w:r>
                </w:p>
              </w:tc>
              <w:tc>
                <w:tcPr>
                  <w:tcW w:w="2240" w:type="pct"/>
                  <w:vAlign w:val="center"/>
                </w:tcPr>
                <w:p>
                  <w:pPr>
                    <w:autoSpaceDE w:val="0"/>
                    <w:autoSpaceDN w:val="0"/>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严格控制施工扬尘。认真执行《陕西地区施工现场扬尘专项治理方案》，禁止城市建成区建筑工地现场搅拌混凝土。严格执行《建筑施工扬尘治理措施 16 条》，将扬尘污染防治纳入建筑工地开工审批条件并严 格把关，将防治扬尘污染费用列入工程造价，对落实建设项目“洒水、覆盖、硬化、冲洗、绿化、围挡” 六个 100%措施不力的企业，在建筑市场监管与诚信信息平台进行曝光，记入企业不良信用记录。</w:t>
                  </w:r>
                </w:p>
              </w:tc>
              <w:tc>
                <w:tcPr>
                  <w:tcW w:w="1548" w:type="pct"/>
                  <w:vAlign w:val="center"/>
                </w:tcPr>
                <w:p>
                  <w:pPr>
                    <w:autoSpaceDE w:val="0"/>
                    <w:autoSpaceDN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本项目施工过程中采用洒水、覆盖、硬化、冲洗、绿化、围挡等措施进行扬尘管理。</w:t>
                  </w:r>
                </w:p>
              </w:tc>
              <w:tc>
                <w:tcPr>
                  <w:tcW w:w="455" w:type="pct"/>
                  <w:vAlign w:val="center"/>
                </w:tcPr>
                <w:p>
                  <w:pPr>
                    <w:autoSpaceDE w:val="0"/>
                    <w:autoSpaceDN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vMerge w:val="continue"/>
                  <w:vAlign w:val="center"/>
                </w:tcPr>
                <w:p>
                  <w:pPr>
                    <w:autoSpaceDE w:val="0"/>
                    <w:autoSpaceDN w:val="0"/>
                    <w:jc w:val="center"/>
                    <w:rPr>
                      <w:rFonts w:hint="default" w:ascii="Times New Roman" w:hAnsi="Times New Roman" w:cs="Times New Roman"/>
                      <w:color w:val="000000" w:themeColor="text1"/>
                      <w:kern w:val="0"/>
                      <w:szCs w:val="21"/>
                      <w14:textFill>
                        <w14:solidFill>
                          <w14:schemeClr w14:val="tx1"/>
                        </w14:solidFill>
                      </w14:textFill>
                    </w:rPr>
                  </w:pPr>
                </w:p>
              </w:tc>
              <w:tc>
                <w:tcPr>
                  <w:tcW w:w="2240" w:type="pct"/>
                  <w:vAlign w:val="center"/>
                </w:tcPr>
                <w:p>
                  <w:pPr>
                    <w:adjustRightInd/>
                    <w:snapToGrid/>
                    <w:spacing w:line="240" w:lineRule="auto"/>
                    <w:ind w:firstLine="0" w:firstLineChars="0"/>
                    <w:jc w:val="both"/>
                    <w:rPr>
                      <w:rFonts w:hint="default" w:ascii="Times New Roman" w:hAnsi="Times New Roman" w:eastAsia="宋体" w:cs="Times New Roman"/>
                      <w:color w:val="000000" w:themeColor="text1"/>
                      <w:kern w:val="2"/>
                      <w:sz w:val="21"/>
                      <w:szCs w:val="21"/>
                      <w:lang w:val="en-US" w:eastAsia="zh-Hans" w:bidi="ar-SA"/>
                      <w14:textFill>
                        <w14:solidFill>
                          <w14:schemeClr w14:val="tx1"/>
                        </w14:solidFill>
                      </w14:textFill>
                    </w:rPr>
                  </w:pPr>
                  <w:r>
                    <w:rPr>
                      <w:rFonts w:ascii="Times New Roman" w:hAnsi="Times New Roman" w:eastAsia="宋体" w:cs="Times New Roman"/>
                      <w:color w:val="000000" w:themeColor="text1"/>
                      <w:sz w:val="21"/>
                      <w:szCs w:val="21"/>
                      <w:lang w:eastAsia="zh-Hans"/>
                      <w14:textFill>
                        <w14:solidFill>
                          <w14:schemeClr w14:val="tx1"/>
                        </w14:solidFill>
                      </w14:textFill>
                    </w:rPr>
                    <w:t>严格禁止新建、扩建  化工、印染、果汁和淀粉加工等高耗能、高排放项目。</w:t>
                  </w:r>
                </w:p>
              </w:tc>
              <w:tc>
                <w:tcPr>
                  <w:tcW w:w="1548" w:type="pct"/>
                  <w:vAlign w:val="center"/>
                </w:tcPr>
                <w:p>
                  <w:pPr>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lang w:eastAsia="zh-Hans"/>
                      <w14:textFill>
                        <w14:solidFill>
                          <w14:schemeClr w14:val="tx1"/>
                        </w14:solidFill>
                      </w14:textFill>
                    </w:rPr>
                    <w:t>本项目为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水的生产和供应</w:t>
                  </w:r>
                  <w:r>
                    <w:rPr>
                      <w:rFonts w:ascii="Times New Roman" w:hAnsi="Times New Roman" w:eastAsia="宋体" w:cs="Times New Roman"/>
                      <w:color w:val="000000" w:themeColor="text1"/>
                      <w:sz w:val="21"/>
                      <w:szCs w:val="21"/>
                      <w:lang w:eastAsia="zh-Hans"/>
                      <w14:textFill>
                        <w14:solidFill>
                          <w14:schemeClr w14:val="tx1"/>
                        </w14:solidFill>
                      </w14:textFill>
                    </w:rPr>
                    <w:t>业，</w:t>
                  </w:r>
                  <w:r>
                    <w:rPr>
                      <w:rFonts w:hint="eastAsia" w:ascii="Times New Roman" w:hAnsi="Times New Roman" w:eastAsia="宋体" w:cs="Times New Roman"/>
                      <w:color w:val="000000" w:themeColor="text1"/>
                      <w:sz w:val="21"/>
                      <w:szCs w:val="21"/>
                      <w:lang w:eastAsia="zh-Hans"/>
                      <w14:textFill>
                        <w14:solidFill>
                          <w14:schemeClr w14:val="tx1"/>
                        </w14:solidFill>
                      </w14:textFill>
                    </w:rPr>
                    <w:t>根据中华人民共和国水利部发布的《18项工业用水定额为高耗水工业行业用水划定约束边界》，不属于高耗水行业</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此外，</w:t>
                  </w:r>
                  <w:r>
                    <w:rPr>
                      <w:rFonts w:hint="eastAsia" w:ascii="Times New Roman" w:hAnsi="Times New Roman" w:eastAsia="宋体" w:cs="Times New Roman"/>
                      <w:color w:val="000000" w:themeColor="text1"/>
                      <w:sz w:val="21"/>
                      <w:szCs w:val="21"/>
                      <w:lang w:eastAsia="zh-Hans"/>
                      <w14:textFill>
                        <w14:solidFill>
                          <w14:schemeClr w14:val="tx1"/>
                        </w14:solidFill>
                      </w14:textFill>
                    </w:rPr>
                    <w:t>经检索《环境保护综合名录（2021年版）》</w:t>
                  </w:r>
                  <w:r>
                    <w:rPr>
                      <w:rFonts w:ascii="Times New Roman" w:hAnsi="Times New Roman" w:eastAsia="宋体" w:cs="Times New Roman"/>
                      <w:color w:val="000000" w:themeColor="text1"/>
                      <w:sz w:val="21"/>
                      <w:szCs w:val="21"/>
                      <w:lang w:eastAsia="zh-Hans"/>
                      <w14:textFill>
                        <w14:solidFill>
                          <w14:schemeClr w14:val="tx1"/>
                        </w14:solidFill>
                      </w14:textFill>
                    </w:rPr>
                    <w:t>，不属于高耗</w:t>
                  </w:r>
                  <w:r>
                    <w:rPr>
                      <w:rFonts w:hint="eastAsia" w:ascii="Times New Roman" w:hAnsi="Times New Roman" w:eastAsia="宋体" w:cs="Times New Roman"/>
                      <w:color w:val="000000" w:themeColor="text1"/>
                      <w:sz w:val="21"/>
                      <w:szCs w:val="21"/>
                      <w:lang w:eastAsia="zh-Hans"/>
                      <w14:textFill>
                        <w14:solidFill>
                          <w14:schemeClr w14:val="tx1"/>
                        </w14:solidFill>
                      </w14:textFill>
                    </w:rPr>
                    <w:t>水</w:t>
                  </w:r>
                  <w:r>
                    <w:rPr>
                      <w:rFonts w:ascii="Times New Roman" w:hAnsi="Times New Roman" w:eastAsia="宋体" w:cs="Times New Roman"/>
                      <w:color w:val="000000" w:themeColor="text1"/>
                      <w:sz w:val="21"/>
                      <w:szCs w:val="21"/>
                      <w:lang w:eastAsia="zh-Hans"/>
                      <w14:textFill>
                        <w14:solidFill>
                          <w14:schemeClr w14:val="tx1"/>
                        </w14:solidFill>
                      </w14:textFill>
                    </w:rPr>
                    <w:t>、高</w:t>
                  </w:r>
                  <w:r>
                    <w:rPr>
                      <w:rFonts w:hint="eastAsia" w:ascii="Times New Roman" w:hAnsi="Times New Roman" w:eastAsia="宋体" w:cs="Times New Roman"/>
                      <w:color w:val="000000" w:themeColor="text1"/>
                      <w:sz w:val="21"/>
                      <w:szCs w:val="21"/>
                      <w:lang w:eastAsia="zh-Hans"/>
                      <w14:textFill>
                        <w14:solidFill>
                          <w14:schemeClr w14:val="tx1"/>
                        </w14:solidFill>
                      </w14:textFill>
                    </w:rPr>
                    <w:t>污染</w:t>
                  </w:r>
                  <w:r>
                    <w:rPr>
                      <w:rFonts w:ascii="Times New Roman" w:hAnsi="Times New Roman" w:eastAsia="宋体" w:cs="Times New Roman"/>
                      <w:color w:val="000000" w:themeColor="text1"/>
                      <w:sz w:val="21"/>
                      <w:szCs w:val="21"/>
                      <w:lang w:eastAsia="zh-Hans"/>
                      <w14:textFill>
                        <w14:solidFill>
                          <w14:schemeClr w14:val="tx1"/>
                        </w14:solidFill>
                      </w14:textFill>
                    </w:rPr>
                    <w:t>项目。</w:t>
                  </w:r>
                </w:p>
              </w:tc>
              <w:tc>
                <w:tcPr>
                  <w:tcW w:w="455" w:type="pct"/>
                  <w:vAlign w:val="center"/>
                </w:tcPr>
                <w:p>
                  <w:pPr>
                    <w:autoSpaceDE w:val="0"/>
                    <w:autoSpaceDN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vMerge w:val="continue"/>
                  <w:vAlign w:val="center"/>
                </w:tcPr>
                <w:p>
                  <w:pPr>
                    <w:autoSpaceDE w:val="0"/>
                    <w:autoSpaceDN w:val="0"/>
                    <w:jc w:val="center"/>
                    <w:rPr>
                      <w:rFonts w:hint="default" w:ascii="Times New Roman" w:hAnsi="Times New Roman" w:cs="Times New Roman"/>
                      <w:color w:val="000000" w:themeColor="text1"/>
                      <w:kern w:val="0"/>
                      <w:szCs w:val="21"/>
                      <w14:textFill>
                        <w14:solidFill>
                          <w14:schemeClr w14:val="tx1"/>
                        </w14:solidFill>
                      </w14:textFill>
                    </w:rPr>
                  </w:pPr>
                </w:p>
              </w:tc>
              <w:tc>
                <w:tcPr>
                  <w:tcW w:w="2240" w:type="pct"/>
                  <w:vAlign w:val="center"/>
                </w:tcPr>
                <w:p>
                  <w:pPr>
                    <w:adjustRightInd/>
                    <w:snapToGrid/>
                    <w:spacing w:line="240" w:lineRule="auto"/>
                    <w:ind w:firstLine="0" w:firstLineChars="0"/>
                    <w:jc w:val="both"/>
                    <w:rPr>
                      <w:rFonts w:ascii="Times New Roman" w:hAnsi="Times New Roman" w:eastAsia="宋体" w:cs="Times New Roman"/>
                      <w:color w:val="000000" w:themeColor="text1"/>
                      <w:sz w:val="21"/>
                      <w:szCs w:val="21"/>
                      <w:lang w:val="en-US" w:eastAsia="zh-Hans"/>
                      <w14:textFill>
                        <w14:solidFill>
                          <w14:schemeClr w14:val="tx1"/>
                        </w14:solidFill>
                      </w14:textFill>
                    </w:rPr>
                  </w:pPr>
                  <w:r>
                    <w:rPr>
                      <w:rFonts w:ascii="Times New Roman" w:hAnsi="Times New Roman" w:eastAsia="宋体" w:cs="Times New Roman"/>
                      <w:color w:val="000000" w:themeColor="text1"/>
                      <w:sz w:val="21"/>
                      <w:szCs w:val="21"/>
                      <w:lang w:eastAsia="zh-Hans"/>
                      <w14:textFill>
                        <w14:solidFill>
                          <w14:schemeClr w14:val="tx1"/>
                        </w14:solidFill>
                      </w14:textFill>
                    </w:rPr>
                    <w:t>鼓励企业提升工艺技术，促进各类废物在企业内部循环使用和综合利用。</w:t>
                  </w:r>
                </w:p>
              </w:tc>
              <w:tc>
                <w:tcPr>
                  <w:tcW w:w="1548" w:type="pct"/>
                  <w:vAlign w:val="center"/>
                </w:tcPr>
                <w:p>
                  <w:pPr>
                    <w:adjustRightInd/>
                    <w:snapToGrid/>
                    <w:spacing w:line="240" w:lineRule="auto"/>
                    <w:ind w:firstLine="0" w:firstLineChars="0"/>
                    <w:jc w:val="both"/>
                    <w:rPr>
                      <w:rFonts w:hint="eastAsia" w:ascii="Times New Roman" w:hAnsi="Times New Roman" w:eastAsia="宋体" w:cs="Times New Roman"/>
                      <w:color w:val="000000" w:themeColor="text1"/>
                      <w:sz w:val="21"/>
                      <w:szCs w:val="21"/>
                      <w:lang w:val="en-US" w:eastAsia="zh-Hans"/>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本项目固体废物处置率达100%，不外排。</w:t>
                  </w:r>
                </w:p>
              </w:tc>
              <w:tc>
                <w:tcPr>
                  <w:tcW w:w="455" w:type="pct"/>
                  <w:vAlign w:val="center"/>
                </w:tcPr>
                <w:p>
                  <w:pPr>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lang w:eastAsia="zh-Hans"/>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vMerge w:val="continue"/>
                  <w:vAlign w:val="center"/>
                </w:tcPr>
                <w:p>
                  <w:pPr>
                    <w:autoSpaceDE w:val="0"/>
                    <w:autoSpaceDN w:val="0"/>
                    <w:jc w:val="center"/>
                    <w:rPr>
                      <w:rFonts w:hint="default" w:ascii="Times New Roman" w:hAnsi="Times New Roman" w:cs="Times New Roman"/>
                      <w:color w:val="000000" w:themeColor="text1"/>
                      <w:kern w:val="0"/>
                      <w:szCs w:val="21"/>
                      <w14:textFill>
                        <w14:solidFill>
                          <w14:schemeClr w14:val="tx1"/>
                        </w14:solidFill>
                      </w14:textFill>
                    </w:rPr>
                  </w:pPr>
                </w:p>
              </w:tc>
              <w:tc>
                <w:tcPr>
                  <w:tcW w:w="2240" w:type="pct"/>
                  <w:vAlign w:val="center"/>
                </w:tcPr>
                <w:p>
                  <w:pPr>
                    <w:adjustRightInd/>
                    <w:snapToGrid/>
                    <w:spacing w:line="240" w:lineRule="auto"/>
                    <w:ind w:firstLine="0" w:firstLineChars="0"/>
                    <w:jc w:val="both"/>
                    <w:rPr>
                      <w:rFonts w:ascii="Times New Roman" w:hAnsi="Times New Roman" w:eastAsia="宋体" w:cs="Times New Roman"/>
                      <w:color w:val="000000" w:themeColor="text1"/>
                      <w:sz w:val="21"/>
                      <w:szCs w:val="21"/>
                      <w:lang w:eastAsia="zh-Hans"/>
                      <w14:textFill>
                        <w14:solidFill>
                          <w14:schemeClr w14:val="tx1"/>
                        </w14:solidFill>
                      </w14:textFill>
                    </w:rPr>
                  </w:pPr>
                  <w:r>
                    <w:rPr>
                      <w:rFonts w:ascii="Times New Roman" w:hAnsi="Times New Roman" w:eastAsia="宋体" w:cs="Times New Roman"/>
                      <w:color w:val="000000" w:themeColor="text1"/>
                      <w:sz w:val="21"/>
                      <w:szCs w:val="21"/>
                      <w:lang w:val="en-US" w:eastAsia="zh-CN"/>
                      <w14:textFill>
                        <w14:solidFill>
                          <w14:schemeClr w14:val="tx1"/>
                        </w14:solidFill>
                      </w14:textFill>
                    </w:rPr>
                    <w:t>完善污水厂污泥处置体系，提升利用处置能力</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548" w:type="pct"/>
                  <w:vAlign w:val="center"/>
                </w:tcPr>
                <w:p>
                  <w:pPr>
                    <w:adjustRightInd/>
                    <w:snapToGrid/>
                    <w:spacing w:line="240" w:lineRule="auto"/>
                    <w:ind w:firstLine="0" w:firstLineChars="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本项目污泥定点收集后运至污泥处置中心处置</w:t>
                  </w:r>
                  <w:r>
                    <w:rPr>
                      <w:rFonts w:hint="eastAsia" w:ascii="Times New Roman" w:hAnsi="Times New Roman" w:eastAsia="宋体" w:cs="Times New Roman"/>
                      <w:color w:val="000000" w:themeColor="text1"/>
                      <w:sz w:val="21"/>
                      <w:szCs w:val="21"/>
                      <w14:textFill>
                        <w14:solidFill>
                          <w14:schemeClr w14:val="tx1"/>
                        </w14:solidFill>
                      </w14:textFill>
                    </w:rPr>
                    <w:t>，不外排。</w:t>
                  </w:r>
                </w:p>
              </w:tc>
              <w:tc>
                <w:tcPr>
                  <w:tcW w:w="455" w:type="pct"/>
                  <w:vAlign w:val="center"/>
                </w:tcPr>
                <w:p>
                  <w:pPr>
                    <w:adjustRightInd/>
                    <w:snapToGrid/>
                    <w:spacing w:line="240" w:lineRule="auto"/>
                    <w:ind w:firstLine="0" w:firstLineChars="0"/>
                    <w:jc w:val="center"/>
                    <w:rPr>
                      <w:rFonts w:ascii="Times New Roman" w:hAnsi="Times New Roman" w:cs="Times New Roman"/>
                      <w:color w:val="000000" w:themeColor="text1"/>
                      <w:sz w:val="21"/>
                      <w:szCs w:val="21"/>
                      <w:lang w:eastAsia="zh-Hans"/>
                      <w14:textFill>
                        <w14:solidFill>
                          <w14:schemeClr w14:val="tx1"/>
                        </w14:solidFill>
                      </w14:textFill>
                    </w:rPr>
                  </w:pPr>
                  <w:r>
                    <w:rPr>
                      <w:rFonts w:ascii="Times New Roman" w:hAnsi="Times New Roman" w:eastAsia="宋体" w:cs="Times New Roman"/>
                      <w:color w:val="000000" w:themeColor="text1"/>
                      <w:sz w:val="21"/>
                      <w:szCs w:val="21"/>
                      <w:lang w:eastAsia="zh-Hans"/>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6" w:type="pct"/>
                  <w:vMerge w:val="restart"/>
                  <w:vAlign w:val="center"/>
                </w:tcPr>
                <w:p>
                  <w:pP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《宝鸡市大气污染防治条例》（自2020年3月1日起施行）</w:t>
                  </w:r>
                </w:p>
              </w:tc>
              <w:tc>
                <w:tcPr>
                  <w:tcW w:w="2240" w:type="pct"/>
                  <w:vAlign w:val="center"/>
                </w:tcPr>
                <w:p>
                  <w:pPr>
                    <w:autoSpaceDE w:val="0"/>
                    <w:autoSpaceDN w:val="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第三十二条 市、县（区）、镇人民政府和街道办事处应当加强对建设施工和运输的管理，保持道路清洁，控制料堆和渣土堆放，扩大绿地、水面、湿地和地面铺装面积，防治扬尘污染；第三十四条 施工单位应当制定具体的施工扬尘 污染防治实施方案，在施工工地内采取下列防尘措施：（一）应当设置硬质围挡，分段作业、择时施工，洒水抑尘、冲洗地面。（二）建筑土方、工程渣土、建筑垃圾应当及时清运；在场地内堆存的，应当采用密闭式防尘网遮盖。（三）车行道路采取硬化或者铺设礁渣、砾石或其他功能相当的材料等措施。（四）出入口内侧安装车辆冲洗设备，车辆冲洗干净后方可驶出。（五）施工作业产生泥浆的，设置泥浆池、泥浆沟，确保泥浆不溢流，废弃泥浆采用密封式本项目在施工过程中严格按照要求落实各项施工扬尘污染防治措施符合罐车清运。（六）土方作业、拆除、爆破等易产生扬尘的工程，采取洒水抑尘措施。（七）公示扬尘污染防治措施、负责人、扬尘监督管理主管部门等信息。（八） 法律、法规规定的其他污染防治措施。暂时不能开工的建设用地，建设单位应当对裸露地面进行覆盖；超过三个月的， 应当进行绿化、铺装或者遮盖。</w:t>
                  </w:r>
                </w:p>
              </w:tc>
              <w:tc>
                <w:tcPr>
                  <w:tcW w:w="1548" w:type="pct"/>
                  <w:vAlign w:val="center"/>
                </w:tcPr>
                <w:p>
                  <w:pPr>
                    <w:autoSpaceDE w:val="0"/>
                    <w:autoSpaceDN w:val="0"/>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项目施工期拟采用以下防尘措施：（一）施工工地周围设置连续、密闭的围挡，围挡高度不得低于2.5</w:t>
                  </w:r>
                  <w:r>
                    <w:rPr>
                      <w:rFonts w:hint="eastAsia" w:cs="Times New Roman"/>
                      <w:color w:val="000000" w:themeColor="text1"/>
                      <w:kern w:val="0"/>
                      <w:szCs w:val="21"/>
                      <w:lang w:val="en-US" w:eastAsia="zh-CN"/>
                      <w14:textFill>
                        <w14:solidFill>
                          <w14:schemeClr w14:val="tx1"/>
                        </w14:solidFill>
                      </w14:textFill>
                    </w:rPr>
                    <w:t>m</w:t>
                  </w:r>
                  <w:r>
                    <w:rPr>
                      <w:rFonts w:hint="default" w:ascii="Times New Roman" w:hAnsi="Times New Roman" w:eastAsia="宋体" w:cs="Times New Roman"/>
                      <w:color w:val="000000" w:themeColor="text1"/>
                      <w:kern w:val="0"/>
                      <w:szCs w:val="21"/>
                      <w14:textFill>
                        <w14:solidFill>
                          <w14:schemeClr w14:val="tx1"/>
                        </w14:solidFill>
                      </w14:textFill>
                    </w:rPr>
                    <w:t>，分段作业、择时施工，洒水抑尘、冲洗地面。（二）建筑土方、工程渣土、建筑垃圾及时清运；在场地内堆存的，采用密闭式防尘网遮盖。（三）施工现场出入口、主干道、作业区加工场、生活区、办公区进行硬化。（四）出入口内侧安装车辆冲洗设备，车辆冲洗干净后方可驶出。（五）施工作业产生泥浆的，设置泥浆池、泥浆沟，确保泥浆不溢流，废弃泥浆采用密封式本项目在施工过程中严格按照要求落实各项施工扬尘污染防治措施符合罐车清运。（六）项目土方作业采取洒水抑尘措施。</w:t>
                  </w:r>
                  <w:r>
                    <w:rPr>
                      <w:rFonts w:hint="default" w:ascii="Times New Roman" w:hAnsi="Times New Roman" w:eastAsia="宋体" w:cs="Times New Roman"/>
                      <w:b w:val="0"/>
                      <w:bCs w:val="0"/>
                      <w:color w:val="000000" w:themeColor="text1"/>
                      <w:sz w:val="21"/>
                      <w:szCs w:val="21"/>
                      <w14:textFill>
                        <w14:solidFill>
                          <w14:schemeClr w14:val="tx1"/>
                        </w14:solidFill>
                      </w14:textFill>
                    </w:rPr>
                    <w:t>（七）公示扬尘污染防治措施、负责人、扬尘监督管理主管部门等信息。（八）本项目手续齐全后将立刻开工。</w:t>
                  </w:r>
                </w:p>
              </w:tc>
              <w:tc>
                <w:tcPr>
                  <w:tcW w:w="455" w:type="pct"/>
                  <w:vAlign w:val="center"/>
                </w:tcPr>
                <w:p>
                  <w:pPr>
                    <w:pStyle w:val="18"/>
                    <w:adjustRightInd w:val="0"/>
                    <w:snapToGrid w:val="0"/>
                    <w:ind w:left="0" w:leftChars="0" w:firstLine="0" w:firstLineChars="0"/>
                    <w:jc w:val="center"/>
                    <w:rPr>
                      <w:rFonts w:hint="default" w:ascii="Times New Roman" w:hAnsi="Times New Roman" w:eastAsia="Calibri"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756" w:type="pct"/>
                  <w:vMerge w:val="continue"/>
                  <w:vAlign w:val="center"/>
                </w:tcPr>
                <w:p>
                  <w:pPr>
                    <w:rPr>
                      <w:rFonts w:hint="default" w:ascii="Times New Roman" w:hAnsi="Times New Roman" w:cs="Times New Roman"/>
                      <w:color w:val="000000" w:themeColor="text1"/>
                      <w:szCs w:val="21"/>
                      <w14:textFill>
                        <w14:solidFill>
                          <w14:schemeClr w14:val="tx1"/>
                        </w14:solidFill>
                      </w14:textFill>
                    </w:rPr>
                  </w:pPr>
                </w:p>
              </w:tc>
              <w:tc>
                <w:tcPr>
                  <w:tcW w:w="2240" w:type="pct"/>
                  <w:vAlign w:val="center"/>
                </w:tcPr>
                <w:p>
                  <w:pP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第三十</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七</w:t>
                  </w:r>
                  <w:r>
                    <w:rPr>
                      <w:rFonts w:hint="default" w:ascii="Times New Roman" w:hAnsi="Times New Roman" w:eastAsia="宋体" w:cs="Times New Roman"/>
                      <w:color w:val="000000" w:themeColor="text1"/>
                      <w:kern w:val="0"/>
                      <w:szCs w:val="21"/>
                      <w14:textFill>
                        <w14:solidFill>
                          <w14:schemeClr w14:val="tx1"/>
                        </w14:solidFill>
                      </w14:textFill>
                    </w:rPr>
                    <w:t xml:space="preserve">条 </w:t>
                  </w:r>
                  <w:r>
                    <w:rPr>
                      <w:rFonts w:hint="default" w:ascii="Times New Roman" w:hAnsi="Times New Roman" w:eastAsia="宋体" w:cs="Times New Roman"/>
                      <w:color w:val="000000" w:themeColor="text1"/>
                      <w:szCs w:val="21"/>
                      <w:lang w:val="en-US" w:eastAsia="zh-CN"/>
                      <w14:textFill>
                        <w14:solidFill>
                          <w14:schemeClr w14:val="tx1"/>
                        </w14:solidFill>
                      </w14:textFill>
                    </w:rPr>
                    <w:t>运输煤炭、垃圾、渣土、砂石、土方、灰浆等散装、流体物料的车辆，应当保持车体清洁，采取密闭或者其他措施防止物料遗撒造成扬尘污染，并按照规定路线、时段行驶。</w:t>
                  </w:r>
                </w:p>
              </w:tc>
              <w:tc>
                <w:tcPr>
                  <w:tcW w:w="1548" w:type="pct"/>
                  <w:vAlign w:val="center"/>
                </w:tcPr>
                <w:p>
                  <w:pP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项目运输过程中保持车体清洁，采取密闭或者其他措施防止物料遗撒造成扬尘污染，并按照规定路线、时段行驶。</w:t>
                  </w:r>
                </w:p>
              </w:tc>
              <w:tc>
                <w:tcPr>
                  <w:tcW w:w="455" w:type="pct"/>
                  <w:vAlign w:val="center"/>
                </w:tcPr>
                <w:p>
                  <w:pPr>
                    <w:pStyle w:val="18"/>
                    <w:adjustRightInd w:val="0"/>
                    <w:snapToGrid w:val="0"/>
                    <w:ind w:left="0" w:leftChars="0" w:firstLine="0" w:firstLineChars="0"/>
                    <w:jc w:val="center"/>
                    <w:rPr>
                      <w:rFonts w:hint="default" w:ascii="Times New Roman" w:hAnsi="Times New Roman" w:eastAsia="Calibri"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符合</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color w:val="000000" w:themeColor="text1"/>
                <w:kern w:val="0"/>
                <w:sz w:val="24"/>
                <w:lang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color w:val="000000" w:themeColor="text1"/>
                <w:kern w:val="0"/>
                <w:sz w:val="24"/>
                <w:lang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color w:val="000000" w:themeColor="text1"/>
                <w:kern w:val="0"/>
                <w:sz w:val="24"/>
                <w:lang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color w:val="000000" w:themeColor="text1"/>
                <w:kern w:val="0"/>
                <w:sz w:val="24"/>
                <w:lang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color w:val="000000" w:themeColor="text1"/>
                <w:kern w:val="0"/>
                <w:sz w:val="24"/>
                <w:lang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color w:val="000000" w:themeColor="text1"/>
                <w:kern w:val="0"/>
                <w:sz w:val="24"/>
                <w:lang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color w:val="000000" w:themeColor="text1"/>
                <w:kern w:val="0"/>
                <w:sz w:val="24"/>
                <w:lang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color w:val="000000" w:themeColor="text1"/>
                <w:kern w:val="0"/>
                <w:sz w:val="24"/>
                <w:lang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color w:val="000000" w:themeColor="text1"/>
                <w:kern w:val="0"/>
                <w:sz w:val="24"/>
                <w:lang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color w:val="000000" w:themeColor="text1"/>
                <w:kern w:val="0"/>
                <w:sz w:val="24"/>
                <w:lang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color w:val="000000" w:themeColor="text1"/>
                <w:kern w:val="0"/>
                <w:sz w:val="24"/>
                <w:lang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color w:val="000000" w:themeColor="text1"/>
                <w:kern w:val="0"/>
                <w:sz w:val="24"/>
                <w:lang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color w:val="000000" w:themeColor="text1"/>
                <w:kern w:val="0"/>
                <w:sz w:val="24"/>
                <w:lang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color w:val="000000" w:themeColor="text1"/>
                <w:kern w:val="0"/>
                <w:sz w:val="24"/>
                <w:lang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color w:val="000000" w:themeColor="text1"/>
                <w:kern w:val="0"/>
                <w:sz w:val="24"/>
                <w:lang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color w:val="000000" w:themeColor="text1"/>
                <w:kern w:val="0"/>
                <w:sz w:val="24"/>
                <w:lang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color w:val="000000" w:themeColor="text1"/>
                <w:kern w:val="0"/>
                <w:sz w:val="24"/>
                <w:lang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eastAsia="宋体"/>
                <w:color w:val="000000" w:themeColor="text1"/>
                <w:kern w:val="0"/>
                <w:sz w:val="24"/>
                <w:lang w:eastAsia="zh-CN"/>
                <w14:textFill>
                  <w14:solidFill>
                    <w14:schemeClr w14:val="tx1"/>
                  </w14:solidFill>
                </w14:textFill>
              </w:rPr>
            </w:pPr>
          </w:p>
        </w:tc>
      </w:tr>
    </w:tbl>
    <w:p>
      <w:pPr>
        <w:spacing w:line="360" w:lineRule="auto"/>
        <w:outlineLvl w:val="0"/>
        <w:rPr>
          <w:rFonts w:eastAsia="黑体"/>
          <w:color w:val="000000" w:themeColor="text1"/>
          <w:sz w:val="30"/>
          <w14:textFill>
            <w14:solidFill>
              <w14:schemeClr w14:val="tx1"/>
            </w14:solidFill>
          </w14:textFill>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numberInDash" w:start="1"/>
          <w:cols w:space="720" w:num="1"/>
          <w:docGrid w:linePitch="312" w:charSpace="0"/>
        </w:sectPr>
      </w:pPr>
    </w:p>
    <w:p>
      <w:pPr>
        <w:pStyle w:val="19"/>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宋体"/>
          <w:snapToGrid w:val="0"/>
          <w:color w:val="000000" w:themeColor="text1"/>
          <w:sz w:val="30"/>
          <w:szCs w:val="30"/>
          <w14:textFill>
            <w14:solidFill>
              <w14:schemeClr w14:val="tx1"/>
            </w14:solidFill>
          </w14:textFill>
        </w:rPr>
        <w:t>二、建设内容</w:t>
      </w:r>
    </w:p>
    <w:tbl>
      <w:tblPr>
        <w:tblStyle w:val="22"/>
        <w:tblW w:w="90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0"/>
        <w:gridCol w:w="83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0" w:type="dxa"/>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地理位置</w:t>
            </w:r>
          </w:p>
        </w:tc>
        <w:tc>
          <w:tcPr>
            <w:tcW w:w="838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color w:val="000000" w:themeColor="text1"/>
                <w:kern w:val="0"/>
                <w:sz w:val="24"/>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本</w:t>
            </w:r>
            <w:r>
              <w:rPr>
                <w:rFonts w:hint="default" w:ascii="Times New Roman" w:hAnsi="Times New Roman" w:eastAsia="宋体" w:cs="Times New Roman"/>
                <w:color w:val="000000" w:themeColor="text1"/>
                <w:kern w:val="0"/>
                <w:sz w:val="24"/>
                <w14:textFill>
                  <w14:solidFill>
                    <w14:schemeClr w14:val="tx1"/>
                  </w14:solidFill>
                </w14:textFill>
              </w:rPr>
              <w:t>项目建设地点位于</w:t>
            </w:r>
            <w:r>
              <w:rPr>
                <w:rFonts w:hint="default" w:ascii="Times New Roman" w:hAnsi="Times New Roman" w:eastAsia="宋体" w:cs="Times New Roman"/>
                <w:color w:val="000000" w:themeColor="text1"/>
                <w:sz w:val="24"/>
                <w:szCs w:val="24"/>
                <w14:textFill>
                  <w14:solidFill>
                    <w14:schemeClr w14:val="tx1"/>
                  </w14:solidFill>
                </w14:textFill>
              </w:rPr>
              <w:t>陕西省宝鸡市陇县温水镇、曹家湾镇、天成镇、城关镇</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含县城区</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、东南镇、东风镇</w:t>
            </w: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eastAsia" w:cs="Times New Roman"/>
                <w:color w:val="000000" w:themeColor="text1"/>
                <w:kern w:val="0"/>
                <w:sz w:val="24"/>
                <w:lang w:val="en-US" w:eastAsia="zh-CN"/>
                <w14:textFill>
                  <w14:solidFill>
                    <w14:schemeClr w14:val="tx1"/>
                  </w14:solidFill>
                </w14:textFill>
              </w:rPr>
              <w:t>本</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项目取水</w:t>
            </w:r>
            <w:r>
              <w:rPr>
                <w:rFonts w:hint="eastAsia" w:cs="Times New Roman"/>
                <w:color w:val="000000" w:themeColor="text1"/>
                <w:kern w:val="0"/>
                <w:sz w:val="24"/>
                <w:lang w:val="en-US" w:eastAsia="zh-CN"/>
                <w14:textFill>
                  <w14:solidFill>
                    <w14:schemeClr w14:val="tx1"/>
                  </w14:solidFill>
                </w14:textFill>
              </w:rPr>
              <w:t>口</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坐标：106度42分25.922秒，34度55分34.041秒；高位水池坐标：106度42分32.871秒，34度55分34.052秒；净水厂坐标：106度46分31.962秒，34度52分41.987秒；净水厂配水工程起点坐标：106度42分32.871秒，34度55分34.052秒；净水厂配水工程终点坐标：106度56分21.432秒，34度46分6.273秒；温河输水工程起点坐标：106度46分30.641秒，34度56分6.223秒；温河输水工程终点坐标：106度50分7.862秒，34度54分14.746秒</w:t>
            </w:r>
            <w:r>
              <w:rPr>
                <w:rFonts w:hint="default" w:ascii="Times New Roman" w:hAnsi="Times New Roman" w:eastAsia="宋体" w:cs="Times New Roman"/>
                <w:color w:val="000000" w:themeColor="text1"/>
                <w:kern w:val="0"/>
                <w:sz w:val="24"/>
                <w14:textFill>
                  <w14:solidFill>
                    <w14:schemeClr w14:val="tx1"/>
                  </w14:solidFill>
                </w14:textFill>
              </w:rPr>
              <w:t>。地理位置详见附图1。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0" w:type="dxa"/>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项目组成及规模</w:t>
            </w:r>
          </w:p>
        </w:tc>
        <w:tc>
          <w:tcPr>
            <w:tcW w:w="838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1、项目概况</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本项目水源为段家峡水库，</w:t>
            </w:r>
            <w:r>
              <w:rPr>
                <w:rFonts w:hint="default" w:ascii="Times New Roman" w:hAnsi="Times New Roman" w:cs="Times New Roman"/>
                <w:color w:val="000000" w:themeColor="text1"/>
                <w:kern w:val="0"/>
                <w:sz w:val="24"/>
                <w:lang w:val="en-US" w:eastAsia="zh-CN"/>
                <w14:textFill>
                  <w14:solidFill>
                    <w14:schemeClr w14:val="tx1"/>
                  </w14:solidFill>
                </w14:textFill>
              </w:rPr>
              <w:t>本项目</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分为取水</w:t>
            </w:r>
            <w:r>
              <w:rPr>
                <w:rFonts w:hint="eastAsia" w:cs="Times New Roman"/>
                <w:color w:val="000000" w:themeColor="text1"/>
                <w:kern w:val="0"/>
                <w:sz w:val="24"/>
                <w:lang w:val="en-US" w:eastAsia="zh-CN"/>
                <w14:textFill>
                  <w14:solidFill>
                    <w14:schemeClr w14:val="tx1"/>
                  </w14:solidFill>
                </w14:textFill>
              </w:rPr>
              <w:t>口</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、净水厂、输配水</w:t>
            </w:r>
            <w:r>
              <w:rPr>
                <w:rFonts w:hint="eastAsia" w:cs="Times New Roman"/>
                <w:color w:val="000000" w:themeColor="text1"/>
                <w:kern w:val="0"/>
                <w:sz w:val="24"/>
                <w:lang w:val="en-US" w:eastAsia="zh-CN"/>
                <w14:textFill>
                  <w14:solidFill>
                    <w14:schemeClr w14:val="tx1"/>
                  </w14:solidFill>
                </w14:textFill>
              </w:rPr>
              <w:t>管线</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三部分。本项目建设内容主要为</w:t>
            </w:r>
            <w:r>
              <w:rPr>
                <w:rFonts w:hint="eastAsia" w:cs="Times New Roman"/>
                <w:color w:val="000000" w:themeColor="text1"/>
                <w:kern w:val="0"/>
                <w:sz w:val="24"/>
                <w:lang w:val="en-US" w:eastAsia="zh-CN"/>
                <w14:textFill>
                  <w14:solidFill>
                    <w14:schemeClr w14:val="tx1"/>
                  </w14:solidFill>
                </w14:textFill>
              </w:rPr>
              <w:t>取水口</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设计取水规模为</w:t>
            </w:r>
            <w:r>
              <w:rPr>
                <w:rFonts w:hint="eastAsia" w:cs="Times New Roman"/>
                <w:color w:val="000000" w:themeColor="text1"/>
                <w:kern w:val="0"/>
                <w:sz w:val="24"/>
                <w:lang w:val="en-US" w:eastAsia="zh-CN"/>
                <w14:textFill>
                  <w14:solidFill>
                    <w14:schemeClr w14:val="tx1"/>
                  </w14:solidFill>
                </w14:textFill>
              </w:rPr>
              <w:t>4</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万m</w:t>
            </w:r>
            <w:r>
              <w:rPr>
                <w:rFonts w:hint="default" w:ascii="Times New Roman" w:hAnsi="Times New Roman" w:eastAsia="宋体" w:cs="Times New Roman"/>
                <w:color w:val="000000" w:themeColor="text1"/>
                <w:kern w:val="0"/>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/d</w:t>
            </w:r>
            <w:r>
              <w:rPr>
                <w:rFonts w:hint="eastAsia"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新建净水厂1座</w:t>
            </w:r>
            <w:r>
              <w:rPr>
                <w:rFonts w:hint="eastAsia"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设计年处理能力4万m</w:t>
            </w:r>
            <w:r>
              <w:rPr>
                <w:rFonts w:hint="default" w:ascii="Times New Roman" w:hAnsi="Times New Roman" w:eastAsia="宋体" w:cs="Times New Roman"/>
                <w:color w:val="000000" w:themeColor="text1"/>
                <w:kern w:val="0"/>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/d</w:t>
            </w:r>
            <w:r>
              <w:rPr>
                <w:rFonts w:hint="eastAsia"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新建输水管道和配水</w:t>
            </w:r>
            <w:r>
              <w:rPr>
                <w:rFonts w:hint="eastAsia" w:cs="Times New Roman"/>
                <w:color w:val="000000" w:themeColor="text1"/>
                <w:kern w:val="0"/>
                <w:sz w:val="24"/>
                <w:lang w:val="en-US" w:eastAsia="zh-CN"/>
                <w14:textFill>
                  <w14:solidFill>
                    <w14:schemeClr w14:val="tx1"/>
                  </w14:solidFill>
                </w14:textFill>
              </w:rPr>
              <w:t>管道，</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总长度</w:t>
            </w:r>
            <w:r>
              <w:rPr>
                <w:rFonts w:hint="eastAsia" w:cs="Times New Roman"/>
                <w:color w:val="000000" w:themeColor="text1"/>
                <w:kern w:val="0"/>
                <w:sz w:val="24"/>
                <w:lang w:val="en-US" w:eastAsia="zh-CN"/>
                <w14:textFill>
                  <w14:solidFill>
                    <w14:schemeClr w14:val="tx1"/>
                  </w14:solidFill>
                </w14:textFill>
              </w:rPr>
              <w:t>83.5</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km。</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段家峡水库位于千河上游陇县曹家湾乡段家峡村，坝址以上千河长度51km，平均比降18.6‰，控制流域面积634km</w:t>
            </w:r>
            <w:r>
              <w:rPr>
                <w:rFonts w:hint="default" w:ascii="Times New Roman" w:hAnsi="Times New Roman" w:eastAsia="宋体" w:cs="Times New Roman"/>
                <w:color w:val="000000" w:themeColor="text1"/>
                <w:kern w:val="0"/>
                <w:sz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。水库多年平均径流量1.24亿m</w:t>
            </w:r>
            <w:r>
              <w:rPr>
                <w:rFonts w:hint="default" w:ascii="Times New Roman" w:hAnsi="Times New Roman" w:cs="Times New Roman"/>
                <w:color w:val="000000" w:themeColor="text1"/>
                <w:kern w:val="0"/>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。段家峡总库容1</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832.4万m</w:t>
            </w:r>
            <w:r>
              <w:rPr>
                <w:rFonts w:hint="default" w:ascii="Times New Roman" w:hAnsi="Times New Roman" w:cs="Times New Roman"/>
                <w:color w:val="000000" w:themeColor="text1"/>
                <w:kern w:val="0"/>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滞洪库容627.4万m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，兴利库容1038万m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，死库容167万m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水库原设计以灌溉为主、兼顾防洪、发电、养殖等综合利用，</w:t>
            </w:r>
            <w:r>
              <w:rPr>
                <w:rFonts w:hint="default" w:ascii="Times New Roman" w:hAnsi="Times New Roman" w:cs="Times New Roman"/>
                <w:color w:val="000000" w:themeColor="text1"/>
                <w:kern w:val="0"/>
                <w:sz w:val="24"/>
                <w:lang w:val="en-US" w:eastAsia="zh-CN"/>
                <w14:textFill>
                  <w14:solidFill>
                    <w14:schemeClr w14:val="tx1"/>
                  </w14:solidFill>
                </w14:textFill>
              </w:rPr>
              <w:t>根据《宝鸡市水利局关于陇县段家峡水库功能调整的批复》（宝市水办发〔2015〕16号）</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水库运行性质由灌溉为主调整为供水、灌溉为主，兼顾防洪、发电等综合利用功能。水库现状供水对象主要为灌区及段家峡水库抗旱应急供水工程，现有供水对象用水量较少，水库现状可供水量充足，水质情况良好，作为供水的水源具有十分优越的条件</w:t>
            </w:r>
            <w:r>
              <w:rPr>
                <w:rFonts w:hint="default" w:ascii="Times New Roman" w:hAnsi="Times New Roman" w:cs="Times New Roman"/>
                <w:color w:val="000000" w:themeColor="text1"/>
                <w:kern w:val="0"/>
                <w:sz w:val="24"/>
                <w:lang w:val="en-US" w:eastAsia="zh-CN"/>
                <w14:textFill>
                  <w14:solidFill>
                    <w14:schemeClr w14:val="tx1"/>
                  </w14:solidFill>
                </w14:textFill>
              </w:rPr>
              <w:t>。陇县自来水公司委托陕西科仪阳光检测技术服务有限公司对段家峡水库水进行水质检测（见附件6），从检测</w:t>
            </w:r>
            <w:r>
              <w:rPr>
                <w:rFonts w:hint="eastAsia" w:cs="Times New Roman"/>
                <w:color w:val="000000" w:themeColor="text1"/>
                <w:kern w:val="0"/>
                <w:sz w:val="24"/>
                <w:lang w:val="en-US" w:eastAsia="zh-CN"/>
                <w14:textFill>
                  <w14:solidFill>
                    <w14:schemeClr w14:val="tx1"/>
                  </w14:solidFill>
                </w14:textFill>
              </w:rPr>
              <w:t>结论可知</w:t>
            </w:r>
            <w:r>
              <w:rPr>
                <w:rFonts w:hint="default" w:ascii="Times New Roman" w:hAnsi="Times New Roman" w:cs="Times New Roman"/>
                <w:color w:val="000000" w:themeColor="text1"/>
                <w:kern w:val="0"/>
                <w:sz w:val="24"/>
                <w:lang w:val="en-US" w:eastAsia="zh-CN"/>
                <w14:textFill>
                  <w14:solidFill>
                    <w14:schemeClr w14:val="tx1"/>
                  </w14:solidFill>
                </w14:textFill>
              </w:rPr>
              <w:t>，段家峡水库水质符合《生活饮用水卫生标准》（GB 5749-2006）要求，可以作为生活饮用水水源。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本项目新建输水管道、净水厂以及配水管道，向陇县城区以及周边农村供水，解决生活、生产缺水问题，提高供水安全性和可靠性。</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项目</w:t>
            </w:r>
            <w:r>
              <w:rPr>
                <w:rFonts w:hint="default" w:ascii="Times New Roman" w:hAnsi="Times New Roman" w:eastAsia="宋体" w:cs="Times New Roman"/>
                <w:color w:val="000000" w:themeColor="text1"/>
                <w:kern w:val="0"/>
                <w:sz w:val="24"/>
                <w14:textFill>
                  <w14:solidFill>
                    <w14:schemeClr w14:val="tx1"/>
                  </w14:solidFill>
                </w14:textFill>
              </w:rPr>
              <w:t>组成</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及规模</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本</w:t>
            </w:r>
            <w:r>
              <w:rPr>
                <w:rFonts w:hint="default" w:ascii="Times New Roman" w:hAnsi="Times New Roman" w:eastAsia="宋体" w:cs="Times New Roman"/>
                <w:color w:val="000000" w:themeColor="text1"/>
                <w:kern w:val="0"/>
                <w:sz w:val="24"/>
                <w14:textFill>
                  <w14:solidFill>
                    <w14:schemeClr w14:val="tx1"/>
                  </w14:solidFill>
                </w14:textFill>
              </w:rPr>
              <w:t>项目</w:t>
            </w:r>
            <w:r>
              <w:rPr>
                <w:rFonts w:hint="eastAsia" w:cs="Times New Roman"/>
                <w:color w:val="000000" w:themeColor="text1"/>
                <w:kern w:val="0"/>
                <w:sz w:val="24"/>
                <w:lang w:val="en-US" w:eastAsia="zh-CN"/>
                <w14:textFill>
                  <w14:solidFill>
                    <w14:schemeClr w14:val="tx1"/>
                  </w14:solidFill>
                </w14:textFill>
              </w:rPr>
              <w:t>取水口</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设计取水规模为</w:t>
            </w:r>
            <w:r>
              <w:rPr>
                <w:rFonts w:hint="eastAsia" w:cs="Times New Roman"/>
                <w:color w:val="000000" w:themeColor="text1"/>
                <w:kern w:val="0"/>
                <w:sz w:val="24"/>
                <w:lang w:val="en-US" w:eastAsia="zh-CN"/>
                <w14:textFill>
                  <w14:solidFill>
                    <w14:schemeClr w14:val="tx1"/>
                  </w14:solidFill>
                </w14:textFill>
              </w:rPr>
              <w:t>4</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万m</w:t>
            </w:r>
            <w:r>
              <w:rPr>
                <w:rFonts w:hint="default" w:ascii="Times New Roman" w:hAnsi="Times New Roman" w:eastAsia="宋体" w:cs="Times New Roman"/>
                <w:color w:val="000000" w:themeColor="text1"/>
                <w:kern w:val="0"/>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/d，</w:t>
            </w:r>
            <w:r>
              <w:rPr>
                <w:rFonts w:hint="default" w:ascii="Times New Roman" w:hAnsi="Times New Roman" w:cs="Times New Roman"/>
                <w:color w:val="000000" w:themeColor="text1"/>
                <w:kern w:val="0"/>
                <w:sz w:val="24"/>
                <w:lang w:val="en-US" w:eastAsia="zh-CN"/>
                <w14:textFill>
                  <w14:solidFill>
                    <w14:schemeClr w14:val="tx1"/>
                  </w14:solidFill>
                </w14:textFill>
              </w:rPr>
              <w:t>净水厂设计规模为4万m</w:t>
            </w:r>
            <w:r>
              <w:rPr>
                <w:rFonts w:hint="default" w:ascii="Times New Roman" w:hAnsi="Times New Roman" w:cs="Times New Roman"/>
                <w:color w:val="000000" w:themeColor="text1"/>
                <w:kern w:val="0"/>
                <w:sz w:val="24"/>
                <w:vertAlign w:val="superscript"/>
                <w:lang w:val="en-US" w:eastAsia="zh-CN"/>
                <w14:textFill>
                  <w14:solidFill>
                    <w14:schemeClr w14:val="tx1"/>
                  </w14:solidFill>
                </w14:textFill>
              </w:rPr>
              <w:t>3</w:t>
            </w:r>
            <w:r>
              <w:rPr>
                <w:rFonts w:hint="default" w:ascii="Times New Roman" w:hAnsi="Times New Roman" w:cs="Times New Roman"/>
                <w:color w:val="000000" w:themeColor="text1"/>
                <w:kern w:val="0"/>
                <w:sz w:val="24"/>
                <w:lang w:val="en-US" w:eastAsia="zh-CN"/>
                <w14:textFill>
                  <w14:solidFill>
                    <w14:schemeClr w14:val="tx1"/>
                  </w14:solidFill>
                </w14:textFill>
              </w:rPr>
              <w:t>/d。</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主要由</w:t>
            </w:r>
            <w:r>
              <w:rPr>
                <w:rFonts w:hint="default" w:ascii="Times New Roman" w:hAnsi="Times New Roman" w:eastAsia="宋体" w:cs="Times New Roman"/>
                <w:color w:val="000000" w:themeColor="text1"/>
                <w:kern w:val="0"/>
                <w:sz w:val="24"/>
                <w14:textFill>
                  <w14:solidFill>
                    <w14:schemeClr w14:val="tx1"/>
                  </w14:solidFill>
                </w14:textFill>
              </w:rPr>
              <w:t>主体工程、</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辅助工程、依托</w:t>
            </w:r>
            <w:r>
              <w:rPr>
                <w:rFonts w:hint="default" w:ascii="Times New Roman" w:hAnsi="Times New Roman" w:eastAsia="宋体" w:cs="Times New Roman"/>
                <w:color w:val="000000" w:themeColor="text1"/>
                <w:kern w:val="0"/>
                <w:sz w:val="24"/>
                <w14:textFill>
                  <w14:solidFill>
                    <w14:schemeClr w14:val="tx1"/>
                  </w14:solidFill>
                </w14:textFill>
              </w:rPr>
              <w:t>工程、环保工程</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、临时工程组成</w:t>
            </w:r>
            <w:r>
              <w:rPr>
                <w:rFonts w:hint="default" w:ascii="Times New Roman" w:hAnsi="Times New Roman" w:eastAsia="宋体" w:cs="Times New Roman"/>
                <w:color w:val="000000" w:themeColor="text1"/>
                <w:kern w:val="0"/>
                <w:sz w:val="24"/>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其内容和规模</w:t>
            </w:r>
            <w:r>
              <w:rPr>
                <w:rFonts w:hint="default" w:ascii="Times New Roman" w:hAnsi="Times New Roman" w:eastAsia="宋体" w:cs="Times New Roman"/>
                <w:color w:val="000000" w:themeColor="text1"/>
                <w:kern w:val="0"/>
                <w:sz w:val="24"/>
                <w14:textFill>
                  <w14:solidFill>
                    <w14:schemeClr w14:val="tx1"/>
                  </w14:solidFill>
                </w14:textFill>
              </w:rPr>
              <w:t>见</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表2-1</w:t>
            </w:r>
            <w:r>
              <w:rPr>
                <w:rFonts w:hint="default" w:ascii="Times New Roman" w:hAnsi="Times New Roman" w:eastAsia="宋体" w:cs="Times New Roman"/>
                <w:color w:val="000000" w:themeColor="text1"/>
                <w:kern w:val="0"/>
                <w:sz w:val="24"/>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bCs/>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kern w:val="0"/>
                <w:sz w:val="24"/>
                <w14:textFill>
                  <w14:solidFill>
                    <w14:schemeClr w14:val="tx1"/>
                  </w14:solidFill>
                </w14:textFill>
              </w:rPr>
              <w:t>表</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2-1</w:t>
            </w:r>
            <w:r>
              <w:rPr>
                <w:rFonts w:hint="default" w:ascii="Times New Roman" w:hAnsi="Times New Roman" w:eastAsia="宋体" w:cs="Times New Roman"/>
                <w:b/>
                <w:bCs/>
                <w:color w:val="000000" w:themeColor="text1"/>
                <w:kern w:val="0"/>
                <w:sz w:val="24"/>
                <w14:textFill>
                  <w14:solidFill>
                    <w14:schemeClr w14:val="tx1"/>
                  </w14:solidFill>
                </w14:textFill>
              </w:rPr>
              <w:t xml:space="preserve">  项目</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组成</w:t>
            </w:r>
            <w:r>
              <w:rPr>
                <w:rFonts w:hint="default" w:ascii="Times New Roman" w:hAnsi="Times New Roman" w:eastAsia="宋体" w:cs="Times New Roman"/>
                <w:b/>
                <w:bCs/>
                <w:color w:val="000000" w:themeColor="text1"/>
                <w:kern w:val="0"/>
                <w:sz w:val="24"/>
                <w14:textFill>
                  <w14:solidFill>
                    <w14:schemeClr w14:val="tx1"/>
                  </w14:solidFill>
                </w14:textFill>
              </w:rPr>
              <w:t>及</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规模一览</w:t>
            </w:r>
            <w:r>
              <w:rPr>
                <w:rFonts w:hint="default" w:ascii="Times New Roman" w:hAnsi="Times New Roman" w:eastAsia="宋体" w:cs="Times New Roman"/>
                <w:b/>
                <w:bCs/>
                <w:color w:val="000000" w:themeColor="text1"/>
                <w:kern w:val="0"/>
                <w:sz w:val="24"/>
                <w14:textFill>
                  <w14:solidFill>
                    <w14:schemeClr w14:val="tx1"/>
                  </w14:solidFill>
                </w14:textFill>
              </w:rPr>
              <w:t>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866"/>
              <w:gridCol w:w="695"/>
              <w:gridCol w:w="473"/>
              <w:gridCol w:w="739"/>
              <w:gridCol w:w="1191"/>
              <w:gridCol w:w="3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项目组成</w:t>
                  </w:r>
                </w:p>
              </w:tc>
              <w:tc>
                <w:tcPr>
                  <w:tcW w:w="53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工程</w:t>
                  </w:r>
                </w:p>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分类</w:t>
                  </w:r>
                </w:p>
              </w:tc>
              <w:tc>
                <w:tcPr>
                  <w:tcW w:w="716"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建设内容</w:t>
                  </w:r>
                </w:p>
              </w:tc>
              <w:tc>
                <w:tcPr>
                  <w:tcW w:w="3361"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建设规模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Merge w:val="restart"/>
                  <w:tcBorders>
                    <w:top w:val="single" w:color="auto" w:sz="4" w:space="0"/>
                    <w:left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主体工程</w:t>
                  </w:r>
                </w:p>
              </w:tc>
              <w:tc>
                <w:tcPr>
                  <w:tcW w:w="531" w:type="pct"/>
                  <w:vMerge w:val="restart"/>
                  <w:tcBorders>
                    <w:top w:val="single" w:color="auto" w:sz="4" w:space="0"/>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段家峡水库</w:t>
                  </w:r>
                </w:p>
                <w:p>
                  <w:pPr>
                    <w:adjustRightInd w:val="0"/>
                    <w:snapToGrid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取水</w:t>
                  </w:r>
                  <w:r>
                    <w:rPr>
                      <w:rFonts w:hint="default" w:ascii="Times New Roman" w:hAnsi="Times New Roman" w:cs="Times New Roman"/>
                      <w:color w:val="000000" w:themeColor="text1"/>
                      <w:kern w:val="0"/>
                      <w:szCs w:val="21"/>
                      <w:lang w:val="en-US" w:eastAsia="zh-CN"/>
                      <w14:textFill>
                        <w14:solidFill>
                          <w14:schemeClr w14:val="tx1"/>
                        </w14:solidFill>
                      </w14:textFill>
                    </w:rPr>
                    <w:t>口</w:t>
                  </w:r>
                </w:p>
              </w:tc>
              <w:tc>
                <w:tcPr>
                  <w:tcW w:w="716"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水源</w:t>
                  </w:r>
                </w:p>
              </w:tc>
              <w:tc>
                <w:tcPr>
                  <w:tcW w:w="3361" w:type="pct"/>
                  <w:gridSpan w:val="3"/>
                  <w:tcBorders>
                    <w:top w:val="single" w:color="auto" w:sz="4" w:space="0"/>
                    <w:left w:val="single" w:color="auto" w:sz="4" w:space="0"/>
                    <w:bottom w:val="single" w:color="auto" w:sz="4" w:space="0"/>
                    <w:right w:val="single" w:color="auto" w:sz="4" w:space="0"/>
                  </w:tcBorders>
                </w:tcPr>
                <w:p>
                  <w:pPr>
                    <w:adjustRightInd w:val="0"/>
                    <w:snapToGrid w:val="0"/>
                    <w:jc w:val="center"/>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段家峡水库</w:t>
                  </w:r>
                  <w:r>
                    <w:rPr>
                      <w:rFonts w:hint="default" w:ascii="Times New Roman" w:hAnsi="Times New Roman" w:cs="Times New Roman"/>
                      <w:color w:val="000000" w:themeColor="text1"/>
                      <w:kern w:val="0"/>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39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53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716" w:type="pct"/>
                  <w:gridSpan w:val="2"/>
                  <w:tcBorders>
                    <w:top w:val="single" w:color="auto" w:sz="4" w:space="0"/>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取水</w:t>
                  </w:r>
                  <w:r>
                    <w:rPr>
                      <w:rFonts w:hint="default" w:ascii="Times New Roman" w:hAnsi="Times New Roman" w:cs="Times New Roman"/>
                      <w:color w:val="000000" w:themeColor="text1"/>
                      <w:lang w:val="en-US" w:eastAsia="zh-CN"/>
                      <w14:textFill>
                        <w14:solidFill>
                          <w14:schemeClr w14:val="tx1"/>
                        </w14:solidFill>
                      </w14:textFill>
                    </w:rPr>
                    <w:t>方案</w:t>
                  </w:r>
                </w:p>
              </w:tc>
              <w:tc>
                <w:tcPr>
                  <w:tcW w:w="3361" w:type="pct"/>
                  <w:gridSpan w:val="3"/>
                  <w:tcBorders>
                    <w:top w:val="single" w:color="auto" w:sz="4" w:space="0"/>
                    <w:left w:val="single" w:color="auto" w:sz="4" w:space="0"/>
                    <w:bottom w:val="single" w:color="auto" w:sz="4" w:space="0"/>
                    <w:right w:val="single" w:color="auto" w:sz="4" w:space="0"/>
                  </w:tcBorders>
                </w:tcPr>
                <w:p>
                  <w:pPr>
                    <w:adjustRightInd w:val="0"/>
                    <w:snapToGrid w:val="0"/>
                    <w:jc w:val="both"/>
                    <w:rPr>
                      <w:rFonts w:hint="default" w:ascii="Times New Roman" w:hAnsi="Times New Roman"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坝后取水（原抗旱应急工程清水池取水）。取水枢纽段总干渠为砼U型，部分上敷混凝土盖板，底宽3.3m，顶宽 8.0m，渠高2.7m，设计水深2.2m，设计流量7.7m</w:t>
                  </w:r>
                  <w:r>
                    <w:rPr>
                      <w:rFonts w:hint="default" w:ascii="Times New Roman" w:hAnsi="Times New Roman" w:cs="Times New Roman"/>
                      <w:color w:val="000000" w:themeColor="text1"/>
                      <w:kern w:val="0"/>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kern w:val="0"/>
                      <w:szCs w:val="21"/>
                      <w:lang w:val="en-US" w:eastAsia="zh-CN"/>
                      <w14:textFill>
                        <w14:solidFill>
                          <w14:schemeClr w14:val="tx1"/>
                        </w14:solidFill>
                      </w14:textFill>
                    </w:rPr>
                    <w:t>/s，校核流量10m</w:t>
                  </w:r>
                  <w:r>
                    <w:rPr>
                      <w:rFonts w:hint="default" w:ascii="Times New Roman" w:hAnsi="Times New Roman" w:cs="Times New Roman"/>
                      <w:color w:val="000000" w:themeColor="text1"/>
                      <w:kern w:val="0"/>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kern w:val="0"/>
                      <w:szCs w:val="21"/>
                      <w:lang w:val="en-US" w:eastAsia="zh-CN"/>
                      <w14:textFill>
                        <w14:solidFill>
                          <w14:schemeClr w14:val="tx1"/>
                        </w14:solidFill>
                      </w14:textFill>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1247" w:type="pct"/>
                  <w:gridSpan w:val="3"/>
                  <w:tcBorders>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段家峡水库</w:t>
                  </w:r>
                </w:p>
                <w:p>
                  <w:pPr>
                    <w:adjustRightInd w:val="0"/>
                    <w:snapToGrid w:val="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输水管道</w:t>
                  </w:r>
                </w:p>
              </w:tc>
              <w:tc>
                <w:tcPr>
                  <w:tcW w:w="3361" w:type="pct"/>
                  <w:gridSpan w:val="3"/>
                  <w:tcBorders>
                    <w:top w:val="single" w:color="auto" w:sz="4" w:space="0"/>
                    <w:left w:val="single" w:color="auto" w:sz="4" w:space="0"/>
                    <w:right w:val="single" w:color="auto" w:sz="4" w:space="0"/>
                  </w:tcBorders>
                  <w:vAlign w:val="top"/>
                </w:tcPr>
                <w:p>
                  <w:pPr>
                    <w:adjustRightInd w:val="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新建从取水设施至净水厂输水管道总长8.918km</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其中铺设DN500的球墨铸铁管道7.867km，铺设DN500的钢管717m，铺设DN400的球墨铸铁管道334m。输水管道的总设计流量为0.5</w:t>
                  </w:r>
                  <w:r>
                    <w:rPr>
                      <w:rFonts w:hint="eastAsia" w:ascii="Times New Roman" w:hAnsi="Times New Roman" w:cs="Times New Roman"/>
                      <w:color w:val="000000" w:themeColor="text1"/>
                      <w:szCs w:val="21"/>
                      <w:lang w:val="en-US" w:eastAsia="zh-CN"/>
                      <w14:textFill>
                        <w14:solidFill>
                          <w14:schemeClr w14:val="tx1"/>
                        </w14:solidFill>
                      </w14:textFill>
                    </w:rPr>
                    <w:t>32</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kern w:val="0"/>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1247" w:type="pct"/>
                  <w:gridSpan w:val="3"/>
                  <w:tcBorders>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段家峡水库</w:t>
                  </w:r>
                </w:p>
                <w:p>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配水</w:t>
                  </w:r>
                  <w:r>
                    <w:rPr>
                      <w:rFonts w:hint="default" w:ascii="Times New Roman" w:hAnsi="Times New Roman" w:cs="Times New Roman"/>
                      <w:color w:val="000000" w:themeColor="text1"/>
                      <w:kern w:val="0"/>
                      <w:szCs w:val="21"/>
                      <w:lang w:val="en-US" w:eastAsia="zh-CN"/>
                      <w14:textFill>
                        <w14:solidFill>
                          <w14:schemeClr w14:val="tx1"/>
                        </w14:solidFill>
                      </w14:textFill>
                    </w:rPr>
                    <w:t>管道</w:t>
                  </w:r>
                </w:p>
              </w:tc>
              <w:tc>
                <w:tcPr>
                  <w:tcW w:w="3361" w:type="pct"/>
                  <w:gridSpan w:val="3"/>
                  <w:tcBorders>
                    <w:top w:val="single" w:color="auto" w:sz="4" w:space="0"/>
                    <w:left w:val="single" w:color="auto" w:sz="4" w:space="0"/>
                    <w:right w:val="single" w:color="auto" w:sz="4" w:space="0"/>
                  </w:tcBorders>
                </w:tcPr>
                <w:p>
                  <w:pPr>
                    <w:adjustRightInd w:val="0"/>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①新建</w:t>
                  </w:r>
                  <w:r>
                    <w:rPr>
                      <w:rFonts w:hint="default" w:ascii="Times New Roman" w:hAnsi="Times New Roman" w:eastAsia="宋体" w:cs="Times New Roman"/>
                      <w:color w:val="000000" w:themeColor="text1"/>
                      <w:szCs w:val="21"/>
                      <w14:textFill>
                        <w14:solidFill>
                          <w14:schemeClr w14:val="tx1"/>
                        </w14:solidFill>
                      </w14:textFill>
                    </w:rPr>
                    <w:t>从水厂至县城配水管网接点9.</w:t>
                  </w:r>
                  <w:r>
                    <w:rPr>
                      <w:rFonts w:hint="eastAsia" w:cs="Times New Roman"/>
                      <w:color w:val="000000" w:themeColor="text1"/>
                      <w:szCs w:val="21"/>
                      <w:lang w:val="en-US" w:eastAsia="zh-CN"/>
                      <w14:textFill>
                        <w14:solidFill>
                          <w14:schemeClr w14:val="tx1"/>
                        </w14:solidFill>
                      </w14:textFill>
                    </w:rPr>
                    <w:t>343</w:t>
                  </w:r>
                  <w:r>
                    <w:rPr>
                      <w:rFonts w:hint="default" w:ascii="Times New Roman" w:hAnsi="Times New Roman" w:eastAsia="宋体" w:cs="Times New Roman"/>
                      <w:color w:val="000000" w:themeColor="text1"/>
                      <w:szCs w:val="21"/>
                      <w14:textFill>
                        <w14:solidFill>
                          <w14:schemeClr w14:val="tx1"/>
                        </w14:solidFill>
                      </w14:textFill>
                    </w:rPr>
                    <w:t>km</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新建供向王马咀村的</w:t>
                  </w:r>
                  <w:r>
                    <w:rPr>
                      <w:rFonts w:hint="default" w:ascii="Times New Roman" w:hAnsi="Times New Roman" w:eastAsia="宋体" w:cs="Times New Roman"/>
                      <w:color w:val="000000" w:themeColor="text1"/>
                      <w:szCs w:val="21"/>
                      <w:lang w:val="en-US" w:eastAsia="zh-CN"/>
                      <w14:textFill>
                        <w14:solidFill>
                          <w14:schemeClr w14:val="tx1"/>
                        </w14:solidFill>
                      </w14:textFill>
                    </w:rPr>
                    <w:t>PE</w:t>
                  </w:r>
                  <w:r>
                    <w:rPr>
                      <w:rFonts w:hint="default" w:ascii="Times New Roman" w:hAnsi="Times New Roman" w:eastAsia="宋体" w:cs="Times New Roman"/>
                      <w:color w:val="000000" w:themeColor="text1"/>
                      <w:szCs w:val="21"/>
                      <w14:textFill>
                        <w14:solidFill>
                          <w14:schemeClr w14:val="tx1"/>
                        </w14:solidFill>
                      </w14:textFill>
                    </w:rPr>
                    <w:t>管道1.003km，总长度为10.346km，设计流量为0.4</w:t>
                  </w:r>
                  <w:r>
                    <w:rPr>
                      <w:rFonts w:hint="default" w:ascii="Times New Roman" w:hAnsi="Times New Roman" w:eastAsia="宋体" w:cs="Times New Roman"/>
                      <w:color w:val="000000" w:themeColor="text1"/>
                      <w:szCs w:val="21"/>
                      <w:lang w:val="en-US" w:eastAsia="zh-CN"/>
                      <w14:textFill>
                        <w14:solidFill>
                          <w14:schemeClr w14:val="tx1"/>
                        </w14:solidFill>
                      </w14:textFill>
                    </w:rPr>
                    <w:t>768</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kern w:val="0"/>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/s</w:t>
                  </w:r>
                  <w:r>
                    <w:rPr>
                      <w:rFonts w:hint="default" w:ascii="Times New Roman" w:hAnsi="Times New Roman" w:cs="Times New Roman"/>
                      <w:color w:val="000000" w:themeColor="text1"/>
                      <w:szCs w:val="21"/>
                      <w:lang w:eastAsia="zh-CN"/>
                      <w14:textFill>
                        <w14:solidFill>
                          <w14:schemeClr w14:val="tx1"/>
                        </w14:solidFill>
                      </w14:textFill>
                    </w:rPr>
                    <w:t>。</w:t>
                  </w:r>
                </w:p>
                <w:p>
                  <w:pPr>
                    <w:adjustRightInd w:val="0"/>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②</w:t>
                  </w:r>
                  <w:r>
                    <w:rPr>
                      <w:rFonts w:hint="default" w:ascii="Times New Roman" w:hAnsi="Times New Roman" w:eastAsia="宋体" w:cs="Times New Roman"/>
                      <w:color w:val="000000" w:themeColor="text1"/>
                      <w:szCs w:val="21"/>
                      <w14:textFill>
                        <w14:solidFill>
                          <w14:schemeClr w14:val="tx1"/>
                        </w14:solidFill>
                      </w14:textFill>
                    </w:rPr>
                    <w:t>从县城至梨林川段配水管网总长度为21.651km，其中铺设De315的</w:t>
                  </w:r>
                  <w:r>
                    <w:rPr>
                      <w:rFonts w:hint="default" w:ascii="Times New Roman" w:hAnsi="Times New Roman" w:eastAsia="宋体" w:cs="Times New Roman"/>
                      <w:color w:val="000000" w:themeColor="text1"/>
                      <w:szCs w:val="21"/>
                      <w:lang w:val="en-US" w:eastAsia="zh-CN"/>
                      <w14:textFill>
                        <w14:solidFill>
                          <w14:schemeClr w14:val="tx1"/>
                        </w14:solidFill>
                      </w14:textFill>
                    </w:rPr>
                    <w:t>PE</w:t>
                  </w:r>
                  <w:r>
                    <w:rPr>
                      <w:rFonts w:hint="default" w:ascii="Times New Roman" w:hAnsi="Times New Roman" w:eastAsia="宋体" w:cs="Times New Roman"/>
                      <w:color w:val="000000" w:themeColor="text1"/>
                      <w:szCs w:val="21"/>
                      <w14:textFill>
                        <w14:solidFill>
                          <w14:schemeClr w14:val="tx1"/>
                        </w14:solidFill>
                      </w14:textFill>
                    </w:rPr>
                    <w:t>管道4208m，铺设DN200的球墨铸铁管道5834m，铺设DN150的球墨铸铁管道11.172km，铺设DN100的球墨铸铁管道150m，铺设DN150的钢管287m，总设计流量为0.0491m</w:t>
                  </w:r>
                  <w:r>
                    <w:rPr>
                      <w:rFonts w:hint="default" w:ascii="Times New Roman" w:hAnsi="Times New Roman" w:eastAsia="宋体" w:cs="Times New Roman"/>
                      <w:color w:val="000000" w:themeColor="text1"/>
                      <w:kern w:val="0"/>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/s</w:t>
                  </w:r>
                  <w:r>
                    <w:rPr>
                      <w:rFonts w:hint="default" w:ascii="Times New Roman" w:hAnsi="Times New Roman" w:eastAsia="宋体" w:cs="Times New Roman"/>
                      <w:color w:val="000000" w:themeColor="text1"/>
                      <w:szCs w:val="21"/>
                      <w:lang w:eastAsia="zh-CN"/>
                      <w14:textFill>
                        <w14:solidFill>
                          <w14:schemeClr w14:val="tx1"/>
                        </w14:solidFill>
                      </w14:textFill>
                    </w:rPr>
                    <w:t>。</w:t>
                  </w:r>
                </w:p>
                <w:p>
                  <w:pPr>
                    <w:adjustRightInd w:val="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③</w:t>
                  </w:r>
                  <w:r>
                    <w:rPr>
                      <w:rFonts w:hint="default" w:ascii="Times New Roman" w:hAnsi="Times New Roman" w:eastAsia="宋体" w:cs="Times New Roman"/>
                      <w:color w:val="000000" w:themeColor="text1"/>
                      <w:szCs w:val="21"/>
                      <w:lang w:eastAsia="zh-CN"/>
                      <w14:textFill>
                        <w14:solidFill>
                          <w14:schemeClr w14:val="tx1"/>
                        </w14:solidFill>
                      </w14:textFill>
                    </w:rPr>
                    <w:t>从配水主管向沿线周边农村供水支管采用DN100~DN50碳钢管道，支管总长31.72km。在每个村的高位水池（水塔）进水管上，安装手动检修阀门、Y 型过滤器、水控式流量控制阀、机械水表、浮球液位阀用于检修、流量控制、液位控制。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9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1247" w:type="pct"/>
                  <w:gridSpan w:val="3"/>
                  <w:tcBorders>
                    <w:left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温河输水管线工程</w:t>
                  </w:r>
                </w:p>
              </w:tc>
              <w:tc>
                <w:tcPr>
                  <w:tcW w:w="3361" w:type="pct"/>
                  <w:gridSpan w:val="3"/>
                  <w:tcBorders>
                    <w:left w:val="single" w:color="auto" w:sz="4" w:space="0"/>
                    <w:bottom w:val="single" w:color="auto" w:sz="4" w:space="0"/>
                    <w:right w:val="single" w:color="auto" w:sz="4" w:space="0"/>
                  </w:tcBorders>
                  <w:vAlign w:val="center"/>
                </w:tcPr>
                <w:p>
                  <w:pPr>
                    <w:adjustRightInd w:val="0"/>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温河输水管道取水口为温河水源汇流池下游已建DN250 管道始端，末端为县城现有水厂清水池，采用De315PE输水管道，管道长</w:t>
                  </w:r>
                  <w:r>
                    <w:rPr>
                      <w:rFonts w:hint="eastAsia" w:cs="Times New Roman"/>
                      <w:color w:val="000000" w:themeColor="text1"/>
                      <w:kern w:val="0"/>
                      <w:szCs w:val="21"/>
                      <w:lang w:val="en-US" w:eastAsia="zh-CN"/>
                      <w14:textFill>
                        <w14:solidFill>
                          <w14:schemeClr w14:val="tx1"/>
                        </w14:solidFill>
                      </w14:textFill>
                    </w:rPr>
                    <w:t>10.865</w:t>
                  </w:r>
                  <w:r>
                    <w:rPr>
                      <w:rFonts w:hint="default" w:ascii="Times New Roman" w:hAnsi="Times New Roman" w:eastAsia="宋体" w:cs="Times New Roman"/>
                      <w:color w:val="000000" w:themeColor="text1"/>
                      <w:kern w:val="0"/>
                      <w:szCs w:val="21"/>
                      <w14:textFill>
                        <w14:solidFill>
                          <w14:schemeClr w14:val="tx1"/>
                        </w14:solidFill>
                      </w14:textFill>
                    </w:rPr>
                    <w:t>km</w:t>
                  </w:r>
                  <w:r>
                    <w:rPr>
                      <w:rFonts w:hint="default" w:ascii="Times New Roman" w:hAnsi="Times New Roman" w:eastAsia="宋体" w:cs="Times New Roman"/>
                      <w:color w:val="000000" w:themeColor="text1"/>
                      <w:kern w:val="0"/>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531" w:type="pct"/>
                  <w:vMerge w:val="restart"/>
                  <w:tcBorders>
                    <w:top w:val="single" w:color="auto" w:sz="4" w:space="0"/>
                    <w:left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净水厂</w:t>
                  </w:r>
                </w:p>
              </w:tc>
              <w:tc>
                <w:tcPr>
                  <w:tcW w:w="716"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设计规模</w:t>
                  </w:r>
                </w:p>
              </w:tc>
              <w:tc>
                <w:tcPr>
                  <w:tcW w:w="3361" w:type="pct"/>
                  <w:gridSpan w:val="3"/>
                  <w:tcBorders>
                    <w:top w:val="single" w:color="auto" w:sz="4" w:space="0"/>
                    <w:left w:val="single" w:color="auto" w:sz="4" w:space="0"/>
                    <w:bottom w:val="single" w:color="auto" w:sz="4" w:space="0"/>
                    <w:right w:val="single" w:color="auto" w:sz="4" w:space="0"/>
                  </w:tcBorders>
                  <w:vAlign w:val="center"/>
                </w:tcPr>
                <w:p>
                  <w:pPr>
                    <w:pStyle w:val="8"/>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40000m</w:t>
                  </w:r>
                  <w:r>
                    <w:rPr>
                      <w:rFonts w:hint="default" w:ascii="Times New Roman" w:hAnsi="Times New Roman" w:eastAsia="宋体" w:cs="Times New Roman"/>
                      <w:color w:val="000000" w:themeColor="text1"/>
                      <w:kern w:val="0"/>
                      <w:szCs w:val="21"/>
                      <w:vertAlign w:val="superscript"/>
                      <w14:textFill>
                        <w14:solidFill>
                          <w14:schemeClr w14:val="tx1"/>
                        </w14:solidFill>
                      </w14:textFill>
                    </w:rPr>
                    <w:t>3</w:t>
                  </w:r>
                  <w:r>
                    <w:rPr>
                      <w:rFonts w:hint="default" w:ascii="Times New Roman" w:hAnsi="Times New Roman" w:eastAsia="宋体" w:cs="Times New Roman"/>
                      <w:color w:val="000000" w:themeColor="text1"/>
                      <w:kern w:val="0"/>
                      <w:szCs w:val="21"/>
                      <w14:textFill>
                        <w14:solidFill>
                          <w14:schemeClr w14:val="tx1"/>
                        </w14:solidFill>
                      </w14:textFill>
                    </w:rPr>
                    <w:t>/d</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占地面积约19113.75m</w:t>
                  </w:r>
                  <w:r>
                    <w:rPr>
                      <w:rFonts w:hint="default" w:ascii="Times New Roman" w:hAnsi="Times New Roman" w:cs="Times New Roman"/>
                      <w:color w:val="000000" w:themeColor="text1"/>
                      <w:vertAlign w:val="super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，建筑面积约153.79m</w:t>
                  </w:r>
                  <w:r>
                    <w:rPr>
                      <w:rFonts w:hint="default" w:ascii="Times New Roman" w:hAnsi="Times New Roman" w:cs="Times New Roman"/>
                      <w:color w:val="000000" w:themeColor="text1"/>
                      <w:vertAlign w:val="super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531" w:type="pct"/>
                  <w:vMerge w:val="continue"/>
                  <w:tcBorders>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716"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净水工艺</w:t>
                  </w:r>
                </w:p>
              </w:tc>
              <w:tc>
                <w:tcPr>
                  <w:tcW w:w="3361"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采用“高密度沉淀池+V型滤池+消毒+清水池”工艺</w:t>
                  </w:r>
                  <w:r>
                    <w:rPr>
                      <w:rFonts w:hint="default" w:ascii="Times New Roman" w:hAnsi="Times New Roman" w:cs="Times New Roman"/>
                      <w:color w:val="000000" w:themeColor="text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531" w:type="pct"/>
                  <w:vMerge w:val="continue"/>
                  <w:tcBorders>
                    <w:left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p>
              </w:tc>
              <w:tc>
                <w:tcPr>
                  <w:tcW w:w="716"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进水</w:t>
                  </w:r>
                </w:p>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稳压房</w:t>
                  </w:r>
                </w:p>
              </w:tc>
              <w:tc>
                <w:tcPr>
                  <w:tcW w:w="3361"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1座。</w:t>
                  </w:r>
                  <w:r>
                    <w:rPr>
                      <w:rFonts w:hint="default" w:ascii="Times New Roman" w:hAnsi="Times New Roman" w:eastAsia="宋体" w:cs="Times New Roman"/>
                      <w:color w:val="000000" w:themeColor="text1"/>
                      <w:kern w:val="0"/>
                      <w:szCs w:val="21"/>
                      <w14:textFill>
                        <w14:solidFill>
                          <w14:schemeClr w14:val="tx1"/>
                        </w14:solidFill>
                      </w14:textFill>
                    </w:rPr>
                    <w:t>尺寸：12.0×5.9m</w:t>
                  </w:r>
                  <w:r>
                    <w:rPr>
                      <w:rFonts w:hint="default" w:ascii="Times New Roman" w:hAnsi="Times New Roman" w:eastAsia="宋体" w:cs="Times New Roman"/>
                      <w:color w:val="000000" w:themeColor="text1"/>
                      <w:kern w:val="0"/>
                      <w:szCs w:val="21"/>
                      <w:lang w:eastAsia="zh-CN"/>
                      <w14:textFill>
                        <w14:solidFill>
                          <w14:schemeClr w14:val="tx1"/>
                        </w14:solidFill>
                      </w14:textFill>
                    </w:rPr>
                    <w:t>。</w:t>
                  </w:r>
                  <w:r>
                    <w:rPr>
                      <w:rFonts w:hint="default" w:ascii="Times New Roman" w:hAnsi="Times New Roman" w:eastAsia="宋体" w:cs="Times New Roman"/>
                      <w:color w:val="000000" w:themeColor="text1"/>
                      <w:kern w:val="0"/>
                      <w:szCs w:val="21"/>
                      <w14:textFill>
                        <w14:solidFill>
                          <w14:schemeClr w14:val="tx1"/>
                        </w14:solidFill>
                      </w14:textFill>
                    </w:rPr>
                    <w:t>框架结构</w:t>
                  </w:r>
                  <w:r>
                    <w:rPr>
                      <w:rFonts w:hint="default" w:ascii="Times New Roman" w:hAnsi="Times New Roman" w:eastAsia="宋体" w:cs="Times New Roman"/>
                      <w:color w:val="000000" w:themeColor="text1"/>
                      <w:kern w:val="0"/>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53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716"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配水井</w:t>
                  </w:r>
                </w:p>
              </w:tc>
              <w:tc>
                <w:tcPr>
                  <w:tcW w:w="3361"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1座</w:t>
                  </w:r>
                  <w:r>
                    <w:rPr>
                      <w:rFonts w:hint="default" w:ascii="Times New Roman" w:hAnsi="Times New Roman" w:eastAsia="宋体" w:cs="Times New Roman"/>
                      <w:color w:val="000000" w:themeColor="text1"/>
                      <w:kern w:val="0"/>
                      <w:szCs w:val="21"/>
                      <w:lang w:eastAsia="zh-CN"/>
                      <w14:textFill>
                        <w14:solidFill>
                          <w14:schemeClr w14:val="tx1"/>
                        </w14:solidFill>
                      </w14:textFill>
                    </w:rPr>
                    <w:t>。</w:t>
                  </w:r>
                  <w:r>
                    <w:rPr>
                      <w:rFonts w:hint="default" w:ascii="Times New Roman" w:hAnsi="Times New Roman" w:eastAsia="宋体" w:cs="Times New Roman"/>
                      <w:color w:val="000000" w:themeColor="text1"/>
                      <w:kern w:val="0"/>
                      <w:szCs w:val="21"/>
                      <w14:textFill>
                        <w14:solidFill>
                          <w14:schemeClr w14:val="tx1"/>
                        </w14:solidFill>
                      </w14:textFill>
                    </w:rPr>
                    <w:t>尺寸：7.0×4.0×6.5m</w:t>
                  </w:r>
                  <w:r>
                    <w:rPr>
                      <w:rFonts w:hint="default" w:ascii="Times New Roman" w:hAnsi="Times New Roman" w:eastAsia="宋体" w:cs="Times New Roman"/>
                      <w:color w:val="000000" w:themeColor="text1"/>
                      <w:kern w:val="0"/>
                      <w:szCs w:val="21"/>
                      <w:lang w:eastAsia="zh-CN"/>
                      <w14:textFill>
                        <w14:solidFill>
                          <w14:schemeClr w14:val="tx1"/>
                        </w14:solidFill>
                      </w14:textFill>
                    </w:rPr>
                    <w:t>。</w:t>
                  </w:r>
                  <w:r>
                    <w:rPr>
                      <w:rFonts w:hint="default" w:ascii="Times New Roman" w:hAnsi="Times New Roman" w:eastAsia="宋体" w:cs="Times New Roman"/>
                      <w:color w:val="000000" w:themeColor="text1"/>
                      <w:kern w:val="0"/>
                      <w:szCs w:val="21"/>
                      <w14:textFill>
                        <w14:solidFill>
                          <w14:schemeClr w14:val="tx1"/>
                        </w14:solidFill>
                      </w14:textFill>
                    </w:rPr>
                    <w:t>钢筋混凝土结构。</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有效容积168m</w:t>
                  </w:r>
                  <w:r>
                    <w:rPr>
                      <w:rFonts w:hint="default" w:ascii="Times New Roman" w:hAnsi="Times New Roman" w:eastAsia="宋体" w:cs="Times New Roman"/>
                      <w:color w:val="000000" w:themeColor="text1"/>
                      <w:kern w:val="0"/>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Cs w:val="21"/>
                      <w14:textFill>
                        <w14:solidFill>
                          <w14:schemeClr w14:val="tx1"/>
                        </w14:solidFill>
                      </w14:textFill>
                    </w:rPr>
                    <w:t>用于均质分配原水，将原水分配至净水间</w:t>
                  </w:r>
                  <w:r>
                    <w:rPr>
                      <w:rFonts w:hint="default" w:ascii="Times New Roman" w:hAnsi="Times New Roman" w:eastAsia="宋体" w:cs="Times New Roman"/>
                      <w:color w:val="000000" w:themeColor="text1"/>
                      <w:kern w:val="0"/>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53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716"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净化间</w:t>
                  </w:r>
                </w:p>
              </w:tc>
              <w:tc>
                <w:tcPr>
                  <w:tcW w:w="3361"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2座。</w:t>
                  </w:r>
                  <w:r>
                    <w:rPr>
                      <w:rFonts w:hint="default" w:ascii="Times New Roman" w:hAnsi="Times New Roman" w:eastAsia="宋体" w:cs="Times New Roman"/>
                      <w:color w:val="000000" w:themeColor="text1"/>
                      <w:kern w:val="0"/>
                      <w:szCs w:val="21"/>
                      <w14:textFill>
                        <w14:solidFill>
                          <w14:schemeClr w14:val="tx1"/>
                        </w14:solidFill>
                      </w14:textFill>
                    </w:rPr>
                    <w:t>净化间尺寸48.0×24.0×8.0m，</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门式钢</w:t>
                  </w:r>
                  <w:r>
                    <w:rPr>
                      <w:rFonts w:hint="default" w:ascii="Times New Roman" w:hAnsi="Times New Roman" w:eastAsia="宋体" w:cs="Times New Roman"/>
                      <w:color w:val="000000" w:themeColor="text1"/>
                      <w:kern w:val="0"/>
                      <w:szCs w:val="21"/>
                      <w14:textFill>
                        <w14:solidFill>
                          <w14:schemeClr w14:val="tx1"/>
                        </w14:solidFill>
                      </w14:textFill>
                    </w:rPr>
                    <w:t>结构</w:t>
                  </w:r>
                  <w:r>
                    <w:rPr>
                      <w:rFonts w:hint="default" w:ascii="Times New Roman" w:hAnsi="Times New Roman" w:eastAsia="宋体" w:cs="Times New Roman"/>
                      <w:color w:val="000000" w:themeColor="text1"/>
                      <w:kern w:val="0"/>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53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716"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高密度</w:t>
                  </w:r>
                </w:p>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沉淀池</w:t>
                  </w:r>
                </w:p>
              </w:tc>
              <w:tc>
                <w:tcPr>
                  <w:tcW w:w="3361"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2座。</w:t>
                  </w:r>
                  <w:r>
                    <w:rPr>
                      <w:rFonts w:hint="default" w:ascii="Times New Roman" w:hAnsi="Times New Roman" w:eastAsia="宋体" w:cs="Times New Roman"/>
                      <w:color w:val="000000" w:themeColor="text1"/>
                      <w:kern w:val="0"/>
                      <w:szCs w:val="21"/>
                      <w14:textFill>
                        <w14:solidFill>
                          <w14:schemeClr w14:val="tx1"/>
                        </w14:solidFill>
                      </w14:textFill>
                    </w:rPr>
                    <w:t>高密度沉淀池尺寸：18.8×19.65m，钢砼结构</w:t>
                  </w:r>
                  <w:r>
                    <w:rPr>
                      <w:rFonts w:hint="default" w:ascii="Times New Roman" w:hAnsi="Times New Roman" w:eastAsia="宋体" w:cs="Times New Roman"/>
                      <w:color w:val="000000" w:themeColor="text1"/>
                      <w:kern w:val="0"/>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53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716"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V型滤池</w:t>
                  </w:r>
                </w:p>
              </w:tc>
              <w:tc>
                <w:tcPr>
                  <w:tcW w:w="3361"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2座。单座</w:t>
                  </w:r>
                  <w:r>
                    <w:rPr>
                      <w:rFonts w:hint="default" w:ascii="Times New Roman" w:hAnsi="Times New Roman" w:eastAsia="宋体" w:cs="Times New Roman"/>
                      <w:color w:val="000000" w:themeColor="text1"/>
                      <w:kern w:val="0"/>
                      <w:szCs w:val="21"/>
                      <w14:textFill>
                        <w14:solidFill>
                          <w14:schemeClr w14:val="tx1"/>
                        </w14:solidFill>
                      </w14:textFill>
                    </w:rPr>
                    <w:t>尺寸：21.0×14.9×4.3mm，钢砼结构</w:t>
                  </w:r>
                  <w:r>
                    <w:rPr>
                      <w:rFonts w:hint="default" w:ascii="Times New Roman" w:hAnsi="Times New Roman" w:eastAsia="宋体" w:cs="Times New Roman"/>
                      <w:color w:val="000000" w:themeColor="text1"/>
                      <w:kern w:val="0"/>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53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716"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清水池</w:t>
                  </w:r>
                </w:p>
              </w:tc>
              <w:tc>
                <w:tcPr>
                  <w:tcW w:w="3361"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1座。</w:t>
                  </w:r>
                  <w:r>
                    <w:rPr>
                      <w:rFonts w:hint="default" w:ascii="Times New Roman" w:hAnsi="Times New Roman" w:eastAsia="宋体" w:cs="Times New Roman"/>
                      <w:color w:val="000000" w:themeColor="text1"/>
                      <w:kern w:val="0"/>
                      <w:szCs w:val="21"/>
                      <w14:textFill>
                        <w14:solidFill>
                          <w14:schemeClr w14:val="tx1"/>
                        </w14:solidFill>
                      </w14:textFill>
                    </w:rPr>
                    <w:t>清水池采用矩形，尺寸：30.0×65.5×4.5m，钢砼结构</w:t>
                  </w:r>
                  <w:r>
                    <w:rPr>
                      <w:rFonts w:hint="default" w:ascii="Times New Roman" w:hAnsi="Times New Roman" w:eastAsia="宋体" w:cs="Times New Roman"/>
                      <w:color w:val="000000" w:themeColor="text1"/>
                      <w:kern w:val="0"/>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53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716"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泵房</w:t>
                  </w:r>
                </w:p>
              </w:tc>
              <w:tc>
                <w:tcPr>
                  <w:tcW w:w="3361"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1座。</w:t>
                  </w:r>
                  <w:r>
                    <w:rPr>
                      <w:rFonts w:hint="default" w:ascii="Times New Roman" w:hAnsi="Times New Roman" w:eastAsia="宋体" w:cs="Times New Roman"/>
                      <w:color w:val="000000" w:themeColor="text1"/>
                      <w:kern w:val="0"/>
                      <w:szCs w:val="21"/>
                      <w14:textFill>
                        <w14:solidFill>
                          <w14:schemeClr w14:val="tx1"/>
                        </w14:solidFill>
                      </w14:textFill>
                    </w:rPr>
                    <w:t>尺寸：12.4×14.2 ×6.3m，框架结构</w:t>
                  </w:r>
                  <w:r>
                    <w:rPr>
                      <w:rFonts w:hint="default" w:ascii="Times New Roman" w:hAnsi="Times New Roman" w:eastAsia="宋体" w:cs="Times New Roman"/>
                      <w:color w:val="000000" w:themeColor="text1"/>
                      <w:kern w:val="0"/>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53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716"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鼓风机房</w:t>
                  </w:r>
                </w:p>
              </w:tc>
              <w:tc>
                <w:tcPr>
                  <w:tcW w:w="3361"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1座。</w:t>
                  </w:r>
                  <w:r>
                    <w:rPr>
                      <w:rFonts w:hint="default" w:ascii="Times New Roman" w:hAnsi="Times New Roman" w:eastAsia="宋体" w:cs="Times New Roman"/>
                      <w:color w:val="000000" w:themeColor="text1"/>
                      <w:kern w:val="0"/>
                      <w:szCs w:val="21"/>
                      <w14:textFill>
                        <w14:solidFill>
                          <w14:schemeClr w14:val="tx1"/>
                        </w14:solidFill>
                      </w14:textFill>
                    </w:rPr>
                    <w:t>尺寸：6.0×12.0×4.5m，框架结构</w:t>
                  </w:r>
                  <w:r>
                    <w:rPr>
                      <w:rFonts w:hint="default" w:ascii="Times New Roman" w:hAnsi="Times New Roman" w:eastAsia="宋体" w:cs="Times New Roman"/>
                      <w:color w:val="000000" w:themeColor="text1"/>
                      <w:kern w:val="0"/>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53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716"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配电间</w:t>
                  </w:r>
                </w:p>
              </w:tc>
              <w:tc>
                <w:tcPr>
                  <w:tcW w:w="3361"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1座。</w:t>
                  </w:r>
                  <w:r>
                    <w:rPr>
                      <w:rFonts w:hint="default" w:ascii="Times New Roman" w:hAnsi="Times New Roman" w:eastAsia="宋体" w:cs="Times New Roman"/>
                      <w:color w:val="000000" w:themeColor="text1"/>
                      <w:kern w:val="0"/>
                      <w:szCs w:val="21"/>
                      <w14:textFill>
                        <w14:solidFill>
                          <w14:schemeClr w14:val="tx1"/>
                        </w14:solidFill>
                      </w14:textFill>
                    </w:rPr>
                    <w:t>尺寸：17.3×12.0×4.5m，框架结构</w:t>
                  </w:r>
                  <w:r>
                    <w:rPr>
                      <w:rFonts w:hint="default" w:ascii="Times New Roman" w:hAnsi="Times New Roman" w:eastAsia="宋体" w:cs="Times New Roman"/>
                      <w:color w:val="000000" w:themeColor="text1"/>
                      <w:kern w:val="0"/>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53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716" w:type="pct"/>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回收水池</w:t>
                  </w:r>
                </w:p>
              </w:tc>
              <w:tc>
                <w:tcPr>
                  <w:tcW w:w="3361"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1座。</w:t>
                  </w:r>
                  <w:r>
                    <w:rPr>
                      <w:rFonts w:hint="default" w:ascii="Times New Roman" w:hAnsi="Times New Roman" w:eastAsia="宋体" w:cs="Times New Roman"/>
                      <w:color w:val="000000" w:themeColor="text1"/>
                      <w:kern w:val="0"/>
                      <w:szCs w:val="21"/>
                      <w14:textFill>
                        <w14:solidFill>
                          <w14:schemeClr w14:val="tx1"/>
                        </w14:solidFill>
                      </w14:textFill>
                    </w:rPr>
                    <w:t>尺寸：18.0×6.0×4.2m，框架结构。回收水池作用在于回收滤池反冲洗废水，经处理后再送至配水井和脱泥间进行处理</w:t>
                  </w:r>
                  <w:r>
                    <w:rPr>
                      <w:rFonts w:hint="default" w:ascii="Times New Roman" w:hAnsi="Times New Roman" w:eastAsia="宋体" w:cs="Times New Roman"/>
                      <w:color w:val="000000" w:themeColor="text1"/>
                      <w:kern w:val="0"/>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53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716" w:type="pct"/>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eastAsia="宋体" w:cs="Times New Roman"/>
                      <w:color w:val="000000" w:themeColor="text1"/>
                      <w:kern w:val="0"/>
                      <w:szCs w:val="21"/>
                      <w:lang w:eastAsia="zh-CN"/>
                      <w14:textFill>
                        <w14:solidFill>
                          <w14:schemeClr w14:val="tx1"/>
                        </w14:solidFill>
                      </w14:textFill>
                    </w:rPr>
                    <w:t>污泥</w:t>
                  </w:r>
                </w:p>
                <w:p>
                  <w:pPr>
                    <w:adjustRightInd w:val="0"/>
                    <w:snapToGrid w:val="0"/>
                    <w:jc w:val="center"/>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eastAsia="宋体" w:cs="Times New Roman"/>
                      <w:color w:val="000000" w:themeColor="text1"/>
                      <w:kern w:val="0"/>
                      <w:szCs w:val="21"/>
                      <w:lang w:eastAsia="zh-CN"/>
                      <w14:textFill>
                        <w14:solidFill>
                          <w14:schemeClr w14:val="tx1"/>
                        </w14:solidFill>
                      </w14:textFill>
                    </w:rPr>
                    <w:t>脱水间</w:t>
                  </w:r>
                </w:p>
              </w:tc>
              <w:tc>
                <w:tcPr>
                  <w:tcW w:w="3361"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1座，合建。</w:t>
                  </w:r>
                  <w:r>
                    <w:rPr>
                      <w:rFonts w:hint="default" w:ascii="Times New Roman" w:hAnsi="Times New Roman" w:eastAsia="宋体" w:cs="Times New Roman"/>
                      <w:color w:val="000000" w:themeColor="text1"/>
                      <w:kern w:val="0"/>
                      <w:szCs w:val="21"/>
                      <w:lang w:eastAsia="zh-CN"/>
                      <w14:textFill>
                        <w14:solidFill>
                          <w14:schemeClr w14:val="tx1"/>
                        </w14:solidFill>
                      </w14:textFill>
                    </w:rPr>
                    <w:t>污泥脱水间尺寸：</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21.0×12.0×5.5</w:t>
                  </w:r>
                  <w:r>
                    <w:rPr>
                      <w:rFonts w:hint="default" w:ascii="Times New Roman" w:hAnsi="Times New Roman" w:eastAsia="宋体" w:cs="Times New Roman"/>
                      <w:color w:val="000000" w:themeColor="text1"/>
                      <w:kern w:val="0"/>
                      <w:szCs w:val="21"/>
                      <w:lang w:eastAsia="zh-CN"/>
                      <w14:textFill>
                        <w14:solidFill>
                          <w14:schemeClr w14:val="tx1"/>
                        </w14:solidFill>
                      </w14:textFill>
                    </w:rPr>
                    <w:t>m，框架结构。主要功用在于将泥与水进行分离，厂区的污泥水经过处理后运至垃圾处理厂处理。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53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716" w:type="pct"/>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加药间</w:t>
                  </w:r>
                </w:p>
              </w:tc>
              <w:tc>
                <w:tcPr>
                  <w:tcW w:w="3361"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加药间尺寸：18.0×12.0×5.0m。布设加药装置，用于</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PAM、PAC、次氯酸钠等</w:t>
                  </w:r>
                  <w:r>
                    <w:rPr>
                      <w:rFonts w:hint="default" w:ascii="Times New Roman" w:hAnsi="Times New Roman" w:eastAsia="宋体" w:cs="Times New Roman"/>
                      <w:color w:val="000000" w:themeColor="text1"/>
                      <w:kern w:val="0"/>
                      <w:szCs w:val="21"/>
                      <w14:textFill>
                        <w14:solidFill>
                          <w14:schemeClr w14:val="tx1"/>
                        </w14:solidFill>
                      </w14:textFill>
                    </w:rPr>
                    <w:t>药剂的配置和添加</w:t>
                  </w:r>
                  <w:r>
                    <w:rPr>
                      <w:rFonts w:hint="default" w:ascii="Times New Roman" w:hAnsi="Times New Roman" w:eastAsia="宋体" w:cs="Times New Roman"/>
                      <w:color w:val="000000" w:themeColor="text1"/>
                      <w:kern w:val="0"/>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53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716" w:type="pct"/>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场内管道</w:t>
                  </w:r>
                </w:p>
              </w:tc>
              <w:tc>
                <w:tcPr>
                  <w:tcW w:w="3361"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给水管线：由厂内压力供水系统提供，管材采用PE管，管径 DN200~DN50mm</w:t>
                  </w:r>
                  <w:r>
                    <w:rPr>
                      <w:rFonts w:hint="default" w:ascii="Times New Roman" w:hAnsi="Times New Roman" w:eastAsia="宋体" w:cs="Times New Roman"/>
                      <w:color w:val="000000" w:themeColor="text1"/>
                      <w:kern w:val="0"/>
                      <w:szCs w:val="21"/>
                      <w:lang w:eastAsia="zh-CN"/>
                      <w14:textFill>
                        <w14:solidFill>
                          <w14:schemeClr w14:val="tx1"/>
                        </w14:solidFill>
                      </w14:textFill>
                    </w:rPr>
                    <w:t>。</w:t>
                  </w:r>
                  <w:r>
                    <w:rPr>
                      <w:rFonts w:hint="default" w:ascii="Times New Roman" w:hAnsi="Times New Roman" w:eastAsia="宋体" w:cs="Times New Roman"/>
                      <w:color w:val="000000" w:themeColor="text1"/>
                      <w:kern w:val="0"/>
                      <w:szCs w:val="21"/>
                      <w14:textFill>
                        <w14:solidFill>
                          <w14:schemeClr w14:val="tx1"/>
                        </w14:solidFill>
                      </w14:textFill>
                    </w:rPr>
                    <w:t>消防管：与给水管合用</w:t>
                  </w:r>
                  <w:r>
                    <w:rPr>
                      <w:rFonts w:hint="default" w:ascii="Times New Roman" w:hAnsi="Times New Roman" w:eastAsia="宋体" w:cs="Times New Roman"/>
                      <w:color w:val="000000" w:themeColor="text1"/>
                      <w:kern w:val="0"/>
                      <w:szCs w:val="21"/>
                      <w:lang w:eastAsia="zh-CN"/>
                      <w14:textFill>
                        <w14:solidFill>
                          <w14:schemeClr w14:val="tx1"/>
                        </w14:solidFill>
                      </w14:textFill>
                    </w:rPr>
                    <w:t>。</w:t>
                  </w:r>
                  <w:r>
                    <w:rPr>
                      <w:rFonts w:hint="default" w:ascii="Times New Roman" w:hAnsi="Times New Roman" w:eastAsia="宋体" w:cs="Times New Roman"/>
                      <w:color w:val="000000" w:themeColor="text1"/>
                      <w:kern w:val="0"/>
                      <w:szCs w:val="21"/>
                      <w14:textFill>
                        <w14:solidFill>
                          <w14:schemeClr w14:val="tx1"/>
                        </w14:solidFill>
                      </w14:textFill>
                    </w:rPr>
                    <w:t>排水管：污水管管径DN200~DN50，雨水管管径DN600~DN300</w:t>
                  </w:r>
                  <w:r>
                    <w:rPr>
                      <w:rFonts w:hint="default" w:ascii="Times New Roman" w:hAnsi="Times New Roman" w:eastAsia="宋体" w:cs="Times New Roman"/>
                      <w:color w:val="000000" w:themeColor="text1"/>
                      <w:kern w:val="0"/>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531" w:type="pct"/>
                  <w:vMerge w:val="continue"/>
                  <w:tcBorders>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716" w:type="pct"/>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场区内外道路</w:t>
                  </w:r>
                </w:p>
              </w:tc>
              <w:tc>
                <w:tcPr>
                  <w:tcW w:w="3361"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厂内主干道宽6</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m</w:t>
                  </w:r>
                  <w:r>
                    <w:rPr>
                      <w:rFonts w:hint="default" w:ascii="Times New Roman" w:hAnsi="Times New Roman" w:eastAsia="宋体" w:cs="Times New Roman"/>
                      <w:color w:val="000000" w:themeColor="text1"/>
                      <w:kern w:val="0"/>
                      <w:szCs w:val="21"/>
                      <w14:textFill>
                        <w14:solidFill>
                          <w14:schemeClr w14:val="tx1"/>
                        </w14:solidFill>
                      </w14:textFill>
                    </w:rPr>
                    <w:t>，次干道宽4</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m</w:t>
                  </w:r>
                  <w:r>
                    <w:rPr>
                      <w:rFonts w:hint="default" w:ascii="Times New Roman" w:hAnsi="Times New Roman" w:eastAsia="宋体" w:cs="Times New Roman"/>
                      <w:color w:val="000000" w:themeColor="text1"/>
                      <w:kern w:val="0"/>
                      <w:szCs w:val="21"/>
                      <w14:textFill>
                        <w14:solidFill>
                          <w14:schemeClr w14:val="tx1"/>
                        </w14:solidFill>
                      </w14:textFill>
                    </w:rPr>
                    <w:t>，车间引道与车间大门宽度相适应，混凝土路面。主干道转弯半径设计为9</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m</w:t>
                  </w:r>
                  <w:r>
                    <w:rPr>
                      <w:rFonts w:hint="default" w:ascii="Times New Roman" w:hAnsi="Times New Roman" w:eastAsia="宋体" w:cs="Times New Roman"/>
                      <w:color w:val="000000" w:themeColor="text1"/>
                      <w:kern w:val="0"/>
                      <w:szCs w:val="21"/>
                      <w14:textFill>
                        <w14:solidFill>
                          <w14:schemeClr w14:val="tx1"/>
                        </w14:solidFill>
                      </w14:textFill>
                    </w:rPr>
                    <w:t>，人行道宽1.5</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m</w:t>
                  </w:r>
                  <w:r>
                    <w:rPr>
                      <w:rFonts w:hint="default" w:ascii="Times New Roman" w:hAnsi="Times New Roman" w:eastAsia="宋体" w:cs="Times New Roman"/>
                      <w:color w:val="000000" w:themeColor="text1"/>
                      <w:kern w:val="0"/>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Merge w:val="restart"/>
                  <w:tcBorders>
                    <w:top w:val="single" w:color="auto" w:sz="4" w:space="0"/>
                    <w:left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辅助工程</w:t>
                  </w:r>
                </w:p>
              </w:tc>
              <w:tc>
                <w:tcPr>
                  <w:tcW w:w="531" w:type="pct"/>
                  <w:vMerge w:val="restart"/>
                  <w:tcBorders>
                    <w:top w:val="single" w:color="auto" w:sz="4" w:space="0"/>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净水厂</w:t>
                  </w:r>
                </w:p>
              </w:tc>
              <w:tc>
                <w:tcPr>
                  <w:tcW w:w="426" w:type="pct"/>
                  <w:vMerge w:val="restart"/>
                  <w:tcBorders>
                    <w:top w:val="single" w:color="000000" w:sz="4" w:space="0"/>
                    <w:left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综</w:t>
                  </w:r>
                </w:p>
                <w:p>
                  <w:pPr>
                    <w:adjustRightInd w:val="0"/>
                    <w:snapToGrid w:val="0"/>
                    <w:jc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合楼</w:t>
                  </w:r>
                </w:p>
              </w:tc>
              <w:tc>
                <w:tcPr>
                  <w:tcW w:w="29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1F</w:t>
                  </w:r>
                </w:p>
              </w:tc>
              <w:tc>
                <w:tcPr>
                  <w:tcW w:w="1183" w:type="pct"/>
                  <w:gridSpan w:val="2"/>
                  <w:vMerge w:val="restart"/>
                  <w:tcBorders>
                    <w:top w:val="single" w:color="auto" w:sz="4" w:space="0"/>
                    <w:left w:val="single" w:color="auto" w:sz="4" w:space="0"/>
                    <w:right w:val="single" w:color="auto" w:sz="4" w:space="0"/>
                  </w:tcBorders>
                  <w:vAlign w:val="center"/>
                </w:tcPr>
                <w:p>
                  <w:pPr>
                    <w:adjustRightInd w:val="0"/>
                    <w:snapToGrid w:val="0"/>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尺寸：32.4×12.9×11.0</w:t>
                  </w:r>
                  <w:r>
                    <w:rPr>
                      <w:rFonts w:hint="default" w:ascii="Times New Roman" w:hAnsi="Times New Roman" w:eastAsia="宋体" w:cs="Times New Roman"/>
                      <w:color w:val="000000" w:themeColor="text1"/>
                      <w:kern w:val="0"/>
                      <w:szCs w:val="21"/>
                      <w:lang w:eastAsia="zh-CN"/>
                      <w14:textFill>
                        <w14:solidFill>
                          <w14:schemeClr w14:val="tx1"/>
                        </w14:solidFill>
                      </w14:textFill>
                    </w:rPr>
                    <w:t>。</w:t>
                  </w:r>
                  <w:r>
                    <w:rPr>
                      <w:rFonts w:hint="default" w:ascii="Times New Roman" w:hAnsi="Times New Roman" w:cs="Times New Roman"/>
                      <w:color w:val="000000" w:themeColor="text1"/>
                      <w:kern w:val="0"/>
                      <w:szCs w:val="21"/>
                      <w:lang w:val="en-US" w:eastAsia="zh-CN"/>
                      <w14:textFill>
                        <w14:solidFill>
                          <w14:schemeClr w14:val="tx1"/>
                        </w14:solidFill>
                      </w14:textFill>
                    </w:rPr>
                    <w:t>食堂提供30名员工住宿和午餐。</w:t>
                  </w:r>
                </w:p>
              </w:tc>
              <w:tc>
                <w:tcPr>
                  <w:tcW w:w="2178"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设置水质分析室、化验室、值班室、</w:t>
                  </w:r>
                  <w:r>
                    <w:rPr>
                      <w:rFonts w:hint="default" w:ascii="Times New Roman" w:hAnsi="Times New Roman" w:cs="Times New Roman"/>
                      <w:color w:val="000000" w:themeColor="text1"/>
                      <w:kern w:val="0"/>
                      <w:szCs w:val="21"/>
                      <w:lang w:val="en-US" w:eastAsia="zh-CN"/>
                      <w14:textFill>
                        <w14:solidFill>
                          <w14:schemeClr w14:val="tx1"/>
                        </w14:solidFill>
                      </w14:textFill>
                    </w:rPr>
                    <w:t>食堂</w:t>
                  </w:r>
                  <w:r>
                    <w:rPr>
                      <w:rFonts w:hint="default" w:ascii="Times New Roman" w:hAnsi="Times New Roman" w:eastAsia="宋体" w:cs="Times New Roman"/>
                      <w:color w:val="000000" w:themeColor="text1"/>
                      <w:kern w:val="0"/>
                      <w:szCs w:val="21"/>
                      <w14:textFill>
                        <w14:solidFill>
                          <w14:schemeClr w14:val="tx1"/>
                        </w14:solidFill>
                      </w14:textFill>
                    </w:rPr>
                    <w:t>、餐厅</w:t>
                  </w:r>
                  <w:r>
                    <w:rPr>
                      <w:rFonts w:hint="default" w:ascii="Times New Roman" w:hAnsi="Times New Roman" w:eastAsia="宋体" w:cs="Times New Roman"/>
                      <w:color w:val="000000" w:themeColor="text1"/>
                      <w:kern w:val="0"/>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53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426" w:type="pct"/>
                  <w:vMerge w:val="continue"/>
                  <w:tcBorders>
                    <w:left w:val="single" w:color="000000" w:sz="4" w:space="0"/>
                    <w:right w:val="single" w:color="000000" w:sz="4" w:space="0"/>
                  </w:tcBorders>
                  <w:vAlign w:val="center"/>
                </w:tcPr>
                <w:p>
                  <w:pPr>
                    <w:adjustRightInd w:val="0"/>
                    <w:snapToGrid w:val="0"/>
                    <w:jc w:val="center"/>
                    <w:rPr>
                      <w:rFonts w:hint="default" w:ascii="Times New Roman" w:hAnsi="Times New Roman" w:cs="Times New Roman"/>
                      <w:color w:val="000000" w:themeColor="text1"/>
                      <w:kern w:val="0"/>
                      <w:szCs w:val="21"/>
                      <w:lang w:bidi="ar"/>
                      <w14:textFill>
                        <w14:solidFill>
                          <w14:schemeClr w14:val="tx1"/>
                        </w14:solidFill>
                      </w14:textFill>
                    </w:rPr>
                  </w:pPr>
                </w:p>
              </w:tc>
              <w:tc>
                <w:tcPr>
                  <w:tcW w:w="29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2F</w:t>
                  </w:r>
                </w:p>
              </w:tc>
              <w:tc>
                <w:tcPr>
                  <w:tcW w:w="1183" w:type="pct"/>
                  <w:gridSpan w:val="2"/>
                  <w:vMerge w:val="continue"/>
                  <w:tcBorders>
                    <w:left w:val="single" w:color="auto" w:sz="4" w:space="0"/>
                    <w:right w:val="single" w:color="auto" w:sz="4" w:space="0"/>
                  </w:tcBorders>
                  <w:vAlign w:val="center"/>
                </w:tcPr>
                <w:p>
                  <w:pPr>
                    <w:adjustRightInd w:val="0"/>
                    <w:snapToGrid w:val="0"/>
                    <w:rPr>
                      <w:rFonts w:hint="default" w:ascii="Times New Roman" w:hAnsi="Times New Roman" w:eastAsia="宋体" w:cs="Times New Roman"/>
                      <w:color w:val="000000" w:themeColor="text1"/>
                      <w:kern w:val="0"/>
                      <w:szCs w:val="21"/>
                      <w:lang w:eastAsia="zh-CN"/>
                      <w14:textFill>
                        <w14:solidFill>
                          <w14:schemeClr w14:val="tx1"/>
                        </w14:solidFill>
                      </w14:textFill>
                    </w:rPr>
                  </w:pPr>
                </w:p>
              </w:tc>
              <w:tc>
                <w:tcPr>
                  <w:tcW w:w="2178"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设置办公室、会议室、中控室</w:t>
                  </w:r>
                  <w:r>
                    <w:rPr>
                      <w:rFonts w:hint="default" w:ascii="Times New Roman" w:hAnsi="Times New Roman" w:eastAsia="宋体" w:cs="Times New Roman"/>
                      <w:color w:val="000000" w:themeColor="text1"/>
                      <w:kern w:val="0"/>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53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426" w:type="pct"/>
                  <w:vMerge w:val="continue"/>
                  <w:tcBorders>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color w:val="000000" w:themeColor="text1"/>
                      <w:kern w:val="0"/>
                      <w:szCs w:val="21"/>
                      <w:lang w:bidi="ar"/>
                      <w14:textFill>
                        <w14:solidFill>
                          <w14:schemeClr w14:val="tx1"/>
                        </w14:solidFill>
                      </w14:textFill>
                    </w:rPr>
                  </w:pPr>
                </w:p>
              </w:tc>
              <w:tc>
                <w:tcPr>
                  <w:tcW w:w="29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3F</w:t>
                  </w:r>
                </w:p>
              </w:tc>
              <w:tc>
                <w:tcPr>
                  <w:tcW w:w="1183" w:type="pct"/>
                  <w:gridSpan w:val="2"/>
                  <w:vMerge w:val="continue"/>
                  <w:tcBorders>
                    <w:left w:val="single" w:color="auto" w:sz="4" w:space="0"/>
                    <w:bottom w:val="single" w:color="auto" w:sz="4" w:space="0"/>
                    <w:right w:val="single" w:color="auto" w:sz="4" w:space="0"/>
                  </w:tcBorders>
                  <w:vAlign w:val="center"/>
                </w:tcPr>
                <w:p>
                  <w:pPr>
                    <w:adjustRightInd w:val="0"/>
                    <w:snapToGrid w:val="0"/>
                    <w:rPr>
                      <w:rFonts w:hint="default" w:ascii="Times New Roman" w:hAnsi="Times New Roman" w:eastAsia="宋体" w:cs="Times New Roman"/>
                      <w:color w:val="000000" w:themeColor="text1"/>
                      <w:kern w:val="0"/>
                      <w:szCs w:val="21"/>
                      <w:lang w:eastAsia="zh-CN"/>
                      <w14:textFill>
                        <w14:solidFill>
                          <w14:schemeClr w14:val="tx1"/>
                        </w14:solidFill>
                      </w14:textFill>
                    </w:rPr>
                  </w:pPr>
                </w:p>
              </w:tc>
              <w:tc>
                <w:tcPr>
                  <w:tcW w:w="2178"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设置休息室、会议室、员工活动室</w:t>
                  </w:r>
                  <w:r>
                    <w:rPr>
                      <w:rFonts w:hint="default" w:ascii="Times New Roman" w:hAnsi="Times New Roman" w:eastAsia="宋体" w:cs="Times New Roman"/>
                      <w:color w:val="000000" w:themeColor="text1"/>
                      <w:kern w:val="0"/>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531" w:type="pct"/>
                  <w:vMerge w:val="continue"/>
                  <w:tcBorders>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p>
              </w:tc>
              <w:tc>
                <w:tcPr>
                  <w:tcW w:w="716" w:type="pct"/>
                  <w:gridSpan w:val="2"/>
                  <w:tcBorders>
                    <w:top w:val="single" w:color="auto" w:sz="4" w:space="0"/>
                    <w:left w:val="single" w:color="auto" w:sz="4" w:space="0"/>
                    <w:bottom w:val="single" w:color="auto" w:sz="4" w:space="0"/>
                    <w:right w:val="single" w:color="000000" w:sz="4" w:space="0"/>
                  </w:tcBorders>
                  <w:vAlign w:val="center"/>
                </w:tcPr>
                <w:p>
                  <w:pPr>
                    <w:adjustRightInd w:val="0"/>
                    <w:snapToGrid w:val="0"/>
                    <w:jc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食堂</w:t>
                  </w:r>
                </w:p>
              </w:tc>
              <w:tc>
                <w:tcPr>
                  <w:tcW w:w="3361"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1座。</w:t>
                  </w:r>
                  <w:r>
                    <w:rPr>
                      <w:rFonts w:hint="default" w:ascii="Times New Roman" w:hAnsi="Times New Roman" w:eastAsia="宋体" w:cs="Times New Roman"/>
                      <w:color w:val="000000" w:themeColor="text1"/>
                      <w:kern w:val="0"/>
                      <w:szCs w:val="21"/>
                      <w14:textFill>
                        <w14:solidFill>
                          <w14:schemeClr w14:val="tx1"/>
                        </w14:solidFill>
                      </w14:textFill>
                    </w:rPr>
                    <w:t>占地面积38.16m</w:t>
                  </w:r>
                  <w:r>
                    <w:rPr>
                      <w:rFonts w:hint="default" w:ascii="Times New Roman" w:hAnsi="Times New Roman" w:eastAsia="宋体" w:cs="Times New Roman"/>
                      <w:color w:val="000000" w:themeColor="text1"/>
                      <w:kern w:val="0"/>
                      <w:szCs w:val="21"/>
                      <w:vertAlign w:val="superscript"/>
                      <w14:textFill>
                        <w14:solidFill>
                          <w14:schemeClr w14:val="tx1"/>
                        </w14:solidFill>
                      </w14:textFill>
                    </w:rPr>
                    <w:t>2</w:t>
                  </w:r>
                  <w:r>
                    <w:rPr>
                      <w:rFonts w:hint="default" w:ascii="Times New Roman" w:hAnsi="Times New Roman" w:eastAsia="宋体" w:cs="Times New Roman"/>
                      <w:color w:val="000000" w:themeColor="text1"/>
                      <w:kern w:val="0"/>
                      <w:szCs w:val="21"/>
                      <w14:textFill>
                        <w14:solidFill>
                          <w14:schemeClr w14:val="tx1"/>
                        </w14:solidFill>
                      </w14:textFill>
                    </w:rPr>
                    <w:t>。拟设置</w:t>
                  </w:r>
                  <w:r>
                    <w:rPr>
                      <w:rFonts w:hint="default" w:ascii="Times New Roman" w:hAnsi="Times New Roman" w:cs="Times New Roman"/>
                      <w:color w:val="000000" w:themeColor="text1"/>
                      <w:kern w:val="0"/>
                      <w:szCs w:val="21"/>
                      <w:lang w:val="en-US" w:eastAsia="zh-CN"/>
                      <w14:textFill>
                        <w14:solidFill>
                          <w14:schemeClr w14:val="tx1"/>
                        </w14:solidFill>
                      </w14:textFill>
                    </w:rPr>
                    <w:t>2</w:t>
                  </w:r>
                  <w:r>
                    <w:rPr>
                      <w:rFonts w:hint="default" w:ascii="Times New Roman" w:hAnsi="Times New Roman" w:eastAsia="宋体" w:cs="Times New Roman"/>
                      <w:color w:val="000000" w:themeColor="text1"/>
                      <w:kern w:val="0"/>
                      <w:szCs w:val="21"/>
                      <w14:textFill>
                        <w14:solidFill>
                          <w14:schemeClr w14:val="tx1"/>
                        </w14:solidFill>
                      </w14:textFill>
                    </w:rPr>
                    <w:t>个基准灶头，提供</w:t>
                  </w:r>
                  <w:r>
                    <w:rPr>
                      <w:rFonts w:hint="default" w:ascii="Times New Roman" w:hAnsi="Times New Roman" w:cs="Times New Roman"/>
                      <w:color w:val="000000" w:themeColor="text1"/>
                      <w:kern w:val="0"/>
                      <w:szCs w:val="21"/>
                      <w:lang w:val="en-US" w:eastAsia="zh-CN"/>
                      <w14:textFill>
                        <w14:solidFill>
                          <w14:schemeClr w14:val="tx1"/>
                        </w14:solidFill>
                      </w14:textFill>
                    </w:rPr>
                    <w:t>员工</w:t>
                  </w:r>
                  <w:r>
                    <w:rPr>
                      <w:rFonts w:hint="default" w:ascii="Times New Roman" w:hAnsi="Times New Roman" w:cs="Times New Roman"/>
                      <w:color w:val="000000" w:themeColor="text1"/>
                      <w:kern w:val="0"/>
                      <w:szCs w:val="21"/>
                      <w:lang w:eastAsia="zh-CN"/>
                      <w14:textFill>
                        <w14:solidFill>
                          <w14:schemeClr w14:val="tx1"/>
                        </w14:solidFill>
                      </w14:textFill>
                    </w:rPr>
                    <w:t>午餐</w:t>
                  </w:r>
                  <w:r>
                    <w:rPr>
                      <w:rFonts w:hint="default" w:ascii="Times New Roman" w:hAnsi="Times New Roman" w:eastAsia="宋体"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Merge w:val="continue"/>
                  <w:tcBorders>
                    <w:left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p>
              </w:tc>
              <w:tc>
                <w:tcPr>
                  <w:tcW w:w="531" w:type="pct"/>
                  <w:vMerge w:val="continue"/>
                  <w:tcBorders>
                    <w:left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p>
              </w:tc>
              <w:tc>
                <w:tcPr>
                  <w:tcW w:w="716" w:type="pct"/>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锅炉房</w:t>
                  </w:r>
                </w:p>
              </w:tc>
              <w:tc>
                <w:tcPr>
                  <w:tcW w:w="3361" w:type="pct"/>
                  <w:gridSpan w:val="3"/>
                  <w:tcBorders>
                    <w:top w:val="single" w:color="auto" w:sz="4" w:space="0"/>
                    <w:left w:val="single" w:color="auto" w:sz="4" w:space="0"/>
                    <w:bottom w:val="single" w:color="auto" w:sz="4" w:space="0"/>
                    <w:right w:val="single" w:color="auto" w:sz="4" w:space="0"/>
                  </w:tcBorders>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1座。尺寸</w:t>
                  </w:r>
                  <w:r>
                    <w:rPr>
                      <w:rFonts w:hint="default" w:ascii="Times New Roman" w:hAnsi="Times New Roman" w:eastAsia="宋体" w:cs="Times New Roman"/>
                      <w:color w:val="000000" w:themeColor="text1"/>
                      <w:kern w:val="0"/>
                      <w:szCs w:val="21"/>
                      <w14:textFill>
                        <w14:solidFill>
                          <w14:schemeClr w14:val="tx1"/>
                        </w14:solidFill>
                      </w14:textFill>
                    </w:rPr>
                    <w:t>6.0×12.0×6.0m，采用低氮燃气热水锅炉。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Merge w:val="continue"/>
                  <w:tcBorders>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p>
              </w:tc>
              <w:tc>
                <w:tcPr>
                  <w:tcW w:w="531" w:type="pct"/>
                  <w:vMerge w:val="continue"/>
                  <w:tcBorders>
                    <w:left w:val="single" w:color="auto" w:sz="4" w:space="0"/>
                    <w:bottom w:val="single" w:color="000000" w:sz="4" w:space="0"/>
                    <w:right w:val="single" w:color="auto"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p>
              </w:tc>
              <w:tc>
                <w:tcPr>
                  <w:tcW w:w="716" w:type="pct"/>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门卫室</w:t>
                  </w:r>
                </w:p>
              </w:tc>
              <w:tc>
                <w:tcPr>
                  <w:tcW w:w="3361" w:type="pct"/>
                  <w:gridSpan w:val="3"/>
                  <w:tcBorders>
                    <w:top w:val="single" w:color="auto" w:sz="4" w:space="0"/>
                    <w:left w:val="single" w:color="auto" w:sz="4" w:space="0"/>
                    <w:bottom w:val="single" w:color="auto" w:sz="4" w:space="0"/>
                    <w:right w:val="single" w:color="auto" w:sz="4" w:space="0"/>
                  </w:tcBorders>
                </w:tcPr>
                <w:p>
                  <w:pPr>
                    <w:adjustRightInd w:val="0"/>
                    <w:snapToGrid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1座。尺寸：5.8×4.0×4.0m。框架结构。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临时工程</w:t>
                  </w:r>
                </w:p>
              </w:tc>
              <w:tc>
                <w:tcPr>
                  <w:tcW w:w="716" w:type="pct"/>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临时施工道路、临时施工场地、临时堆料场等</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占地</w:t>
                  </w:r>
                </w:p>
              </w:tc>
              <w:tc>
                <w:tcPr>
                  <w:tcW w:w="3361"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both"/>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临时占地</w:t>
                  </w:r>
                  <w:r>
                    <w:rPr>
                      <w:rFonts w:hint="default" w:ascii="Times New Roman" w:hAnsi="Times New Roman" w:cs="Times New Roman"/>
                      <w:color w:val="000000" w:themeColor="text1"/>
                      <w:kern w:val="0"/>
                      <w:szCs w:val="21"/>
                      <w:lang w:val="en-US" w:eastAsia="zh-CN"/>
                      <w14:textFill>
                        <w14:solidFill>
                          <w14:schemeClr w14:val="tx1"/>
                        </w14:solidFill>
                      </w14:textFill>
                    </w:rPr>
                    <w:t>约1.97万m</w:t>
                  </w:r>
                  <w:r>
                    <w:rPr>
                      <w:rFonts w:hint="default" w:ascii="Times New Roman" w:hAnsi="Times New Roman" w:cs="Times New Roman"/>
                      <w:color w:val="000000" w:themeColor="text1"/>
                      <w:kern w:val="0"/>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其中</w:t>
                  </w:r>
                  <w:r>
                    <w:rPr>
                      <w:rFonts w:hint="default" w:ascii="Times New Roman" w:hAnsi="Times New Roman" w:eastAsia="宋体" w:cs="Times New Roman"/>
                      <w:color w:val="000000" w:themeColor="text1"/>
                      <w14:textFill>
                        <w14:solidFill>
                          <w14:schemeClr w14:val="tx1"/>
                        </w14:solidFill>
                      </w14:textFill>
                    </w:rPr>
                    <w:t>布设16个</w:t>
                  </w:r>
                  <w:r>
                    <w:rPr>
                      <w:rFonts w:hint="default" w:ascii="Times New Roman" w:hAnsi="Times New Roman" w:eastAsia="宋体" w:cs="Times New Roman"/>
                      <w:color w:val="000000" w:themeColor="text1"/>
                      <w:lang w:val="en-US" w:eastAsia="zh-CN"/>
                      <w14:textFill>
                        <w14:solidFill>
                          <w14:schemeClr w14:val="tx1"/>
                        </w14:solidFill>
                      </w14:textFill>
                    </w:rPr>
                    <w:t>临时</w:t>
                  </w:r>
                  <w:r>
                    <w:rPr>
                      <w:rFonts w:hint="default" w:ascii="Times New Roman" w:hAnsi="Times New Roman" w:eastAsia="宋体" w:cs="Times New Roman"/>
                      <w:color w:val="000000" w:themeColor="text1"/>
                      <w14:textFill>
                        <w14:solidFill>
                          <w14:schemeClr w14:val="tx1"/>
                        </w14:solidFill>
                      </w14:textFill>
                    </w:rPr>
                    <w:t>材料堆放场。每个</w:t>
                  </w:r>
                  <w:r>
                    <w:rPr>
                      <w:rFonts w:hint="default" w:ascii="Times New Roman" w:hAnsi="Times New Roman" w:eastAsia="宋体" w:cs="Times New Roman"/>
                      <w:color w:val="000000" w:themeColor="text1"/>
                      <w:lang w:val="en-US" w:eastAsia="zh-CN"/>
                      <w14:textFill>
                        <w14:solidFill>
                          <w14:schemeClr w14:val="tx1"/>
                        </w14:solidFill>
                      </w14:textFill>
                    </w:rPr>
                    <w:t>临时</w:t>
                  </w:r>
                  <w:r>
                    <w:rPr>
                      <w:rFonts w:hint="default" w:ascii="Times New Roman" w:hAnsi="Times New Roman" w:eastAsia="宋体" w:cs="Times New Roman"/>
                      <w:color w:val="000000" w:themeColor="text1"/>
                      <w14:textFill>
                        <w14:solidFill>
                          <w14:schemeClr w14:val="tx1"/>
                        </w14:solidFill>
                      </w14:textFill>
                    </w:rPr>
                    <w:t>材料堆放场地面积</w:t>
                  </w:r>
                  <w:r>
                    <w:rPr>
                      <w:rFonts w:hint="default" w:ascii="Times New Roman" w:hAnsi="Times New Roman" w:cs="Times New Roman"/>
                      <w:color w:val="000000" w:themeColor="text1"/>
                      <w:kern w:val="0"/>
                      <w:szCs w:val="21"/>
                      <w:lang w:val="en-US" w:eastAsia="zh-CN"/>
                      <w14:textFill>
                        <w14:solidFill>
                          <w14:schemeClr w14:val="tx1"/>
                        </w14:solidFill>
                      </w14:textFill>
                    </w:rPr>
                    <w:t>约</w:t>
                  </w:r>
                  <w:r>
                    <w:rPr>
                      <w:rFonts w:hint="default" w:ascii="Times New Roman" w:hAnsi="Times New Roman" w:eastAsia="宋体" w:cs="Times New Roman"/>
                      <w:color w:val="000000" w:themeColor="text1"/>
                      <w14:textFill>
                        <w14:solidFill>
                          <w14:schemeClr w14:val="tx1"/>
                        </w14:solidFill>
                      </w14:textFill>
                    </w:rPr>
                    <w:t>为500</w:t>
                  </w:r>
                  <w:r>
                    <w:rPr>
                      <w:rFonts w:hint="default" w:ascii="Times New Roman" w:hAnsi="Times New Roman" w:eastAsia="宋体" w:cs="Times New Roman"/>
                      <w:color w:val="000000" w:themeColor="text1"/>
                      <w:lang w:val="en-US" w:eastAsia="zh-CN"/>
                      <w14:textFill>
                        <w14:solidFill>
                          <w14:schemeClr w14:val="tx1"/>
                        </w14:solidFill>
                      </w14:textFill>
                    </w:rPr>
                    <w:t>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，总占地面积</w:t>
                  </w:r>
                  <w:r>
                    <w:rPr>
                      <w:rFonts w:hint="default" w:ascii="Times New Roman" w:hAnsi="Times New Roman" w:cs="Times New Roman"/>
                      <w:color w:val="000000" w:themeColor="text1"/>
                      <w:kern w:val="0"/>
                      <w:szCs w:val="21"/>
                      <w:lang w:val="en-US" w:eastAsia="zh-CN"/>
                      <w14:textFill>
                        <w14:solidFill>
                          <w14:schemeClr w14:val="tx1"/>
                        </w14:solidFill>
                      </w14:textFill>
                    </w:rPr>
                    <w:t>约</w:t>
                  </w:r>
                  <w:r>
                    <w:rPr>
                      <w:rFonts w:hint="default" w:ascii="Times New Roman" w:hAnsi="Times New Roman" w:eastAsia="宋体" w:cs="Times New Roman"/>
                      <w:color w:val="000000" w:themeColor="text1"/>
                      <w14:textFill>
                        <w14:solidFill>
                          <w14:schemeClr w14:val="tx1"/>
                        </w14:solidFill>
                      </w14:textFill>
                    </w:rPr>
                    <w:t>为 8000</w:t>
                  </w:r>
                  <w:r>
                    <w:rPr>
                      <w:rFonts w:hint="default" w:ascii="Times New Roman" w:hAnsi="Times New Roman" w:eastAsia="宋体" w:cs="Times New Roman"/>
                      <w:color w:val="000000" w:themeColor="text1"/>
                      <w:lang w:val="en-US" w:eastAsia="zh-CN"/>
                      <w14:textFill>
                        <w14:solidFill>
                          <w14:schemeClr w14:val="tx1"/>
                        </w14:solidFill>
                      </w14:textFill>
                    </w:rPr>
                    <w:t>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cs="Times New Roman"/>
                      <w:b w:val="0"/>
                      <w:bCs w:val="0"/>
                      <w:color w:val="000000" w:themeColor="text1"/>
                      <w:spacing w:val="-2"/>
                      <w:sz w:val="21"/>
                      <w:szCs w:val="21"/>
                      <w:lang w:val="en-US" w:eastAsia="zh-CN"/>
                      <w14:textFill>
                        <w14:solidFill>
                          <w14:schemeClr w14:val="tx1"/>
                        </w14:solidFill>
                      </w14:textFill>
                    </w:rPr>
                    <w:t>临时管线工程区面积</w:t>
                  </w:r>
                  <w:r>
                    <w:rPr>
                      <w:rFonts w:hint="default" w:ascii="Times New Roman" w:hAnsi="Times New Roman" w:cs="Times New Roman"/>
                      <w:color w:val="000000" w:themeColor="text1"/>
                      <w:kern w:val="0"/>
                      <w:szCs w:val="21"/>
                      <w:lang w:val="en-US" w:eastAsia="zh-CN"/>
                      <w14:textFill>
                        <w14:solidFill>
                          <w14:schemeClr w14:val="tx1"/>
                        </w14:solidFill>
                      </w14:textFill>
                    </w:rPr>
                    <w:t>约</w:t>
                  </w:r>
                  <w:r>
                    <w:rPr>
                      <w:rFonts w:hint="default" w:ascii="Times New Roman" w:hAnsi="Times New Roman" w:cs="Times New Roman"/>
                      <w:b w:val="0"/>
                      <w:bCs w:val="0"/>
                      <w:color w:val="000000" w:themeColor="text1"/>
                      <w:spacing w:val="-3"/>
                      <w:sz w:val="21"/>
                      <w:szCs w:val="21"/>
                      <w:lang w:val="en-US" w:eastAsia="zh-CN"/>
                      <w14:textFill>
                        <w14:solidFill>
                          <w14:schemeClr w14:val="tx1"/>
                        </w14:solidFill>
                      </w14:textFill>
                    </w:rPr>
                    <w:t>173000</w:t>
                  </w:r>
                  <w:r>
                    <w:rPr>
                      <w:rFonts w:hint="default" w:ascii="Times New Roman" w:hAnsi="Times New Roman" w:eastAsia="宋体" w:cs="Times New Roman"/>
                      <w:color w:val="000000" w:themeColor="text1"/>
                      <w:lang w:val="en-US" w:eastAsia="zh-CN"/>
                      <w14:textFill>
                        <w14:solidFill>
                          <w14:schemeClr w14:val="tx1"/>
                        </w14:solidFill>
                      </w14:textFill>
                    </w:rPr>
                    <w:t>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b w:val="0"/>
                      <w:bCs w:val="0"/>
                      <w:color w:val="000000" w:themeColor="text1"/>
                      <w:spacing w:val="-2"/>
                      <w:sz w:val="21"/>
                      <w:szCs w:val="21"/>
                      <w:lang w:val="en-US" w:eastAsia="zh-CN"/>
                      <w14:textFill>
                        <w14:solidFill>
                          <w14:schemeClr w14:val="tx1"/>
                        </w14:solidFill>
                      </w14:textFill>
                    </w:rPr>
                    <w:t>临时施工道路区面积</w:t>
                  </w:r>
                  <w:r>
                    <w:rPr>
                      <w:rFonts w:hint="default" w:ascii="Times New Roman" w:hAnsi="Times New Roman" w:cs="Times New Roman"/>
                      <w:color w:val="000000" w:themeColor="text1"/>
                      <w:kern w:val="0"/>
                      <w:szCs w:val="21"/>
                      <w:lang w:val="en-US" w:eastAsia="zh-CN"/>
                      <w14:textFill>
                        <w14:solidFill>
                          <w14:schemeClr w14:val="tx1"/>
                        </w14:solidFill>
                      </w14:textFill>
                    </w:rPr>
                    <w:t>约</w:t>
                  </w:r>
                  <w:r>
                    <w:rPr>
                      <w:rFonts w:hint="default" w:ascii="Times New Roman" w:hAnsi="Times New Roman" w:cs="Times New Roman"/>
                      <w:b w:val="0"/>
                      <w:bCs w:val="0"/>
                      <w:color w:val="000000" w:themeColor="text1"/>
                      <w:spacing w:val="-3"/>
                      <w:sz w:val="21"/>
                      <w:szCs w:val="21"/>
                      <w:lang w:val="en-US" w:eastAsia="zh-CN"/>
                      <w14:textFill>
                        <w14:solidFill>
                          <w14:schemeClr w14:val="tx1"/>
                        </w14:solidFill>
                      </w14:textFill>
                    </w:rPr>
                    <w:t>27300</w:t>
                  </w:r>
                  <w:r>
                    <w:rPr>
                      <w:rFonts w:hint="default" w:ascii="Times New Roman" w:hAnsi="Times New Roman" w:eastAsia="宋体" w:cs="Times New Roman"/>
                      <w:color w:val="000000" w:themeColor="text1"/>
                      <w:lang w:val="en-US" w:eastAsia="zh-CN"/>
                      <w14:textFill>
                        <w14:solidFill>
                          <w14:schemeClr w14:val="tx1"/>
                        </w14:solidFill>
                      </w14:textFill>
                    </w:rPr>
                    <w:t>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b w:val="0"/>
                      <w:bCs w:val="0"/>
                      <w:color w:val="000000" w:themeColor="text1"/>
                      <w:spacing w:val="-2"/>
                      <w:sz w:val="21"/>
                      <w:szCs w:val="21"/>
                      <w:lang w:val="en-US" w:eastAsia="zh-CN"/>
                      <w14:textFill>
                        <w14:solidFill>
                          <w14:schemeClr w14:val="tx1"/>
                        </w14:solidFill>
                      </w14:textFill>
                    </w:rPr>
                    <w:t>临时施工生产生活区</w:t>
                  </w:r>
                  <w:r>
                    <w:rPr>
                      <w:rFonts w:hint="default" w:ascii="Times New Roman" w:hAnsi="Times New Roman" w:cs="Times New Roman"/>
                      <w:color w:val="000000" w:themeColor="text1"/>
                      <w:kern w:val="0"/>
                      <w:szCs w:val="21"/>
                      <w:lang w:val="en-US" w:eastAsia="zh-CN"/>
                      <w14:textFill>
                        <w14:solidFill>
                          <w14:schemeClr w14:val="tx1"/>
                        </w14:solidFill>
                      </w14:textFill>
                    </w:rPr>
                    <w:t>约</w:t>
                  </w:r>
                  <w:r>
                    <w:rPr>
                      <w:rFonts w:hint="default" w:ascii="Times New Roman" w:hAnsi="Times New Roman" w:cs="Times New Roman"/>
                      <w:b w:val="0"/>
                      <w:bCs w:val="0"/>
                      <w:color w:val="000000" w:themeColor="text1"/>
                      <w:spacing w:val="-3"/>
                      <w:sz w:val="21"/>
                      <w:szCs w:val="21"/>
                      <w:lang w:val="en-US" w:eastAsia="zh-CN"/>
                      <w14:textFill>
                        <w14:solidFill>
                          <w14:schemeClr w14:val="tx1"/>
                        </w14:solidFill>
                      </w14:textFill>
                    </w:rPr>
                    <w:t>12000</w:t>
                  </w:r>
                  <w:r>
                    <w:rPr>
                      <w:rFonts w:hint="default" w:ascii="Times New Roman" w:hAnsi="Times New Roman" w:eastAsia="宋体" w:cs="Times New Roman"/>
                      <w:color w:val="000000" w:themeColor="text1"/>
                      <w:lang w:val="en-US" w:eastAsia="zh-CN"/>
                      <w14:textFill>
                        <w14:solidFill>
                          <w14:schemeClr w14:val="tx1"/>
                        </w14:solidFill>
                      </w14:textFill>
                    </w:rPr>
                    <w:t>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 w:type="pct"/>
                  <w:gridSpan w:val="2"/>
                  <w:vMerge w:val="restart"/>
                  <w:tcBorders>
                    <w:top w:val="single" w:color="auto" w:sz="4" w:space="0"/>
                    <w:left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公用工程</w:t>
                  </w:r>
                </w:p>
              </w:tc>
              <w:tc>
                <w:tcPr>
                  <w:tcW w:w="716" w:type="pct"/>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给水</w:t>
                  </w:r>
                </w:p>
              </w:tc>
              <w:tc>
                <w:tcPr>
                  <w:tcW w:w="3361"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由水厂自身提供。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 w:type="pct"/>
                  <w:gridSpan w:val="2"/>
                  <w:vMerge w:val="continue"/>
                  <w:tcBorders>
                    <w:left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p>
              </w:tc>
              <w:tc>
                <w:tcPr>
                  <w:tcW w:w="716"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排水</w:t>
                  </w:r>
                </w:p>
              </w:tc>
              <w:tc>
                <w:tcPr>
                  <w:tcW w:w="3361" w:type="pct"/>
                  <w:gridSpan w:val="3"/>
                  <w:tcBorders>
                    <w:top w:val="single" w:color="auto" w:sz="4" w:space="0"/>
                    <w:left w:val="single" w:color="auto" w:sz="4" w:space="0"/>
                    <w:bottom w:val="single" w:color="auto" w:sz="4" w:space="0"/>
                    <w:right w:val="single" w:color="auto" w:sz="4" w:space="0"/>
                  </w:tcBorders>
                </w:tcPr>
                <w:p>
                  <w:pPr>
                    <w:adjustRightInd w:val="0"/>
                    <w:snapToGrid w:val="0"/>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净水厂采取</w:t>
                  </w:r>
                  <w:r>
                    <w:rPr>
                      <w:rFonts w:hint="default" w:ascii="Times New Roman" w:hAnsi="Times New Roman" w:eastAsia="宋体" w:cs="Times New Roman"/>
                      <w:color w:val="000000" w:themeColor="text1"/>
                      <w:kern w:val="0"/>
                      <w:szCs w:val="21"/>
                      <w14:textFill>
                        <w14:solidFill>
                          <w14:schemeClr w14:val="tx1"/>
                        </w14:solidFill>
                      </w14:textFill>
                    </w:rPr>
                    <w:t>雨污分流制，雨水经雨水管沟排出厂外；V型滤池的反洗废水</w:t>
                  </w:r>
                  <w:r>
                    <w:rPr>
                      <w:rFonts w:hint="default" w:ascii="Times New Roman" w:hAnsi="Times New Roman" w:cs="Times New Roman"/>
                      <w:color w:val="000000" w:themeColor="text1"/>
                      <w:kern w:val="0"/>
                      <w:szCs w:val="21"/>
                      <w:lang w:eastAsia="zh-CN"/>
                      <w14:textFill>
                        <w14:solidFill>
                          <w14:schemeClr w14:val="tx1"/>
                        </w14:solidFill>
                      </w14:textFill>
                    </w:rPr>
                    <w:t>、</w:t>
                  </w:r>
                  <w:r>
                    <w:rPr>
                      <w:rFonts w:hint="default" w:ascii="Times New Roman" w:hAnsi="Times New Roman" w:cs="Times New Roman"/>
                      <w:color w:val="000000" w:themeColor="text1"/>
                      <w:kern w:val="0"/>
                      <w:szCs w:val="21"/>
                      <w:lang w:val="en-US" w:eastAsia="zh-CN"/>
                      <w14:textFill>
                        <w14:solidFill>
                          <w14:schemeClr w14:val="tx1"/>
                        </w14:solidFill>
                      </w14:textFill>
                    </w:rPr>
                    <w:t>污泥脱水过程产生的废水经</w:t>
                  </w:r>
                  <w:r>
                    <w:rPr>
                      <w:rFonts w:hint="default" w:ascii="Times New Roman" w:hAnsi="Times New Roman" w:eastAsia="宋体" w:cs="Times New Roman"/>
                      <w:color w:val="000000" w:themeColor="text1"/>
                      <w:kern w:val="0"/>
                      <w:szCs w:val="21"/>
                      <w14:textFill>
                        <w14:solidFill>
                          <w14:schemeClr w14:val="tx1"/>
                        </w14:solidFill>
                      </w14:textFill>
                    </w:rPr>
                    <w:t>重力排入回收水池，经泵提升至配水井，重新进入系统回收利用</w:t>
                  </w:r>
                  <w:r>
                    <w:rPr>
                      <w:rFonts w:hint="default" w:ascii="Times New Roman" w:hAnsi="Times New Roman" w:eastAsia="宋体" w:cs="Times New Roman"/>
                      <w:color w:val="000000" w:themeColor="text1"/>
                      <w:kern w:val="0"/>
                      <w:szCs w:val="21"/>
                      <w:lang w:eastAsia="zh-CN"/>
                      <w14:textFill>
                        <w14:solidFill>
                          <w14:schemeClr w14:val="tx1"/>
                        </w14:solidFill>
                      </w14:textFill>
                    </w:rPr>
                    <w:t>；</w:t>
                  </w:r>
                  <w:r>
                    <w:rPr>
                      <w:rFonts w:hint="default" w:ascii="Times New Roman" w:hAnsi="Times New Roman" w:cs="Times New Roman"/>
                      <w:color w:val="000000" w:themeColor="text1"/>
                      <w:kern w:val="0"/>
                      <w:szCs w:val="21"/>
                      <w:lang w:val="en-US" w:eastAsia="zh-CN"/>
                      <w14:textFill>
                        <w14:solidFill>
                          <w14:schemeClr w14:val="tx1"/>
                        </w14:solidFill>
                      </w14:textFill>
                    </w:rPr>
                    <w:t>污泥脱水过程产生的废水返回沉淀、过滤工序处理再利用，不外排</w:t>
                  </w:r>
                  <w:r>
                    <w:rPr>
                      <w:rFonts w:hint="default" w:ascii="Times New Roman" w:hAnsi="Times New Roman" w:cs="Times New Roman"/>
                      <w:color w:val="000000" w:themeColor="text1"/>
                      <w:kern w:val="0"/>
                      <w:szCs w:val="21"/>
                      <w:lang w:eastAsia="zh-CN"/>
                      <w14:textFill>
                        <w14:solidFill>
                          <w14:schemeClr w14:val="tx1"/>
                        </w14:solidFill>
                      </w14:textFill>
                    </w:rPr>
                    <w:t>；</w:t>
                  </w:r>
                  <w:r>
                    <w:rPr>
                      <w:rFonts w:hint="default" w:ascii="Times New Roman" w:hAnsi="Times New Roman" w:eastAsia="宋体" w:cs="Times New Roman"/>
                      <w:color w:val="000000" w:themeColor="text1"/>
                      <w:kern w:val="0"/>
                      <w:szCs w:val="21"/>
                      <w14:textFill>
                        <w14:solidFill>
                          <w14:schemeClr w14:val="tx1"/>
                        </w14:solidFill>
                      </w14:textFill>
                    </w:rPr>
                    <w:t>生活污水</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中食堂含油废水经隔油池处理，与其他生活污水均经化粪池收集后，定期由周边农户清运肥田，不外排。锅炉排污水经沉淀池处理达标后用于厂区绿化。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 w:type="pct"/>
                  <w:gridSpan w:val="2"/>
                  <w:vMerge w:val="continue"/>
                  <w:tcBorders>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p>
              </w:tc>
              <w:tc>
                <w:tcPr>
                  <w:tcW w:w="716"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供电</w:t>
                  </w:r>
                </w:p>
              </w:tc>
              <w:tc>
                <w:tcPr>
                  <w:tcW w:w="3361"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市政电网。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环保工程</w:t>
                  </w:r>
                </w:p>
              </w:tc>
              <w:tc>
                <w:tcPr>
                  <w:tcW w:w="531"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施工期</w:t>
                  </w:r>
                </w:p>
              </w:tc>
              <w:tc>
                <w:tcPr>
                  <w:tcW w:w="716" w:type="pct"/>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废气</w:t>
                  </w:r>
                </w:p>
              </w:tc>
              <w:tc>
                <w:tcPr>
                  <w:tcW w:w="3361" w:type="pct"/>
                  <w:gridSpan w:val="3"/>
                  <w:tcBorders>
                    <w:top w:val="single" w:color="auto" w:sz="4" w:space="0"/>
                    <w:left w:val="single" w:color="auto" w:sz="4" w:space="0"/>
                    <w:bottom w:val="single" w:color="auto" w:sz="4" w:space="0"/>
                    <w:right w:val="single" w:color="auto" w:sz="4" w:space="0"/>
                  </w:tcBorders>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洒水降尘、临时土工布覆盖</w:t>
                  </w:r>
                  <w:r>
                    <w:rPr>
                      <w:rFonts w:hint="default" w:ascii="Times New Roman" w:hAnsi="Times New Roman" w:eastAsia="宋体"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53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716" w:type="pct"/>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废水</w:t>
                  </w:r>
                </w:p>
              </w:tc>
              <w:tc>
                <w:tcPr>
                  <w:tcW w:w="3361" w:type="pct"/>
                  <w:gridSpan w:val="3"/>
                  <w:tcBorders>
                    <w:top w:val="single" w:color="auto" w:sz="4" w:space="0"/>
                    <w:left w:val="single" w:color="auto" w:sz="4" w:space="0"/>
                    <w:bottom w:val="single" w:color="auto" w:sz="4" w:space="0"/>
                    <w:right w:val="single" w:color="auto" w:sz="4" w:space="0"/>
                  </w:tcBorders>
                </w:tcPr>
                <w:p>
                  <w:pPr>
                    <w:pStyle w:val="33"/>
                    <w:jc w:val="both"/>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生活污水、建筑施工废水经沉淀池处理后用于洒水降尘不外排；雨天地表径流经沉淀池处理后排放</w:t>
                  </w:r>
                  <w:r>
                    <w:rPr>
                      <w:rFonts w:hint="default" w:ascii="Times New Roman" w:hAnsi="Times New Roman" w:eastAsia="宋体"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53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716" w:type="pct"/>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噪声</w:t>
                  </w:r>
                </w:p>
              </w:tc>
              <w:tc>
                <w:tcPr>
                  <w:tcW w:w="3361" w:type="pct"/>
                  <w:gridSpan w:val="3"/>
                  <w:tcBorders>
                    <w:top w:val="single" w:color="auto" w:sz="4" w:space="0"/>
                    <w:left w:val="single" w:color="auto" w:sz="4" w:space="0"/>
                    <w:bottom w:val="single" w:color="auto" w:sz="4" w:space="0"/>
                    <w:right w:val="single" w:color="auto" w:sz="4" w:space="0"/>
                  </w:tcBorders>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隔声</w:t>
                  </w:r>
                  <w:r>
                    <w:rPr>
                      <w:rFonts w:hint="default" w:ascii="Times New Roman" w:hAnsi="Times New Roman" w:cs="Times New Roman"/>
                      <w:color w:val="000000" w:themeColor="text1"/>
                      <w:lang w:eastAsia="zh-CN"/>
                      <w14:textFill>
                        <w14:solidFill>
                          <w14:schemeClr w14:val="tx1"/>
                        </w14:solidFill>
                      </w14:textFill>
                    </w:rPr>
                    <w:t>减振</w:t>
                  </w:r>
                  <w:r>
                    <w:rPr>
                      <w:rFonts w:hint="default" w:ascii="Times New Roman" w:hAnsi="Times New Roman" w:eastAsia="宋体" w:cs="Times New Roman"/>
                      <w:color w:val="000000" w:themeColor="text1"/>
                      <w14:textFill>
                        <w14:solidFill>
                          <w14:schemeClr w14:val="tx1"/>
                        </w14:solidFill>
                      </w14:textFill>
                    </w:rPr>
                    <w:t>、加强施工管理</w:t>
                  </w:r>
                  <w:r>
                    <w:rPr>
                      <w:rFonts w:hint="default" w:ascii="Times New Roman" w:hAnsi="Times New Roman" w:eastAsia="宋体"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53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716" w:type="pct"/>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固体废物</w:t>
                  </w:r>
                </w:p>
              </w:tc>
              <w:tc>
                <w:tcPr>
                  <w:tcW w:w="3361" w:type="pct"/>
                  <w:gridSpan w:val="3"/>
                  <w:tcBorders>
                    <w:top w:val="single" w:color="auto" w:sz="4" w:space="0"/>
                    <w:left w:val="single" w:color="auto" w:sz="4" w:space="0"/>
                    <w:bottom w:val="single" w:color="auto" w:sz="4" w:space="0"/>
                    <w:right w:val="single" w:color="auto" w:sz="4" w:space="0"/>
                  </w:tcBorders>
                </w:tcPr>
                <w:p>
                  <w:pPr>
                    <w:adjustRightInd w:val="0"/>
                    <w:snapToGrid w:val="0"/>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厂区土石方平衡调度，不外排；表土用于厂区绿化；建筑垃圾能回收利用的回收利用，不能回收利用的拉运至当地住建部门指定位置处理；生活垃圾收集后委托环卫部门清运。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8" w:hRule="atLeast"/>
              </w:trPr>
              <w:tc>
                <w:tcPr>
                  <w:tcW w:w="39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53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716" w:type="pct"/>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生态影响</w:t>
                  </w:r>
                </w:p>
              </w:tc>
              <w:tc>
                <w:tcPr>
                  <w:tcW w:w="3361" w:type="pct"/>
                  <w:gridSpan w:val="3"/>
                  <w:tcBorders>
                    <w:top w:val="single" w:color="auto" w:sz="4" w:space="0"/>
                    <w:left w:val="single" w:color="auto" w:sz="4" w:space="0"/>
                    <w:bottom w:val="single" w:color="auto" w:sz="4" w:space="0"/>
                    <w:right w:val="single" w:color="auto" w:sz="4" w:space="0"/>
                  </w:tcBorders>
                </w:tcPr>
                <w:p>
                  <w:pPr>
                    <w:adjustRightInd w:val="0"/>
                    <w:snapToGrid w:val="0"/>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施工人员生态环境保护宣传教育，表土剥离、暂存及养护，撒播草籽；施工迹地及时恢复；及时绿化；设置安全网、设置排水沟、堆场进行围挡、表土临时覆盖措施等。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531"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运营期</w:t>
                  </w:r>
                </w:p>
              </w:tc>
              <w:tc>
                <w:tcPr>
                  <w:tcW w:w="716" w:type="pct"/>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废气</w:t>
                  </w:r>
                </w:p>
              </w:tc>
              <w:tc>
                <w:tcPr>
                  <w:tcW w:w="3361"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锅炉燃气废气</w:t>
                  </w:r>
                  <w:r>
                    <w:rPr>
                      <w:rFonts w:hint="default" w:ascii="Times New Roman" w:hAnsi="Times New Roman" w:eastAsia="宋体" w:cs="Times New Roman"/>
                      <w:color w:val="000000" w:themeColor="text1"/>
                      <w:kern w:val="0"/>
                      <w:szCs w:val="21"/>
                      <w14:textFill>
                        <w14:solidFill>
                          <w14:schemeClr w14:val="tx1"/>
                        </w14:solidFill>
                      </w14:textFill>
                    </w:rPr>
                    <w:t>经</w:t>
                  </w:r>
                  <w:r>
                    <w:rPr>
                      <w:rFonts w:hint="eastAsia" w:ascii="Times New Roman" w:hAnsi="Times New Roman" w:eastAsia="宋体" w:cs="Times New Roman"/>
                      <w:color w:val="000000" w:themeColor="text1"/>
                      <w:kern w:val="0"/>
                      <w:szCs w:val="21"/>
                      <w14:textFill>
                        <w14:solidFill>
                          <w14:schemeClr w14:val="tx1"/>
                        </w14:solidFill>
                      </w14:textFill>
                    </w:rPr>
                    <w:t>低氮燃烧器</w:t>
                  </w:r>
                  <w:r>
                    <w:rPr>
                      <w:rFonts w:hint="default" w:ascii="Times New Roman" w:hAnsi="Times New Roman" w:eastAsia="宋体" w:cs="Times New Roman"/>
                      <w:color w:val="000000" w:themeColor="text1"/>
                      <w:kern w:val="0"/>
                      <w:szCs w:val="21"/>
                      <w14:textFill>
                        <w14:solidFill>
                          <w14:schemeClr w14:val="tx1"/>
                        </w14:solidFill>
                      </w14:textFill>
                    </w:rPr>
                    <w:t>进行</w:t>
                  </w:r>
                  <w:r>
                    <w:rPr>
                      <w:rFonts w:hint="eastAsia" w:ascii="Times New Roman" w:hAnsi="Times New Roman" w:eastAsia="宋体" w:cs="Times New Roman"/>
                      <w:color w:val="000000" w:themeColor="text1"/>
                      <w:kern w:val="0"/>
                      <w:szCs w:val="21"/>
                      <w14:textFill>
                        <w14:solidFill>
                          <w14:schemeClr w14:val="tx1"/>
                        </w14:solidFill>
                      </w14:textFill>
                    </w:rPr>
                    <w:t>处理后通过锅炉顶部管道由1根8m高排气筒（排气筒编号：DA00</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r>
                    <w:rPr>
                      <w:rFonts w:hint="eastAsia" w:ascii="Times New Roman" w:hAnsi="Times New Roman" w:eastAsia="宋体" w:cs="Times New Roman"/>
                      <w:color w:val="000000" w:themeColor="text1"/>
                      <w:kern w:val="0"/>
                      <w:szCs w:val="21"/>
                      <w14:textFill>
                        <w14:solidFill>
                          <w14:schemeClr w14:val="tx1"/>
                        </w14:solidFill>
                      </w14:textFill>
                    </w:rPr>
                    <w:t>）高空排放</w:t>
                  </w:r>
                  <w:r>
                    <w:rPr>
                      <w:rFonts w:hint="eastAsia" w:ascii="Times New Roman" w:hAnsi="Times New Roman" w:eastAsia="宋体" w:cs="Times New Roman"/>
                      <w:color w:val="000000" w:themeColor="text1"/>
                      <w:kern w:val="0"/>
                      <w:szCs w:val="21"/>
                      <w:lang w:eastAsia="zh-CN"/>
                      <w14:textFill>
                        <w14:solidFill>
                          <w14:schemeClr w14:val="tx1"/>
                        </w14:solidFill>
                      </w14:textFill>
                    </w:rPr>
                    <w:t>；</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食堂油烟废气</w:t>
                  </w:r>
                  <w:r>
                    <w:rPr>
                      <w:rFonts w:hint="default" w:ascii="Times New Roman" w:hAnsi="Times New Roman" w:eastAsia="宋体" w:cs="Times New Roman"/>
                      <w:color w:val="000000" w:themeColor="text1"/>
                      <w:kern w:val="0"/>
                      <w:szCs w:val="21"/>
                      <w14:textFill>
                        <w14:solidFill>
                          <w14:schemeClr w14:val="tx1"/>
                        </w14:solidFill>
                      </w14:textFill>
                    </w:rPr>
                    <w:t>经风机引至油烟净化器处理后至</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食堂</w:t>
                  </w:r>
                  <w:r>
                    <w:rPr>
                      <w:rFonts w:hint="default" w:ascii="Times New Roman" w:hAnsi="Times New Roman" w:eastAsia="宋体" w:cs="Times New Roman"/>
                      <w:color w:val="000000" w:themeColor="text1"/>
                      <w:kern w:val="0"/>
                      <w:szCs w:val="21"/>
                      <w14:textFill>
                        <w14:solidFill>
                          <w14:schemeClr w14:val="tx1"/>
                        </w14:solidFill>
                      </w14:textFill>
                    </w:rPr>
                    <w:t>屋顶排放。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53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716" w:type="pct"/>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废水</w:t>
                  </w:r>
                </w:p>
              </w:tc>
              <w:tc>
                <w:tcPr>
                  <w:tcW w:w="3361" w:type="pct"/>
                  <w:gridSpan w:val="3"/>
                  <w:tcBorders>
                    <w:top w:val="single" w:color="auto" w:sz="4" w:space="0"/>
                    <w:left w:val="single" w:color="auto" w:sz="4" w:space="0"/>
                    <w:bottom w:val="single" w:color="auto" w:sz="4" w:space="0"/>
                    <w:right w:val="single" w:color="auto" w:sz="4" w:space="0"/>
                  </w:tcBorders>
                </w:tcPr>
                <w:p>
                  <w:pPr>
                    <w:adjustRightInd w:val="0"/>
                    <w:snapToGrid w:val="0"/>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厂区采取雨污分流措施；V型滤池的反洗废水</w:t>
                  </w:r>
                  <w:r>
                    <w:rPr>
                      <w:rFonts w:hint="default" w:ascii="Times New Roman" w:hAnsi="Times New Roman" w:cs="Times New Roman"/>
                      <w:color w:val="000000" w:themeColor="text1"/>
                      <w:kern w:val="0"/>
                      <w:szCs w:val="21"/>
                      <w:lang w:eastAsia="zh-CN"/>
                      <w14:textFill>
                        <w14:solidFill>
                          <w14:schemeClr w14:val="tx1"/>
                        </w14:solidFill>
                      </w14:textFill>
                    </w:rPr>
                    <w:t>、</w:t>
                  </w:r>
                  <w:r>
                    <w:rPr>
                      <w:rFonts w:hint="default" w:ascii="Times New Roman" w:hAnsi="Times New Roman" w:cs="Times New Roman"/>
                      <w:color w:val="000000" w:themeColor="text1"/>
                      <w:kern w:val="0"/>
                      <w:szCs w:val="21"/>
                      <w:lang w:val="en-US" w:eastAsia="zh-CN"/>
                      <w14:textFill>
                        <w14:solidFill>
                          <w14:schemeClr w14:val="tx1"/>
                        </w14:solidFill>
                      </w14:textFill>
                    </w:rPr>
                    <w:t>污泥脱水过程产生的废水经</w:t>
                  </w:r>
                  <w:r>
                    <w:rPr>
                      <w:rFonts w:hint="default" w:ascii="Times New Roman" w:hAnsi="Times New Roman" w:eastAsia="宋体" w:cs="Times New Roman"/>
                      <w:color w:val="000000" w:themeColor="text1"/>
                      <w:kern w:val="0"/>
                      <w:szCs w:val="21"/>
                      <w14:textFill>
                        <w14:solidFill>
                          <w14:schemeClr w14:val="tx1"/>
                        </w14:solidFill>
                      </w14:textFill>
                    </w:rPr>
                    <w:t>重力排入回收水池，经泵提升至配水井，重新进入系统回收利用</w:t>
                  </w:r>
                  <w:r>
                    <w:rPr>
                      <w:rFonts w:hint="default" w:ascii="Times New Roman" w:hAnsi="Times New Roman" w:eastAsia="宋体" w:cs="Times New Roman"/>
                      <w:color w:val="000000" w:themeColor="text1"/>
                      <w:kern w:val="0"/>
                      <w:szCs w:val="21"/>
                      <w:lang w:eastAsia="zh-CN"/>
                      <w14:textFill>
                        <w14:solidFill>
                          <w14:schemeClr w14:val="tx1"/>
                        </w14:solidFill>
                      </w14:textFill>
                    </w:rPr>
                    <w:t>；</w:t>
                  </w:r>
                  <w:r>
                    <w:rPr>
                      <w:rFonts w:hint="default" w:ascii="Times New Roman" w:hAnsi="Times New Roman" w:cs="Times New Roman"/>
                      <w:color w:val="000000" w:themeColor="text1"/>
                      <w:kern w:val="0"/>
                      <w:szCs w:val="21"/>
                      <w:lang w:val="en-US" w:eastAsia="zh-CN"/>
                      <w14:textFill>
                        <w14:solidFill>
                          <w14:schemeClr w14:val="tx1"/>
                        </w14:solidFill>
                      </w14:textFill>
                    </w:rPr>
                    <w:t>污泥脱水过程产生的废水返回沉淀、过滤工序处理再利用，不外排</w:t>
                  </w:r>
                  <w:r>
                    <w:rPr>
                      <w:rFonts w:hint="default" w:ascii="Times New Roman" w:hAnsi="Times New Roman" w:cs="Times New Roman"/>
                      <w:color w:val="000000" w:themeColor="text1"/>
                      <w:kern w:val="0"/>
                      <w:szCs w:val="21"/>
                      <w:lang w:eastAsia="zh-CN"/>
                      <w14:textFill>
                        <w14:solidFill>
                          <w14:schemeClr w14:val="tx1"/>
                        </w14:solidFill>
                      </w14:textFill>
                    </w:rPr>
                    <w:t>；</w:t>
                  </w:r>
                  <w:r>
                    <w:rPr>
                      <w:rFonts w:hint="default" w:ascii="Times New Roman" w:hAnsi="Times New Roman" w:eastAsia="宋体" w:cs="Times New Roman"/>
                      <w:color w:val="000000" w:themeColor="text1"/>
                      <w:kern w:val="0"/>
                      <w:szCs w:val="21"/>
                      <w14:textFill>
                        <w14:solidFill>
                          <w14:schemeClr w14:val="tx1"/>
                        </w14:solidFill>
                      </w14:textFill>
                    </w:rPr>
                    <w:t>生活污水</w:t>
                  </w:r>
                  <w:r>
                    <w:rPr>
                      <w:rFonts w:hint="default" w:ascii="Times New Roman" w:hAnsi="Times New Roman" w:cs="Times New Roman"/>
                      <w:color w:val="000000" w:themeColor="text1"/>
                      <w:kern w:val="0"/>
                      <w:szCs w:val="21"/>
                      <w:lang w:val="en-US" w:eastAsia="zh-CN"/>
                      <w14:textFill>
                        <w14:solidFill>
                          <w14:schemeClr w14:val="tx1"/>
                        </w14:solidFill>
                      </w14:textFill>
                    </w:rPr>
                    <w:t>经</w:t>
                  </w:r>
                  <w:r>
                    <w:rPr>
                      <w:rFonts w:hint="default" w:ascii="Times New Roman" w:hAnsi="Times New Roman" w:eastAsia="宋体" w:cs="Times New Roman"/>
                      <w:color w:val="000000" w:themeColor="text1"/>
                      <w:kern w:val="0"/>
                      <w:szCs w:val="21"/>
                      <w14:textFill>
                        <w14:solidFill>
                          <w14:schemeClr w14:val="tx1"/>
                        </w14:solidFill>
                      </w14:textFill>
                    </w:rPr>
                    <w:t>化粪池收集后</w:t>
                  </w:r>
                  <w:r>
                    <w:rPr>
                      <w:rFonts w:hint="default" w:ascii="Times New Roman" w:hAnsi="Times New Roman" w:cs="Times New Roman"/>
                      <w:color w:val="000000" w:themeColor="text1"/>
                      <w:kern w:val="0"/>
                      <w:szCs w:val="21"/>
                      <w:lang w:val="en-US" w:eastAsia="zh-CN"/>
                      <w14:textFill>
                        <w14:solidFill>
                          <w14:schemeClr w14:val="tx1"/>
                        </w14:solidFill>
                      </w14:textFill>
                    </w:rPr>
                    <w:t>由周边农户定期清运肥田</w:t>
                  </w:r>
                  <w:r>
                    <w:rPr>
                      <w:rFonts w:hint="default" w:ascii="Times New Roman" w:hAnsi="Times New Roman" w:eastAsia="宋体"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53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716" w:type="pct"/>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噪声</w:t>
                  </w:r>
                </w:p>
              </w:tc>
              <w:tc>
                <w:tcPr>
                  <w:tcW w:w="3361"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设备软连接、隔声、隔振等措施。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53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716" w:type="pct"/>
                  <w:gridSpan w:val="2"/>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固体废物</w:t>
                  </w:r>
                </w:p>
              </w:tc>
              <w:tc>
                <w:tcPr>
                  <w:tcW w:w="45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一般固废</w:t>
                  </w:r>
                </w:p>
              </w:tc>
              <w:tc>
                <w:tcPr>
                  <w:tcW w:w="2908" w:type="pct"/>
                  <w:gridSpan w:val="2"/>
                  <w:tcBorders>
                    <w:top w:val="single" w:color="auto" w:sz="4" w:space="0"/>
                    <w:left w:val="single" w:color="auto" w:sz="4" w:space="0"/>
                    <w:bottom w:val="single" w:color="auto" w:sz="4" w:space="0"/>
                    <w:right w:val="single" w:color="auto" w:sz="4" w:space="0"/>
                  </w:tcBorders>
                </w:tcPr>
                <w:p>
                  <w:pPr>
                    <w:adjustRightInd w:val="0"/>
                    <w:snapToGrid w:val="0"/>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生活垃圾由当地环卫部门清运处理；污泥</w:t>
                  </w:r>
                  <w:r>
                    <w:rPr>
                      <w:rFonts w:hint="default" w:ascii="Times New Roman" w:hAnsi="Times New Roman" w:eastAsia="宋体" w:cs="Times New Roman"/>
                      <w:color w:val="000000" w:themeColor="text1"/>
                      <w:kern w:val="0"/>
                      <w:szCs w:val="21"/>
                      <w:lang w:eastAsia="zh-CN"/>
                      <w14:textFill>
                        <w14:solidFill>
                          <w14:schemeClr w14:val="tx1"/>
                        </w14:solidFill>
                      </w14:textFill>
                    </w:rPr>
                    <w:t>暂存于污泥</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储存</w:t>
                  </w:r>
                  <w:r>
                    <w:rPr>
                      <w:rFonts w:hint="default" w:ascii="Times New Roman" w:hAnsi="Times New Roman" w:eastAsia="宋体" w:cs="Times New Roman"/>
                      <w:color w:val="000000" w:themeColor="text1"/>
                      <w:kern w:val="0"/>
                      <w:szCs w:val="21"/>
                      <w:lang w:eastAsia="zh-CN"/>
                      <w14:textFill>
                        <w14:solidFill>
                          <w14:schemeClr w14:val="tx1"/>
                        </w14:solidFill>
                      </w14:textFill>
                    </w:rPr>
                    <w:t>池内，定期清理</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Cs w:val="21"/>
                      <w:lang w:eastAsia="zh-CN"/>
                      <w14:textFill>
                        <w14:solidFill>
                          <w14:schemeClr w14:val="tx1"/>
                        </w14:solidFill>
                      </w14:textFill>
                    </w:rPr>
                    <w:t>经</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污泥脱水装置脱水后委托污泥处置中心处置</w:t>
                  </w:r>
                  <w:r>
                    <w:rPr>
                      <w:rFonts w:hint="default" w:ascii="Times New Roman" w:hAnsi="Times New Roman" w:eastAsia="宋体" w:cs="Times New Roman"/>
                      <w:color w:val="000000" w:themeColor="text1"/>
                      <w:kern w:val="0"/>
                      <w:szCs w:val="21"/>
                      <w14:textFill>
                        <w14:solidFill>
                          <w14:schemeClr w14:val="tx1"/>
                        </w14:solidFill>
                      </w14:textFill>
                    </w:rPr>
                    <w:t>；废滤料由滤料供应商回收处置；废包装袋收集后出售给废品收购站；废次氯酸钠包装物收集后，由生产厂家直接回收</w:t>
                  </w:r>
                  <w:r>
                    <w:rPr>
                      <w:rFonts w:hint="default" w:ascii="Times New Roman" w:hAnsi="Times New Roman" w:eastAsia="宋体" w:cs="Times New Roman"/>
                      <w:color w:val="000000" w:themeColor="text1"/>
                      <w:kern w:val="0"/>
                      <w:szCs w:val="21"/>
                      <w:lang w:eastAsia="zh-CN"/>
                      <w14:textFill>
                        <w14:solidFill>
                          <w14:schemeClr w14:val="tx1"/>
                        </w14:solidFill>
                      </w14:textFill>
                    </w:rPr>
                    <w:t>；</w:t>
                  </w:r>
                  <w:r>
                    <w:rPr>
                      <w:rFonts w:hint="default" w:ascii="Times New Roman" w:hAnsi="Times New Roman" w:eastAsia="宋体" w:cs="Times New Roman"/>
                      <w:color w:val="000000" w:themeColor="text1"/>
                      <w:kern w:val="0"/>
                      <w:szCs w:val="21"/>
                      <w14:textFill>
                        <w14:solidFill>
                          <w14:schemeClr w14:val="tx1"/>
                        </w14:solidFill>
                      </w14:textFill>
                    </w:rPr>
                    <w:t>隔油系统泔水油和废油脂定期委托有资质单位统一回收处理。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39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53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themeColor="text1"/>
                      <w:kern w:val="0"/>
                      <w:szCs w:val="21"/>
                      <w14:textFill>
                        <w14:solidFill>
                          <w14:schemeClr w14:val="tx1"/>
                        </w14:solidFill>
                      </w14:textFill>
                    </w:rPr>
                  </w:pPr>
                </w:p>
              </w:tc>
              <w:tc>
                <w:tcPr>
                  <w:tcW w:w="716" w:type="pct"/>
                  <w:gridSpan w:val="2"/>
                  <w:vMerge w:val="continue"/>
                  <w:tcBorders>
                    <w:left w:val="single" w:color="000000" w:sz="4" w:space="0"/>
                    <w:right w:val="single" w:color="000000" w:sz="4" w:space="0"/>
                  </w:tcBorders>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p>
              </w:tc>
              <w:tc>
                <w:tcPr>
                  <w:tcW w:w="45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危险废物</w:t>
                  </w:r>
                </w:p>
              </w:tc>
              <w:tc>
                <w:tcPr>
                  <w:tcW w:w="2908"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both"/>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废机油、废油桶、</w:t>
                  </w:r>
                  <w:r>
                    <w:rPr>
                      <w:rFonts w:hint="default" w:ascii="Times New Roman" w:hAnsi="Times New Roman" w:eastAsia="宋体" w:cs="Times New Roman"/>
                      <w:color w:val="000000" w:themeColor="text1"/>
                      <w14:textFill>
                        <w14:solidFill>
                          <w14:schemeClr w14:val="tx1"/>
                        </w14:solidFill>
                      </w14:textFill>
                    </w:rPr>
                    <w:t>废含油抹布</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手套</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废弃化学品容器贮存于</w:t>
                  </w:r>
                  <w:r>
                    <w:rPr>
                      <w:rFonts w:hint="default" w:ascii="Times New Roman" w:hAnsi="Times New Roman" w:eastAsia="宋体" w:cs="Times New Roman"/>
                      <w:color w:val="000000" w:themeColor="text1"/>
                      <w:lang w:val="en-US" w:eastAsia="zh-CN"/>
                      <w14:textFill>
                        <w14:solidFill>
                          <w14:schemeClr w14:val="tx1"/>
                        </w14:solidFill>
                      </w14:textFill>
                    </w:rPr>
                    <w:t>净水厂</w:t>
                  </w:r>
                  <w:r>
                    <w:rPr>
                      <w:rFonts w:hint="default" w:ascii="Times New Roman" w:hAnsi="Times New Roman" w:eastAsia="宋体" w:cs="Times New Roman"/>
                      <w:color w:val="000000" w:themeColor="text1"/>
                      <w14:textFill>
                        <w14:solidFill>
                          <w14:schemeClr w14:val="tx1"/>
                        </w14:solidFill>
                      </w14:textFill>
                    </w:rPr>
                    <w:t>内</w:t>
                  </w:r>
                  <w:r>
                    <w:rPr>
                      <w:rFonts w:hint="default" w:ascii="Times New Roman" w:hAnsi="Times New Roman" w:eastAsia="宋体" w:cs="Times New Roman"/>
                      <w:color w:val="000000" w:themeColor="text1"/>
                      <w:lang w:val="en-US" w:eastAsia="zh-CN"/>
                      <w14:textFill>
                        <w14:solidFill>
                          <w14:schemeClr w14:val="tx1"/>
                        </w14:solidFill>
                      </w14:textFill>
                    </w:rPr>
                    <w:t>的</w:t>
                  </w:r>
                  <w:r>
                    <w:rPr>
                      <w:rFonts w:hint="default" w:ascii="Times New Roman" w:hAnsi="Times New Roman" w:eastAsia="宋体" w:cs="Times New Roman"/>
                      <w:color w:val="000000" w:themeColor="text1"/>
                      <w14:textFill>
                        <w14:solidFill>
                          <w14:schemeClr w14:val="tx1"/>
                        </w14:solidFill>
                      </w14:textFill>
                    </w:rPr>
                    <w:t>危险废物暂存间，定期交由有相应资质的危险废物处置单位处置</w:t>
                  </w:r>
                  <w:r>
                    <w:rPr>
                      <w:rFonts w:hint="default" w:ascii="Times New Roman" w:hAnsi="Times New Roman" w:eastAsia="宋体" w:cs="Times New Roman"/>
                      <w:color w:val="000000" w:themeColor="text1"/>
                      <w:lang w:eastAsia="zh-CN"/>
                      <w14:textFill>
                        <w14:solidFill>
                          <w14:schemeClr w14:val="tx1"/>
                        </w14:solidFill>
                      </w14:textFill>
                    </w:rPr>
                    <w:t>。</w:t>
                  </w:r>
                </w:p>
              </w:tc>
            </w:tr>
          </w:tbl>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3、产品方案</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本项目产品方案见表2-2。</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kern w:val="0"/>
                <w:sz w:val="24"/>
                <w14:textFill>
                  <w14:solidFill>
                    <w14:schemeClr w14:val="tx1"/>
                  </w14:solidFill>
                </w14:textFill>
              </w:rPr>
              <w:t>表</w:t>
            </w:r>
            <w:r>
              <w:rPr>
                <w:rFonts w:hint="default" w:ascii="Times New Roman" w:hAnsi="Times New Roman" w:eastAsia="宋体" w:cs="Times New Roman"/>
                <w:b/>
                <w:bCs/>
                <w:color w:val="000000" w:themeColor="text1"/>
                <w:kern w:val="0"/>
                <w:sz w:val="24"/>
                <w:lang w:val="en-US"/>
                <w14:textFill>
                  <w14:solidFill>
                    <w14:schemeClr w14:val="tx1"/>
                  </w14:solidFill>
                </w14:textFill>
              </w:rPr>
              <w:t>2</w:t>
            </w:r>
            <w:r>
              <w:rPr>
                <w:rFonts w:hint="default" w:ascii="Times New Roman" w:hAnsi="Times New Roman" w:eastAsia="宋体" w:cs="Times New Roman"/>
                <w:b/>
                <w:bCs/>
                <w:color w:val="000000" w:themeColor="text1"/>
                <w:kern w:val="0"/>
                <w:sz w:val="24"/>
                <w14:textFill>
                  <w14:solidFill>
                    <w14:schemeClr w14:val="tx1"/>
                  </w14:solidFill>
                </w14:textFill>
              </w:rPr>
              <w:t>-2  项目产品方案</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0"/>
              <w:gridCol w:w="2895"/>
              <w:gridCol w:w="3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5" w:type="pct"/>
                  <w:vAlign w:val="center"/>
                </w:tcPr>
                <w:p>
                  <w:pPr>
                    <w:spacing w:line="0" w:lineRule="atLeas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序号</w:t>
                  </w:r>
                </w:p>
              </w:tc>
              <w:tc>
                <w:tcPr>
                  <w:tcW w:w="1775" w:type="pct"/>
                  <w:vAlign w:val="center"/>
                </w:tcPr>
                <w:p>
                  <w:pPr>
                    <w:spacing w:line="0" w:lineRule="atLeas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产品名称</w:t>
                  </w:r>
                </w:p>
              </w:tc>
              <w:tc>
                <w:tcPr>
                  <w:tcW w:w="2170" w:type="pct"/>
                  <w:vAlign w:val="center"/>
                </w:tcPr>
                <w:p>
                  <w:pPr>
                    <w:spacing w:line="0" w:lineRule="atLeas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5" w:type="pct"/>
                  <w:vAlign w:val="center"/>
                </w:tcPr>
                <w:p>
                  <w:pPr>
                    <w:spacing w:line="0" w:lineRule="atLeas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p>
              </w:tc>
              <w:tc>
                <w:tcPr>
                  <w:tcW w:w="1775" w:type="pct"/>
                  <w:vAlign w:val="center"/>
                </w:tcPr>
                <w:p>
                  <w:pPr>
                    <w:spacing w:line="0" w:lineRule="atLeas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自来水</w:t>
                  </w:r>
                </w:p>
              </w:tc>
              <w:tc>
                <w:tcPr>
                  <w:tcW w:w="2170" w:type="pct"/>
                  <w:vAlign w:val="center"/>
                </w:tcPr>
                <w:p>
                  <w:pPr>
                    <w:spacing w:line="0" w:lineRule="atLeas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w:t>
                  </w:r>
                  <w:r>
                    <w:rPr>
                      <w:rFonts w:hint="default" w:ascii="Times New Roman" w:hAnsi="Times New Roman" w:eastAsia="宋体" w:cs="Times New Roman"/>
                      <w:color w:val="000000" w:themeColor="text1"/>
                      <w14:textFill>
                        <w14:solidFill>
                          <w14:schemeClr w14:val="tx1"/>
                        </w14:solidFill>
                      </w14:textFill>
                    </w:rPr>
                    <w:t>0000m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/d</w:t>
                  </w:r>
                </w:p>
              </w:tc>
            </w:tr>
          </w:tbl>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4</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cs="Times New Roman"/>
                <w:color w:val="000000" w:themeColor="text1"/>
                <w:kern w:val="0"/>
                <w:sz w:val="24"/>
                <w:lang w:val="en-US" w:eastAsia="zh-CN"/>
                <w14:textFill>
                  <w14:solidFill>
                    <w14:schemeClr w14:val="tx1"/>
                  </w14:solidFill>
                </w14:textFill>
              </w:rPr>
              <w:t>净水厂</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出水水质</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本</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项目出水水质参考执行《生活饮用水卫生标准》（GB5749-2006），该标准中水质监测指标为106项，其中42项为常规指标，属水质监测有普遍意义的项目；64项为非常规指标，均要求强制执行。在对饮用水水质进行评价时，常规指标和非常规指标具有同等地位。常规评价指标标准值见表2-</w:t>
            </w:r>
            <w:r>
              <w:rPr>
                <w:rFonts w:hint="default" w:ascii="Times New Roman" w:hAnsi="Times New Roman" w:cs="Times New Roman"/>
                <w:color w:val="000000" w:themeColor="text1"/>
                <w:kern w:val="0"/>
                <w:sz w:val="24"/>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kern w:val="0"/>
                <w:sz w:val="24"/>
                <w14:textFill>
                  <w14:solidFill>
                    <w14:schemeClr w14:val="tx1"/>
                  </w14:solidFill>
                </w14:textFill>
              </w:rPr>
              <w:t>表2-</w:t>
            </w:r>
            <w:r>
              <w:rPr>
                <w:rFonts w:hint="default" w:ascii="Times New Roman" w:hAnsi="Times New Roman" w:cs="Times New Roman"/>
                <w:b/>
                <w:bCs/>
                <w:color w:val="000000" w:themeColor="text1"/>
                <w:kern w:val="0"/>
                <w:sz w:val="24"/>
                <w:lang w:val="en-US" w:eastAsia="zh-CN"/>
                <w14:textFill>
                  <w14:solidFill>
                    <w14:schemeClr w14:val="tx1"/>
                  </w14:solidFill>
                </w14:textFill>
              </w:rPr>
              <w:t>3</w:t>
            </w:r>
            <w:r>
              <w:rPr>
                <w:rFonts w:hint="default" w:ascii="Times New Roman" w:hAnsi="Times New Roman" w:eastAsia="宋体" w:cs="Times New Roman"/>
                <w:b/>
                <w:bCs/>
                <w:color w:val="000000" w:themeColor="text1"/>
                <w:kern w:val="0"/>
                <w:sz w:val="24"/>
                <w14:textFill>
                  <w14:solidFill>
                    <w14:schemeClr w14:val="tx1"/>
                  </w14:solidFill>
                </w14:textFill>
              </w:rPr>
              <w:t xml:space="preserve">  《生活饮用水卫生标准》（GB5749-2006）</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6"/>
              <w:gridCol w:w="4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标准</w:t>
                  </w:r>
                </w:p>
              </w:tc>
              <w:tc>
                <w:tcPr>
                  <w:tcW w:w="25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5186"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1、微生物指标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总大肠菌群（MPN/100mL 或CFU/100mL）</w:t>
                  </w:r>
                </w:p>
              </w:tc>
              <w:tc>
                <w:tcPr>
                  <w:tcW w:w="25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不得检出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耐热大肠菌群（MPN/100mL 或CFU/100mL）</w:t>
                  </w:r>
                </w:p>
              </w:tc>
              <w:tc>
                <w:tcPr>
                  <w:tcW w:w="25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不得检出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大肠埃希氏菌（MPN/100mL 或CFU/100mL）</w:t>
                  </w:r>
                </w:p>
              </w:tc>
              <w:tc>
                <w:tcPr>
                  <w:tcW w:w="25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不得检出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25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菌落总数（CFU/mL）</w:t>
                  </w:r>
                </w:p>
              </w:tc>
              <w:tc>
                <w:tcPr>
                  <w:tcW w:w="25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5186"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2、毒理指标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砷（mg/L）</w:t>
                  </w:r>
                </w:p>
              </w:tc>
              <w:tc>
                <w:tcPr>
                  <w:tcW w:w="25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镉（mg/L）</w:t>
                  </w:r>
                </w:p>
              </w:tc>
              <w:tc>
                <w:tcPr>
                  <w:tcW w:w="25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铬（六价，mg/L）</w:t>
                  </w:r>
                </w:p>
              </w:tc>
              <w:tc>
                <w:tcPr>
                  <w:tcW w:w="25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铅（mg/L）</w:t>
                  </w:r>
                </w:p>
              </w:tc>
              <w:tc>
                <w:tcPr>
                  <w:tcW w:w="25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汞（mg/L）</w:t>
                  </w:r>
                </w:p>
              </w:tc>
              <w:tc>
                <w:tcPr>
                  <w:tcW w:w="25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硒（mg/L）</w:t>
                  </w:r>
                </w:p>
              </w:tc>
              <w:tc>
                <w:tcPr>
                  <w:tcW w:w="25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氰化物（mg/L）</w:t>
                  </w:r>
                </w:p>
              </w:tc>
              <w:tc>
                <w:tcPr>
                  <w:tcW w:w="25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氟化物（mg/L）</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硝酸盐（以 N 计，mg/L）</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10，地下水源限制时为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三氯甲烷（mg/L）</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四氯化碳（mg/L）</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溴酸盐（使用臭氧时，mg/L）</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甲醛（使用臭氧时，mg/L）</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亚氯酸盐（使用二氧化氯消毒时，mg/L）</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氯酸盐（使用复合二氧化氯消毒时，mg/L）</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86"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3、感官性状和一般化学指标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色度（铂钴色度单位）</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浑浊度（NTU-散射浊度单位）</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1，水源与净水技术条件限制时为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臭和味</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无异臭、异味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肉眼可见物</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pH（pH单位）</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不小于 6.5 且不大于 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铝（mg/L）</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铁（mg/L）</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锰（mg/L）</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铜（mg/L）</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锌（mg/L）</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氯化物（mg/L）</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硫酸盐（mg/L）</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溶解性总固体（mg/L）</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总硬度(以CaCO</w:t>
                  </w:r>
                  <w:r>
                    <w:rPr>
                      <w:rFonts w:hint="default" w:ascii="Times New Roman" w:hAnsi="Times New Roman" w:eastAsia="宋体" w:cs="Times New Roman"/>
                      <w:color w:val="000000" w:themeColor="text1"/>
                      <w:vertAlign w:val="sub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计，mg/L）</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耗氧量（COD</w:t>
                  </w:r>
                  <w:r>
                    <w:rPr>
                      <w:rFonts w:hint="default" w:ascii="Times New Roman" w:hAnsi="Times New Roman" w:eastAsia="宋体" w:cs="Times New Roman"/>
                      <w:color w:val="000000" w:themeColor="text1"/>
                      <w:vertAlign w:val="subscript"/>
                      <w14:textFill>
                        <w14:solidFill>
                          <w14:schemeClr w14:val="tx1"/>
                        </w14:solidFill>
                      </w14:textFill>
                    </w:rPr>
                    <w:t>Mn</w:t>
                  </w:r>
                  <w:r>
                    <w:rPr>
                      <w:rFonts w:hint="default" w:ascii="Times New Roman" w:hAnsi="Times New Roman" w:eastAsia="宋体" w:cs="Times New Roman"/>
                      <w:color w:val="000000" w:themeColor="text1"/>
                      <w14:textFill>
                        <w14:solidFill>
                          <w14:schemeClr w14:val="tx1"/>
                        </w14:solidFill>
                      </w14:textFill>
                    </w:rPr>
                    <w:t>法，以 O</w:t>
                  </w:r>
                  <w:r>
                    <w:rPr>
                      <w:rFonts w:hint="default" w:ascii="Times New Roman" w:hAnsi="Times New Roman" w:eastAsia="宋体" w:cs="Times New Roman"/>
                      <w:color w:val="000000" w:themeColor="text1"/>
                      <w:vertAlign w:val="subscript"/>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 xml:space="preserve"> 计，mg/L）</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3，水源限制，原水耗氧量＞6mg/L 时为5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挥发酚类（以苯酚计，mg/L）</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阴离子合成洗涤剂（mg/L）</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4、放射性指标</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指导值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总 α 放射性（Bq/L）</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总 β 放射性（Bq/L）</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86"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①MPN 表示最可能数；CFU 表示菌落形成单位。当水样检出总大肠菌群时，应进一步 检验大肠埃希氏菌或耐热大肠菌群；水样未检出总大肠菌群，不必检验大肠埃希氏菌 或耐热大肠菌群。② 放射性指标超过指导值，应进行核素分析和评价，判定能否饮用。</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、供水范围</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本项目供水范围包括陇县</w:t>
            </w:r>
            <w:r>
              <w:rPr>
                <w:rFonts w:hint="default" w:ascii="Times New Roman" w:hAnsi="Times New Roman" w:cs="Times New Roman"/>
                <w:color w:val="000000" w:themeColor="text1"/>
                <w:kern w:val="0"/>
                <w:sz w:val="24"/>
                <w:lang w:val="en-US" w:eastAsia="zh-CN"/>
                <w14:textFill>
                  <w14:solidFill>
                    <w14:schemeClr w14:val="tx1"/>
                  </w14:solidFill>
                </w14:textFill>
              </w:rPr>
              <w:t>县城</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以及县城周边的农村供水区域，供水范围内共计有30个行政村</w:t>
            </w:r>
            <w:r>
              <w:rPr>
                <w:rFonts w:hint="default" w:ascii="Times New Roman" w:hAnsi="Times New Roman"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农村供水区域是在县域范围内净水厂可重力自流供给的农村，无法重力自流供水的农村不在本项目范围内</w:t>
            </w:r>
            <w:r>
              <w:rPr>
                <w:rFonts w:hint="default" w:ascii="Times New Roman" w:hAnsi="Times New Roman"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本</w:t>
            </w:r>
            <w:r>
              <w:rPr>
                <w:rFonts w:hint="default" w:ascii="Times New Roman" w:hAnsi="Times New Roman" w:cs="Times New Roman"/>
                <w:color w:val="000000" w:themeColor="text1"/>
                <w:kern w:val="0"/>
                <w:sz w:val="24"/>
                <w:lang w:val="en-US" w:eastAsia="zh-CN"/>
                <w14:textFill>
                  <w14:solidFill>
                    <w14:schemeClr w14:val="tx1"/>
                  </w14:solidFill>
                </w14:textFill>
              </w:rPr>
              <w:t>项目</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供水范围内的农村区域无工业企业</w:t>
            </w:r>
            <w:r>
              <w:rPr>
                <w:rFonts w:hint="default" w:ascii="Times New Roman" w:hAnsi="Times New Roman"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见表2-</w:t>
            </w:r>
            <w:r>
              <w:rPr>
                <w:rFonts w:hint="default" w:ascii="Times New Roman" w:hAnsi="Times New Roman" w:cs="Times New Roman"/>
                <w:color w:val="000000" w:themeColor="text1"/>
                <w:kern w:val="0"/>
                <w:sz w:val="24"/>
                <w:lang w:val="en-US" w:eastAsia="zh-CN"/>
                <w14:textFill>
                  <w14:solidFill>
                    <w14:schemeClr w14:val="tx1"/>
                  </w14:solidFill>
                </w14:textFill>
              </w:rPr>
              <w:t>4</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kern w:val="0"/>
                <w:sz w:val="24"/>
                <w14:textFill>
                  <w14:solidFill>
                    <w14:schemeClr w14:val="tx1"/>
                  </w14:solidFill>
                </w14:textFill>
              </w:rPr>
              <w:t>表2-</w:t>
            </w:r>
            <w:r>
              <w:rPr>
                <w:rFonts w:hint="default" w:ascii="Times New Roman" w:hAnsi="Times New Roman" w:cs="Times New Roman"/>
                <w:b/>
                <w:bCs/>
                <w:color w:val="000000" w:themeColor="text1"/>
                <w:kern w:val="0"/>
                <w:sz w:val="24"/>
                <w:lang w:val="en-US" w:eastAsia="zh-CN"/>
                <w14:textFill>
                  <w14:solidFill>
                    <w14:schemeClr w14:val="tx1"/>
                  </w14:solidFill>
                </w14:textFill>
              </w:rPr>
              <w:t>4</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14:textFill>
                  <w14:solidFill>
                    <w14:schemeClr w14:val="tx1"/>
                  </w14:solidFill>
                </w14:textFill>
              </w:rPr>
              <w:t>本项目净水厂供水范围</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852"/>
              <w:gridCol w:w="5482"/>
              <w:gridCol w:w="1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6"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序号</w:t>
                  </w:r>
                </w:p>
              </w:tc>
              <w:tc>
                <w:tcPr>
                  <w:tcW w:w="633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供水范围</w:t>
                  </w:r>
                </w:p>
              </w:tc>
              <w:tc>
                <w:tcPr>
                  <w:tcW w:w="1114"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供水人口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6"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00" w:themeColor="text1"/>
                      <w:kern w:val="0"/>
                      <w:sz w:val="21"/>
                      <w:szCs w:val="21"/>
                      <w14:textFill>
                        <w14:solidFill>
                          <w14:schemeClr w14:val="tx1"/>
                        </w14:solidFill>
                      </w14:textFill>
                    </w:rPr>
                  </w:pPr>
                </w:p>
              </w:tc>
              <w:tc>
                <w:tcPr>
                  <w:tcW w:w="852"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镇区</w:t>
                  </w:r>
                </w:p>
              </w:tc>
              <w:tc>
                <w:tcPr>
                  <w:tcW w:w="54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行政村村名</w:t>
                  </w:r>
                </w:p>
              </w:tc>
              <w:tc>
                <w:tcPr>
                  <w:tcW w:w="1114"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w:t>
                  </w:r>
                </w:p>
              </w:tc>
              <w:tc>
                <w:tcPr>
                  <w:tcW w:w="8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天成镇</w:t>
                  </w:r>
                </w:p>
              </w:tc>
              <w:tc>
                <w:tcPr>
                  <w:tcW w:w="54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王马咀村</w:t>
                  </w:r>
                </w:p>
              </w:tc>
              <w:tc>
                <w:tcPr>
                  <w:tcW w:w="11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w:t>
                  </w:r>
                </w:p>
              </w:tc>
              <w:tc>
                <w:tcPr>
                  <w:tcW w:w="8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城关镇</w:t>
                  </w:r>
                </w:p>
              </w:tc>
              <w:tc>
                <w:tcPr>
                  <w:tcW w:w="54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麦枣村</w:t>
                  </w:r>
                  <w:r>
                    <w:rPr>
                      <w:rFonts w:hint="default" w:ascii="Times New Roman" w:hAnsi="Times New Roman" w:cs="Times New Roman"/>
                      <w:b w:val="0"/>
                      <w:bCs w:val="0"/>
                      <w:color w:val="000000" w:themeColor="text1"/>
                      <w:kern w:val="0"/>
                      <w:sz w:val="21"/>
                      <w:szCs w:val="21"/>
                      <w:lang w:val="en-US" w:eastAsia="zh-CN" w:bidi="ar-SA"/>
                      <w14:textFill>
                        <w14:solidFill>
                          <w14:schemeClr w14:val="tx1"/>
                        </w14:solidFill>
                      </w14:textFill>
                    </w:rPr>
                    <w:t>、小沟村、堎底下村、千邑村、纸沟村、梁家村、菜园村、东关村、堡子身村</w:t>
                  </w:r>
                </w:p>
              </w:tc>
              <w:tc>
                <w:tcPr>
                  <w:tcW w:w="11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7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w:t>
                  </w:r>
                </w:p>
              </w:tc>
              <w:tc>
                <w:tcPr>
                  <w:tcW w:w="8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东南镇</w:t>
                  </w:r>
                </w:p>
              </w:tc>
              <w:tc>
                <w:tcPr>
                  <w:tcW w:w="54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杜阳村</w:t>
                  </w:r>
                  <w:r>
                    <w:rPr>
                      <w:rFonts w:hint="default" w:ascii="Times New Roman" w:hAnsi="Times New Roman" w:cs="Times New Roman"/>
                      <w:b w:val="0"/>
                      <w:bCs w:val="0"/>
                      <w:color w:val="000000" w:themeColor="text1"/>
                      <w:kern w:val="0"/>
                      <w:sz w:val="21"/>
                      <w:szCs w:val="21"/>
                      <w:lang w:val="en-US" w:eastAsia="zh-CN" w:bidi="ar-SA"/>
                      <w14:textFill>
                        <w14:solidFill>
                          <w14:schemeClr w14:val="tx1"/>
                        </w14:solidFill>
                      </w14:textFill>
                    </w:rPr>
                    <w:t>、黄花峪村、东兴村、河沟寨村、梁甫村、高庙村、张家庄村、边家庄村、杨家坡村</w:t>
                  </w:r>
                </w:p>
              </w:tc>
              <w:tc>
                <w:tcPr>
                  <w:tcW w:w="11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38885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4</w:t>
                  </w:r>
                </w:p>
              </w:tc>
              <w:tc>
                <w:tcPr>
                  <w:tcW w:w="8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东风镇</w:t>
                  </w:r>
                </w:p>
              </w:tc>
              <w:tc>
                <w:tcPr>
                  <w:tcW w:w="54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川糜村</w:t>
                  </w:r>
                  <w:r>
                    <w:rPr>
                      <w:rFonts w:hint="default" w:ascii="Times New Roman" w:hAnsi="Times New Roman" w:cs="Times New Roman"/>
                      <w:b w:val="0"/>
                      <w:bCs w:val="0"/>
                      <w:color w:val="000000" w:themeColor="text1"/>
                      <w:kern w:val="0"/>
                      <w:sz w:val="21"/>
                      <w:szCs w:val="21"/>
                      <w:lang w:val="en-US" w:eastAsia="zh-CN" w:bidi="ar-SA"/>
                      <w14:textFill>
                        <w14:solidFill>
                          <w14:schemeClr w14:val="tx1"/>
                        </w14:solidFill>
                      </w14:textFill>
                    </w:rPr>
                    <w:t>、上凉泉村、下凉泉村、刘家咀村、兴中村、普乐塬村、西沟村、峪头村、枣林寨村、南村、梨林川村</w:t>
                  </w:r>
                </w:p>
              </w:tc>
              <w:tc>
                <w:tcPr>
                  <w:tcW w:w="11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26702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0"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总计</w:t>
                  </w:r>
                </w:p>
              </w:tc>
              <w:tc>
                <w:tcPr>
                  <w:tcW w:w="11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90392</w:t>
                  </w:r>
                </w:p>
              </w:tc>
            </w:tr>
          </w:tbl>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6</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、工程占地</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本项目工程占地共计</w:t>
            </w:r>
            <w:r>
              <w:rPr>
                <w:rFonts w:hint="default" w:ascii="Times New Roman" w:hAnsi="Times New Roman" w:cs="Times New Roman"/>
                <w:color w:val="000000" w:themeColor="text1"/>
                <w:kern w:val="0"/>
                <w:sz w:val="24"/>
                <w:lang w:val="en-US" w:eastAsia="zh-CN"/>
                <w14:textFill>
                  <w14:solidFill>
                    <w14:schemeClr w14:val="tx1"/>
                  </w14:solidFill>
                </w14:textFill>
              </w:rPr>
              <w:t>24</w:t>
            </w:r>
            <w:r>
              <w:rPr>
                <w:rFonts w:hint="default" w:ascii="Times New Roman" w:hAnsi="Times New Roman" w:cs="Times New Roman"/>
                <w:color w:val="000000" w:themeColor="text1"/>
                <w:sz w:val="24"/>
                <w:szCs w:val="24"/>
                <w:lang w:val="en-US" w:eastAsia="zh-CN"/>
                <w14:textFill>
                  <w14:solidFill>
                    <w14:schemeClr w14:val="tx1"/>
                  </w14:solidFill>
                </w14:textFill>
              </w:rPr>
              <w:t>hm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，其中永久占地</w:t>
            </w:r>
            <w:r>
              <w:rPr>
                <w:rFonts w:hint="default" w:ascii="Times New Roman" w:hAnsi="Times New Roman" w:cs="Times New Roman"/>
                <w:color w:val="000000" w:themeColor="text1"/>
                <w:kern w:val="0"/>
                <w:sz w:val="24"/>
                <w:lang w:val="en-US" w:eastAsia="zh-CN"/>
                <w14:textFill>
                  <w14:solidFill>
                    <w14:schemeClr w14:val="tx1"/>
                  </w14:solidFill>
                </w14:textFill>
              </w:rPr>
              <w:t>1.97hm</w:t>
            </w:r>
            <w:r>
              <w:rPr>
                <w:rFonts w:hint="default" w:ascii="Times New Roman" w:hAnsi="Times New Roman" w:cs="Times New Roman"/>
                <w:color w:val="000000" w:themeColor="text1"/>
                <w:kern w:val="0"/>
                <w:sz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，临时占地</w:t>
            </w:r>
            <w:r>
              <w:rPr>
                <w:rFonts w:hint="default" w:ascii="Times New Roman" w:hAnsi="Times New Roman" w:cs="Times New Roman"/>
                <w:color w:val="000000" w:themeColor="text1"/>
                <w:kern w:val="0"/>
                <w:sz w:val="24"/>
                <w:lang w:val="en-US" w:eastAsia="zh-CN"/>
                <w14:textFill>
                  <w14:solidFill>
                    <w14:schemeClr w14:val="tx1"/>
                  </w14:solidFill>
                </w14:textFill>
              </w:rPr>
              <w:t>22.03hm</w:t>
            </w:r>
            <w:r>
              <w:rPr>
                <w:rFonts w:hint="default" w:ascii="Times New Roman" w:hAnsi="Times New Roman" w:cs="Times New Roman"/>
                <w:color w:val="000000" w:themeColor="text1"/>
                <w:kern w:val="0"/>
                <w:sz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。本</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项目临时占地均不在河道设置，且不在饮用水水源保护区一</w:t>
            </w:r>
            <w:r>
              <w:rPr>
                <w:rFonts w:hint="default" w:ascii="Times New Roman" w:hAnsi="Times New Roman" w:cs="Times New Roman"/>
                <w:snapToGrid w:val="0"/>
                <w:color w:val="000000" w:themeColor="text1"/>
                <w:kern w:val="0"/>
                <w:sz w:val="24"/>
                <w:szCs w:val="24"/>
                <w:highlight w:val="none"/>
                <w:lang w:val="en-US" w:eastAsia="zh-CN"/>
                <w14:textFill>
                  <w14:solidFill>
                    <w14:schemeClr w14:val="tx1"/>
                  </w14:solidFill>
                </w14:textFill>
              </w:rPr>
              <w:t>、二</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级保护区内设置。</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详见表</w:t>
            </w:r>
            <w:r>
              <w:rPr>
                <w:rFonts w:hint="default" w:ascii="Times New Roman" w:hAnsi="Times New Roman" w:cs="Times New Roman"/>
                <w:color w:val="000000" w:themeColor="text1"/>
                <w:kern w:val="0"/>
                <w:sz w:val="24"/>
                <w:lang w:val="en-US" w:eastAsia="zh-CN"/>
                <w14:textFill>
                  <w14:solidFill>
                    <w14:schemeClr w14:val="tx1"/>
                  </w14:solidFill>
                </w14:textFill>
              </w:rPr>
              <w:t>2-5</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14:textFill>
                  <w14:solidFill>
                    <w14:schemeClr w14:val="tx1"/>
                  </w14:solidFill>
                </w14:textFill>
              </w:rPr>
              <w:t>表2-</w:t>
            </w:r>
            <w:r>
              <w:rPr>
                <w:rFonts w:hint="default" w:ascii="Times New Roman" w:hAnsi="Times New Roman" w:cs="Times New Roman"/>
                <w:b/>
                <w:bCs/>
                <w:color w:val="000000" w:themeColor="text1"/>
                <w:kern w:val="0"/>
                <w:sz w:val="24"/>
                <w:lang w:val="en-US" w:eastAsia="zh-CN"/>
                <w14:textFill>
                  <w14:solidFill>
                    <w14:schemeClr w14:val="tx1"/>
                  </w14:solidFill>
                </w14:textFill>
              </w:rPr>
              <w:t>5</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14:textFill>
                  <w14:solidFill>
                    <w14:schemeClr w14:val="tx1"/>
                  </w14:solidFill>
                </w14:textFill>
              </w:rPr>
              <w:t>本项目</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工程占地一览表</w:t>
            </w:r>
          </w:p>
          <w:tbl>
            <w:tblPr>
              <w:tblStyle w:val="48"/>
              <w:tblW w:w="4985"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2"/>
              <w:gridCol w:w="1399"/>
              <w:gridCol w:w="2438"/>
              <w:gridCol w:w="1838"/>
              <w:gridCol w:w="164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jc w:val="center"/>
              </w:trPr>
              <w:tc>
                <w:tcPr>
                  <w:tcW w:w="4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5"/>
                      <w:sz w:val="21"/>
                      <w:szCs w:val="21"/>
                      <w14:textFill>
                        <w14:solidFill>
                          <w14:schemeClr w14:val="tx1"/>
                        </w14:solidFill>
                      </w14:textFill>
                    </w:rPr>
                    <w:t>序号</w:t>
                  </w:r>
                </w:p>
              </w:tc>
              <w:tc>
                <w:tcPr>
                  <w:tcW w:w="8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11"/>
                      <w:sz w:val="21"/>
                      <w:szCs w:val="21"/>
                      <w14:textFill>
                        <w14:solidFill>
                          <w14:schemeClr w14:val="tx1"/>
                        </w14:solidFill>
                      </w14:textFill>
                    </w:rPr>
                    <w:t>占地形式</w:t>
                  </w:r>
                </w:p>
              </w:tc>
              <w:tc>
                <w:tcPr>
                  <w:tcW w:w="14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11"/>
                      <w:sz w:val="21"/>
                      <w:szCs w:val="21"/>
                      <w14:textFill>
                        <w14:solidFill>
                          <w14:schemeClr w14:val="tx1"/>
                        </w14:solidFill>
                      </w14:textFill>
                    </w:rPr>
                    <w:t>占地组成</w:t>
                  </w:r>
                </w:p>
              </w:tc>
              <w:tc>
                <w:tcPr>
                  <w:tcW w:w="11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6"/>
                      <w:sz w:val="21"/>
                      <w:szCs w:val="21"/>
                      <w14:textFill>
                        <w14:solidFill>
                          <w14:schemeClr w14:val="tx1"/>
                        </w14:solidFill>
                      </w14:textFill>
                    </w:rPr>
                    <w:t>占地面积（</w:t>
                  </w:r>
                  <w:r>
                    <w:rPr>
                      <w:rFonts w:hint="default" w:ascii="Times New Roman" w:hAnsi="Times New Roman" w:cs="Times New Roman"/>
                      <w:color w:val="000000" w:themeColor="text1"/>
                      <w:lang w:val="en-US" w:eastAsia="zh-CN"/>
                      <w14:textFill>
                        <w14:solidFill>
                          <w14:schemeClr w14:val="tx1"/>
                        </w14:solidFill>
                      </w14:textFill>
                    </w:rPr>
                    <w:t>hm</w:t>
                  </w:r>
                  <w:r>
                    <w:rPr>
                      <w:rFonts w:hint="default" w:ascii="Times New Roman" w:hAnsi="Times New Roman" w:cs="Times New Roman"/>
                      <w:color w:val="000000" w:themeColor="text1"/>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pacing w:val="-6"/>
                      <w:sz w:val="21"/>
                      <w:szCs w:val="21"/>
                      <w14:textFill>
                        <w14:solidFill>
                          <w14:schemeClr w14:val="tx1"/>
                        </w14:solidFill>
                      </w14:textFill>
                    </w:rPr>
                    <w:t>）</w:t>
                  </w:r>
                </w:p>
              </w:tc>
              <w:tc>
                <w:tcPr>
                  <w:tcW w:w="10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11"/>
                      <w:sz w:val="21"/>
                      <w:szCs w:val="21"/>
                      <w14:textFill>
                        <w14:solidFill>
                          <w14:schemeClr w14:val="tx1"/>
                        </w14:solidFill>
                      </w14:textFill>
                    </w:rPr>
                    <w:t>占地类型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 w:hRule="atLeast"/>
                <w:jc w:val="center"/>
              </w:trPr>
              <w:tc>
                <w:tcPr>
                  <w:tcW w:w="4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imes New Roman"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w:t>
                  </w:r>
                </w:p>
              </w:tc>
              <w:tc>
                <w:tcPr>
                  <w:tcW w:w="8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3"/>
                      <w:sz w:val="21"/>
                      <w:szCs w:val="21"/>
                      <w14:textFill>
                        <w14:solidFill>
                          <w14:schemeClr w14:val="tx1"/>
                        </w14:solidFill>
                      </w14:textFill>
                    </w:rPr>
                    <w:t>永久占地</w:t>
                  </w:r>
                </w:p>
              </w:tc>
              <w:tc>
                <w:tcPr>
                  <w:tcW w:w="14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pacing w:val="-2"/>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2"/>
                      <w:sz w:val="21"/>
                      <w:szCs w:val="21"/>
                      <w:lang w:val="en-US" w:eastAsia="zh-CN"/>
                      <w14:textFill>
                        <w14:solidFill>
                          <w14:schemeClr w14:val="tx1"/>
                        </w14:solidFill>
                      </w14:textFill>
                    </w:rPr>
                    <w:t>净水厂厂区</w:t>
                  </w:r>
                </w:p>
              </w:tc>
              <w:tc>
                <w:tcPr>
                  <w:tcW w:w="11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pacing w:val="-3"/>
                      <w:kern w:val="2"/>
                      <w:sz w:val="21"/>
                      <w:szCs w:val="21"/>
                      <w:lang w:val="en-US" w:eastAsia="zh-CN" w:bidi="ar-SA"/>
                      <w14:textFill>
                        <w14:solidFill>
                          <w14:schemeClr w14:val="tx1"/>
                        </w14:solidFill>
                      </w14:textFill>
                    </w:rPr>
                  </w:pPr>
                  <w:r>
                    <w:rPr>
                      <w:rFonts w:hint="default" w:ascii="Times New Roman" w:hAnsi="Times New Roman" w:cs="Times New Roman"/>
                      <w:b w:val="0"/>
                      <w:bCs w:val="0"/>
                      <w:color w:val="000000" w:themeColor="text1"/>
                      <w:spacing w:val="-3"/>
                      <w:sz w:val="21"/>
                      <w:szCs w:val="21"/>
                      <w:lang w:val="en-US" w:eastAsia="zh-CN"/>
                      <w14:textFill>
                        <w14:solidFill>
                          <w14:schemeClr w14:val="tx1"/>
                        </w14:solidFill>
                      </w14:textFill>
                    </w:rPr>
                    <w:t>1.97</w:t>
                  </w:r>
                </w:p>
              </w:tc>
              <w:tc>
                <w:tcPr>
                  <w:tcW w:w="10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pacing w:val="-3"/>
                      <w:kern w:val="2"/>
                      <w:sz w:val="21"/>
                      <w:szCs w:val="21"/>
                      <w:lang w:val="en-US" w:eastAsia="zh-CN" w:bidi="ar-SA"/>
                      <w14:textFill>
                        <w14:solidFill>
                          <w14:schemeClr w14:val="tx1"/>
                        </w14:solidFill>
                      </w14:textFill>
                    </w:rPr>
                  </w:pPr>
                  <w:r>
                    <w:rPr>
                      <w:rFonts w:hint="default" w:ascii="Times New Roman" w:hAnsi="Times New Roman" w:cs="Times New Roman"/>
                      <w:b w:val="0"/>
                      <w:bCs w:val="0"/>
                      <w:color w:val="000000" w:themeColor="text1"/>
                      <w:spacing w:val="-3"/>
                      <w:sz w:val="21"/>
                      <w:szCs w:val="21"/>
                      <w:lang w:val="en-US" w:eastAsia="zh-CN"/>
                      <w14:textFill>
                        <w14:solidFill>
                          <w14:schemeClr w14:val="tx1"/>
                        </w14:solidFill>
                      </w14:textFill>
                    </w:rPr>
                    <w:t>工业用地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 w:hRule="atLeast"/>
                <w:jc w:val="center"/>
              </w:trPr>
              <w:tc>
                <w:tcPr>
                  <w:tcW w:w="4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w:t>
                  </w:r>
                </w:p>
              </w:tc>
              <w:tc>
                <w:tcPr>
                  <w:tcW w:w="85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6"/>
                      <w:sz w:val="21"/>
                      <w:szCs w:val="21"/>
                      <w14:textFill>
                        <w14:solidFill>
                          <w14:schemeClr w14:val="tx1"/>
                        </w14:solidFill>
                      </w14:textFill>
                    </w:rPr>
                    <w:t>临时占地</w:t>
                  </w:r>
                </w:p>
              </w:tc>
              <w:tc>
                <w:tcPr>
                  <w:tcW w:w="14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pacing w:val="-2"/>
                      <w:kern w:val="2"/>
                      <w:sz w:val="21"/>
                      <w:szCs w:val="21"/>
                      <w:lang w:val="en-US" w:eastAsia="zh-CN" w:bidi="ar-SA"/>
                      <w14:textFill>
                        <w14:solidFill>
                          <w14:schemeClr w14:val="tx1"/>
                        </w14:solidFill>
                      </w14:textFill>
                    </w:rPr>
                  </w:pPr>
                  <w:r>
                    <w:rPr>
                      <w:rFonts w:hint="default" w:ascii="Times New Roman" w:hAnsi="Times New Roman" w:cs="Times New Roman"/>
                      <w:b w:val="0"/>
                      <w:bCs w:val="0"/>
                      <w:color w:val="000000" w:themeColor="text1"/>
                      <w:spacing w:val="-2"/>
                      <w:sz w:val="21"/>
                      <w:szCs w:val="21"/>
                      <w:lang w:val="en-US" w:eastAsia="zh-CN"/>
                      <w14:textFill>
                        <w14:solidFill>
                          <w14:schemeClr w14:val="tx1"/>
                        </w14:solidFill>
                      </w14:textFill>
                    </w:rPr>
                    <w:t>临时管线工程区</w:t>
                  </w:r>
                </w:p>
              </w:tc>
              <w:tc>
                <w:tcPr>
                  <w:tcW w:w="11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pacing w:val="-3"/>
                      <w:kern w:val="2"/>
                      <w:sz w:val="21"/>
                      <w:szCs w:val="21"/>
                      <w:lang w:val="en-US" w:eastAsia="zh-CN" w:bidi="ar-SA"/>
                      <w14:textFill>
                        <w14:solidFill>
                          <w14:schemeClr w14:val="tx1"/>
                        </w14:solidFill>
                      </w14:textFill>
                    </w:rPr>
                  </w:pPr>
                  <w:r>
                    <w:rPr>
                      <w:rFonts w:hint="default" w:ascii="Times New Roman" w:hAnsi="Times New Roman" w:cs="Times New Roman"/>
                      <w:b w:val="0"/>
                      <w:bCs w:val="0"/>
                      <w:color w:val="000000" w:themeColor="text1"/>
                      <w:spacing w:val="-3"/>
                      <w:kern w:val="2"/>
                      <w:sz w:val="21"/>
                      <w:szCs w:val="21"/>
                      <w:lang w:val="en-US" w:eastAsia="zh-CN" w:bidi="ar-SA"/>
                      <w14:textFill>
                        <w14:solidFill>
                          <w14:schemeClr w14:val="tx1"/>
                        </w14:solidFill>
                      </w14:textFill>
                    </w:rPr>
                    <w:t>17.3</w:t>
                  </w:r>
                </w:p>
              </w:tc>
              <w:tc>
                <w:tcPr>
                  <w:tcW w:w="10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pacing w:val="-3"/>
                      <w:kern w:val="2"/>
                      <w:sz w:val="21"/>
                      <w:szCs w:val="21"/>
                      <w:lang w:val="en-US" w:eastAsia="zh-CN" w:bidi="ar-SA"/>
                      <w14:textFill>
                        <w14:solidFill>
                          <w14:schemeClr w14:val="tx1"/>
                        </w14:solidFill>
                      </w14:textFill>
                    </w:rPr>
                  </w:pPr>
                  <w:r>
                    <w:rPr>
                      <w:rFonts w:hint="default" w:ascii="Times New Roman" w:hAnsi="Times New Roman" w:cs="Times New Roman"/>
                      <w:b w:val="0"/>
                      <w:bCs w:val="0"/>
                      <w:color w:val="000000" w:themeColor="text1"/>
                      <w:spacing w:val="-3"/>
                      <w:sz w:val="21"/>
                      <w:szCs w:val="21"/>
                      <w:lang w:val="en-US" w:eastAsia="zh-CN"/>
                      <w14:textFill>
                        <w14:solidFill>
                          <w14:schemeClr w14:val="tx1"/>
                        </w14:solidFill>
                      </w14:textFill>
                    </w:rPr>
                    <w:t>耕地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4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3</w:t>
                  </w:r>
                </w:p>
              </w:tc>
              <w:tc>
                <w:tcPr>
                  <w:tcW w:w="85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4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pacing w:val="-2"/>
                      <w:sz w:val="21"/>
                      <w:szCs w:val="21"/>
                      <w:lang w:eastAsia="zh-CN"/>
                      <w14:textFill>
                        <w14:solidFill>
                          <w14:schemeClr w14:val="tx1"/>
                        </w14:solidFill>
                      </w14:textFill>
                    </w:rPr>
                  </w:pPr>
                  <w:r>
                    <w:rPr>
                      <w:rFonts w:hint="default" w:ascii="Times New Roman" w:hAnsi="Times New Roman" w:cs="Times New Roman"/>
                      <w:b w:val="0"/>
                      <w:bCs w:val="0"/>
                      <w:color w:val="000000" w:themeColor="text1"/>
                      <w:spacing w:val="-2"/>
                      <w:sz w:val="21"/>
                      <w:szCs w:val="21"/>
                      <w:lang w:val="en-US" w:eastAsia="zh-CN"/>
                      <w14:textFill>
                        <w14:solidFill>
                          <w14:schemeClr w14:val="tx1"/>
                        </w14:solidFill>
                      </w14:textFill>
                    </w:rPr>
                    <w:t>临时施工便道区</w:t>
                  </w:r>
                </w:p>
              </w:tc>
              <w:tc>
                <w:tcPr>
                  <w:tcW w:w="11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pacing w:val="-3"/>
                      <w:sz w:val="21"/>
                      <w:szCs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2.73</w:t>
                  </w:r>
                </w:p>
              </w:tc>
              <w:tc>
                <w:tcPr>
                  <w:tcW w:w="10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pacing w:val="-3"/>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pacing w:val="-3"/>
                      <w:sz w:val="21"/>
                      <w:szCs w:val="21"/>
                      <w:lang w:val="en-US" w:eastAsia="zh-CN"/>
                      <w14:textFill>
                        <w14:solidFill>
                          <w14:schemeClr w14:val="tx1"/>
                        </w14:solidFill>
                      </w14:textFill>
                    </w:rPr>
                    <w:t>耕地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4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4</w:t>
                  </w:r>
                </w:p>
              </w:tc>
              <w:tc>
                <w:tcPr>
                  <w:tcW w:w="85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pacing w:val="-6"/>
                      <w:sz w:val="21"/>
                      <w:szCs w:val="21"/>
                      <w14:textFill>
                        <w14:solidFill>
                          <w14:schemeClr w14:val="tx1"/>
                        </w14:solidFill>
                      </w14:textFill>
                    </w:rPr>
                  </w:pPr>
                </w:p>
              </w:tc>
              <w:tc>
                <w:tcPr>
                  <w:tcW w:w="14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pacing w:val="-2"/>
                      <w:kern w:val="2"/>
                      <w:sz w:val="21"/>
                      <w:szCs w:val="21"/>
                      <w:lang w:val="en-US" w:eastAsia="zh-CN" w:bidi="ar-SA"/>
                      <w14:textFill>
                        <w14:solidFill>
                          <w14:schemeClr w14:val="tx1"/>
                        </w14:solidFill>
                      </w14:textFill>
                    </w:rPr>
                  </w:pPr>
                  <w:r>
                    <w:rPr>
                      <w:rFonts w:hint="default" w:ascii="Times New Roman" w:hAnsi="Times New Roman" w:cs="Times New Roman"/>
                      <w:b w:val="0"/>
                      <w:bCs w:val="0"/>
                      <w:color w:val="000000" w:themeColor="text1"/>
                      <w:spacing w:val="-2"/>
                      <w:sz w:val="21"/>
                      <w:szCs w:val="21"/>
                      <w:lang w:val="en-US" w:eastAsia="zh-CN"/>
                      <w14:textFill>
                        <w14:solidFill>
                          <w14:schemeClr w14:val="tx1"/>
                        </w14:solidFill>
                      </w14:textFill>
                    </w:rPr>
                    <w:t>临时施工生产生活区</w:t>
                  </w:r>
                </w:p>
              </w:tc>
              <w:tc>
                <w:tcPr>
                  <w:tcW w:w="11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pacing w:val="-3"/>
                      <w:kern w:val="2"/>
                      <w:sz w:val="21"/>
                      <w:szCs w:val="21"/>
                      <w:lang w:val="en-US" w:eastAsia="zh-CN" w:bidi="ar-SA"/>
                      <w14:textFill>
                        <w14:solidFill>
                          <w14:schemeClr w14:val="tx1"/>
                        </w14:solidFill>
                      </w14:textFill>
                    </w:rPr>
                  </w:pPr>
                  <w:r>
                    <w:rPr>
                      <w:rFonts w:hint="default" w:ascii="Times New Roman" w:hAnsi="Times New Roman" w:cs="Times New Roman"/>
                      <w:b w:val="0"/>
                      <w:bCs w:val="0"/>
                      <w:color w:val="000000" w:themeColor="text1"/>
                      <w:spacing w:val="-3"/>
                      <w:sz w:val="21"/>
                      <w:szCs w:val="21"/>
                      <w:lang w:val="en-US" w:eastAsia="zh-CN"/>
                      <w14:textFill>
                        <w14:solidFill>
                          <w14:schemeClr w14:val="tx1"/>
                        </w14:solidFill>
                      </w14:textFill>
                    </w:rPr>
                    <w:t>1.2</w:t>
                  </w:r>
                </w:p>
              </w:tc>
              <w:tc>
                <w:tcPr>
                  <w:tcW w:w="10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pacing w:val="-3"/>
                      <w:kern w:val="2"/>
                      <w:sz w:val="21"/>
                      <w:szCs w:val="21"/>
                      <w:lang w:val="en-US" w:eastAsia="zh-CN" w:bidi="ar-SA"/>
                      <w14:textFill>
                        <w14:solidFill>
                          <w14:schemeClr w14:val="tx1"/>
                        </w14:solidFill>
                      </w14:textFill>
                    </w:rPr>
                  </w:pPr>
                  <w:r>
                    <w:rPr>
                      <w:rFonts w:hint="default" w:ascii="Times New Roman" w:hAnsi="Times New Roman" w:cs="Times New Roman"/>
                      <w:b w:val="0"/>
                      <w:bCs w:val="0"/>
                      <w:color w:val="000000" w:themeColor="text1"/>
                      <w:spacing w:val="-3"/>
                      <w:sz w:val="21"/>
                      <w:szCs w:val="21"/>
                      <w:lang w:val="en-US" w:eastAsia="zh-CN"/>
                      <w14:textFill>
                        <w14:solidFill>
                          <w14:schemeClr w14:val="tx1"/>
                        </w14:solidFill>
                      </w14:textFill>
                    </w:rPr>
                    <w:t>耕地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4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5</w:t>
                  </w:r>
                </w:p>
              </w:tc>
              <w:tc>
                <w:tcPr>
                  <w:tcW w:w="85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pacing w:val="-6"/>
                      <w:sz w:val="21"/>
                      <w:szCs w:val="21"/>
                      <w14:textFill>
                        <w14:solidFill>
                          <w14:schemeClr w14:val="tx1"/>
                        </w14:solidFill>
                      </w14:textFill>
                    </w:rPr>
                  </w:pPr>
                </w:p>
              </w:tc>
              <w:tc>
                <w:tcPr>
                  <w:tcW w:w="14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pacing w:val="-2"/>
                      <w:kern w:val="2"/>
                      <w:sz w:val="21"/>
                      <w:szCs w:val="21"/>
                      <w:lang w:val="en-US" w:eastAsia="zh-CN" w:bidi="ar-SA"/>
                      <w14:textFill>
                        <w14:solidFill>
                          <w14:schemeClr w14:val="tx1"/>
                        </w14:solidFill>
                      </w14:textFill>
                    </w:rPr>
                  </w:pPr>
                  <w:r>
                    <w:rPr>
                      <w:rFonts w:hint="default" w:ascii="Times New Roman" w:hAnsi="Times New Roman" w:cs="Times New Roman"/>
                      <w:b w:val="0"/>
                      <w:bCs w:val="0"/>
                      <w:color w:val="000000" w:themeColor="text1"/>
                      <w:spacing w:val="-2"/>
                      <w:sz w:val="21"/>
                      <w:szCs w:val="21"/>
                      <w:lang w:val="en-US" w:eastAsia="zh-CN"/>
                      <w14:textFill>
                        <w14:solidFill>
                          <w14:schemeClr w14:val="tx1"/>
                        </w14:solidFill>
                      </w14:textFill>
                    </w:rPr>
                    <w:t>临时材料堆放场</w:t>
                  </w:r>
                </w:p>
              </w:tc>
              <w:tc>
                <w:tcPr>
                  <w:tcW w:w="11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pacing w:val="-3"/>
                      <w:kern w:val="2"/>
                      <w:sz w:val="21"/>
                      <w:szCs w:val="21"/>
                      <w:lang w:val="en-US" w:eastAsia="zh-CN" w:bidi="ar-SA"/>
                      <w14:textFill>
                        <w14:solidFill>
                          <w14:schemeClr w14:val="tx1"/>
                        </w14:solidFill>
                      </w14:textFill>
                    </w:rPr>
                  </w:pPr>
                  <w:r>
                    <w:rPr>
                      <w:rFonts w:hint="default" w:ascii="Times New Roman" w:hAnsi="Times New Roman" w:cs="Times New Roman"/>
                      <w:b w:val="0"/>
                      <w:bCs w:val="0"/>
                      <w:color w:val="000000" w:themeColor="text1"/>
                      <w:spacing w:val="-3"/>
                      <w:sz w:val="21"/>
                      <w:szCs w:val="21"/>
                      <w:lang w:val="en-US" w:eastAsia="zh-CN"/>
                      <w14:textFill>
                        <w14:solidFill>
                          <w14:schemeClr w14:val="tx1"/>
                        </w14:solidFill>
                      </w14:textFill>
                    </w:rPr>
                    <w:t>0.8</w:t>
                  </w:r>
                </w:p>
              </w:tc>
              <w:tc>
                <w:tcPr>
                  <w:tcW w:w="10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pacing w:val="-3"/>
                      <w:kern w:val="2"/>
                      <w:sz w:val="21"/>
                      <w:szCs w:val="21"/>
                      <w:lang w:val="en-US" w:eastAsia="zh-CN" w:bidi="ar-SA"/>
                      <w14:textFill>
                        <w14:solidFill>
                          <w14:schemeClr w14:val="tx1"/>
                        </w14:solidFill>
                      </w14:textFill>
                    </w:rPr>
                  </w:pPr>
                  <w:r>
                    <w:rPr>
                      <w:rFonts w:hint="default" w:ascii="Times New Roman" w:hAnsi="Times New Roman" w:cs="Times New Roman"/>
                      <w:b w:val="0"/>
                      <w:bCs w:val="0"/>
                      <w:color w:val="000000" w:themeColor="text1"/>
                      <w:spacing w:val="-3"/>
                      <w:sz w:val="21"/>
                      <w:szCs w:val="21"/>
                      <w:lang w:val="en-US" w:eastAsia="zh-CN"/>
                      <w14:textFill>
                        <w14:solidFill>
                          <w14:schemeClr w14:val="tx1"/>
                        </w14:solidFill>
                      </w14:textFill>
                    </w:rPr>
                    <w:t>耕地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2857"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5"/>
                      <w:sz w:val="21"/>
                      <w:szCs w:val="21"/>
                      <w14:textFill>
                        <w14:solidFill>
                          <w14:schemeClr w14:val="tx1"/>
                        </w14:solidFill>
                      </w14:textFill>
                    </w:rPr>
                    <w:t>合计</w:t>
                  </w:r>
                </w:p>
              </w:tc>
              <w:tc>
                <w:tcPr>
                  <w:tcW w:w="11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24</w:t>
                  </w:r>
                </w:p>
              </w:tc>
              <w:tc>
                <w:tcPr>
                  <w:tcW w:w="10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14:textFill>
                        <w14:solidFill>
                          <w14:schemeClr w14:val="tx1"/>
                        </w14:solidFill>
                      </w14:textFill>
                    </w:rPr>
                  </w:pPr>
                  <w:r>
                    <w:rPr>
                      <w:rFonts w:hint="default" w:ascii="Times New Roman" w:hAnsi="Times New Roman" w:cs="Times New Roman"/>
                      <w:b w:val="0"/>
                      <w:bCs w:val="0"/>
                      <w:color w:val="000000" w:themeColor="text1"/>
                      <w:spacing w:val="-3"/>
                      <w:sz w:val="21"/>
                      <w:szCs w:val="21"/>
                      <w:lang w:val="en-US" w:eastAsia="zh-CN"/>
                      <w14:textFill>
                        <w14:solidFill>
                          <w14:schemeClr w14:val="tx1"/>
                        </w14:solidFill>
                      </w14:textFill>
                    </w:rPr>
                    <w:t>-</w:t>
                  </w:r>
                </w:p>
              </w:tc>
            </w:tr>
          </w:tbl>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本项目生产安置方式全部为自主安置。本项目范围内，没有需要解决居住条件的农村移民安置人口，故不做搬迁安置规划。</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7、施工组织设计</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（1）施工条件</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本项目位于宝鸡市陇县东风镇、温水镇、城关镇等镇，管线沿线有陇千南线、千邑路、店柴路等，交通条件十分便利，便于本项目施工。工程建设所需水泥、钢筋等均可从区县购买，泥沙、木材、石料可从就近乡镇采购，施工机械可直接进入施工现场。</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（2）场内交通</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本项目在取水点至净水厂段沿管线沟槽边新建1条施工便道，其余利用原有施工便道，施工过程占压施工便道度约7800m，宽度为3.5m，</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现场施工临时道路占地面积为2.73hm</w:t>
            </w:r>
            <w:r>
              <w:rPr>
                <w:rFonts w:hint="default" w:ascii="Times New Roman" w:hAnsi="Times New Roman" w:eastAsia="宋体" w:cs="Times New Roman"/>
                <w:color w:val="000000" w:themeColor="text1"/>
                <w:kern w:val="0"/>
                <w:sz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。采用砂砾石路面，施工结束后恢复原貌。</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（3）建材、水、电等供应条件及修配加工条件</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1）建筑材料</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工程包含管道、阀井、镇墩施工等，工程所需水泥、钢筋、木材、砖、铁丝、玻璃、油料等建筑材料可在城区购买。块石料及粗细骨料应选用当地合格的料源。输水管材和机电设备进行公开招标，由定点厂家提供。</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2）施工用水、用电</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施工及生活用水就近从村庄引用。</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施工用电采用从外部线路引入，配备柴油发电机作为备用。管线施工用电从区县就近的电网引入工地现场。本项目实施区内电网密布。</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工程所在区域邮电通讯极为发达，有线电话进入全国自动网络，移动、联通等诸家通讯网络交织，可随时随地与全国各地乃至世界各国进行通话、网络。</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3）机械修配加工及劳动力</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本项目施工所用机械设备利用区县修配厂进行修配。陇县的服务设施，可满足食品供应、医疗等生活需求。</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4）施工临建</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本项目施工线路较长，沿引水管线共设置24个施工生产生活区，每个施工生产生活区500</w:t>
            </w:r>
            <w:r>
              <w:rPr>
                <w:rFonts w:hint="default" w:ascii="Times New Roman" w:hAnsi="Times New Roman" w:cs="Times New Roman"/>
                <w:color w:val="000000" w:themeColor="text1"/>
                <w:sz w:val="24"/>
                <w:szCs w:val="24"/>
                <w:lang w:val="en-US" w:eastAsia="zh-CN"/>
                <w14:textFill>
                  <w14:solidFill>
                    <w14:schemeClr w14:val="tx1"/>
                  </w14:solidFill>
                </w14:textFill>
              </w:rPr>
              <w:t>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cs="Times New Roman"/>
                <w:color w:val="000000" w:themeColor="text1"/>
                <w:kern w:val="0"/>
                <w:sz w:val="24"/>
                <w:lang w:val="en-US" w:eastAsia="zh-CN"/>
                <w14:textFill>
                  <w14:solidFill>
                    <w14:schemeClr w14:val="tx1"/>
                  </w14:solidFill>
                </w14:textFill>
              </w:rPr>
              <w:t>。本项目共布设16个材料堆放场，每个材料堆放场地面积为500</w:t>
            </w:r>
            <w:r>
              <w:rPr>
                <w:rFonts w:hint="default" w:ascii="Times New Roman" w:hAnsi="Times New Roman" w:cs="Times New Roman"/>
                <w:color w:val="000000" w:themeColor="text1"/>
                <w:sz w:val="24"/>
                <w:szCs w:val="24"/>
                <w:lang w:val="en-US" w:eastAsia="zh-CN"/>
                <w14:textFill>
                  <w14:solidFill>
                    <w14:schemeClr w14:val="tx1"/>
                  </w14:solidFill>
                </w14:textFill>
              </w:rPr>
              <w:t>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cs="Times New Roman"/>
                <w:color w:val="000000" w:themeColor="text1"/>
                <w:kern w:val="0"/>
                <w:sz w:val="24"/>
                <w:lang w:val="en-US" w:eastAsia="zh-CN"/>
                <w14:textFill>
                  <w14:solidFill>
                    <w14:schemeClr w14:val="tx1"/>
                  </w14:solidFill>
                </w14:textFill>
              </w:rPr>
              <w:t>，总占地面积为8000</w:t>
            </w:r>
            <w:r>
              <w:rPr>
                <w:rFonts w:hint="default" w:ascii="Times New Roman" w:hAnsi="Times New Roman" w:cs="Times New Roman"/>
                <w:color w:val="000000" w:themeColor="text1"/>
                <w:sz w:val="24"/>
                <w:szCs w:val="24"/>
                <w:lang w:val="en-US" w:eastAsia="zh-CN"/>
                <w14:textFill>
                  <w14:solidFill>
                    <w14:schemeClr w14:val="tx1"/>
                  </w14:solidFill>
                </w14:textFill>
              </w:rPr>
              <w:t>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cs="Times New Roman"/>
                <w:color w:val="000000" w:themeColor="text1"/>
                <w:kern w:val="0"/>
                <w:sz w:val="24"/>
                <w:lang w:val="en-US"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5）天然建筑材料</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本项目所需填料为土料和砂料，其中土方回填尽量采用开挖的土料回填，即可以利用施工中管床基础的开挖土料，不足部分可就近开挖解决；砂石料料场选择主要遵循质量优良、经济和就地取材的原则。</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据调查，本项目区内土料分布广泛，厚度大，储量丰富，土料质量、储量均可满足工程要求，且交通条件较好。</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本项目工程建设所需砂子、石料可从陇县县城采购。</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本项目所需管材可统一进行招标采购；柴油、汽油、钢材、水泥等材料，就近从陇县县城购买。</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①土料</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本项目土料主要是用于管道回填及地基压实处理，选用开挖土作为回填土料。开挖土主要为壤土及黄土，可就近开挖回填。</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②砂砾料</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本项目选择千河河道曹家湾至神泉大桥段作为砂砾料场，料场为河漫滩，呈带状分布，宽度约210m，长度大于1000m，可开釆厚度大于2.0m，储量大于 20万m</w:t>
            </w:r>
            <w:r>
              <w:rPr>
                <w:rFonts w:hint="default" w:ascii="Times New Roman" w:hAnsi="Times New Roman" w:cs="Times New Roman"/>
                <w:color w:val="000000" w:themeColor="text1"/>
                <w:kern w:val="0"/>
                <w:sz w:val="24"/>
                <w:vertAlign w:val="superscript"/>
                <w:lang w:val="en-US" w:eastAsia="zh-CN"/>
                <w14:textFill>
                  <w14:solidFill>
                    <w14:schemeClr w14:val="tx1"/>
                  </w14:solidFill>
                </w14:textFill>
              </w:rPr>
              <w:t>3</w:t>
            </w:r>
            <w:r>
              <w:rPr>
                <w:rFonts w:hint="default" w:ascii="Times New Roman" w:hAnsi="Times New Roman" w:cs="Times New Roman"/>
                <w:color w:val="000000" w:themeColor="text1"/>
                <w:kern w:val="0"/>
                <w:sz w:val="24"/>
                <w:lang w:val="en-US" w:eastAsia="zh-CN"/>
                <w14:textFill>
                  <w14:solidFill>
                    <w14:schemeClr w14:val="tx1"/>
                  </w14:solidFill>
                </w14:textFill>
              </w:rPr>
              <w:t>。地下水位埋深一般0.5m~1.0m。卵砾石成分以灰岩、砂岩为主，粗砂充填。砂料场距离工程区平均运距约10km，有县级公路通行，交通运输条件较好。</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③石料</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本项目所选石料场位于位于陇县火烧寨乡花园村附近，岩性为白云质灰岩，厚层状~块状，成材率较高。料场距离工程中点距离约45km，有县级公路通行，交通运输条件较好。</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（4）</w:t>
            </w:r>
            <w:r>
              <w:rPr>
                <w:rFonts w:hint="default" w:ascii="Times New Roman" w:hAnsi="Times New Roman" w:eastAsia="宋体" w:cs="Times New Roman"/>
                <w:color w:val="000000" w:themeColor="text1"/>
                <w:spacing w:val="-3"/>
                <w:sz w:val="24"/>
                <w:szCs w:val="24"/>
                <w:lang w:val="en-US" w:eastAsia="zh-CN"/>
                <w14:textFill>
                  <w14:solidFill>
                    <w14:schemeClr w14:val="tx1"/>
                  </w14:solidFill>
                </w14:textFill>
              </w:rPr>
              <w:t>施工组织</w:t>
            </w:r>
          </w:p>
          <w:p>
            <w:pPr>
              <w:pStyle w:val="18"/>
              <w:keepNext w:val="0"/>
              <w:keepLines w:val="0"/>
              <w:pageBreakBefore w:val="0"/>
              <w:widowControl w:val="0"/>
              <w:numPr>
                <w:ilvl w:val="0"/>
                <w:numId w:val="0"/>
              </w:numPr>
              <w:kinsoku/>
              <w:wordWrap/>
              <w:overflowPunct/>
              <w:topLinePunct w:val="0"/>
              <w:bidi w:val="0"/>
              <w:spacing w:line="360" w:lineRule="auto"/>
              <w:ind w:left="0" w:leftChars="0" w:firstLine="468" w:firstLineChars="200"/>
              <w:textAlignment w:val="auto"/>
              <w:rPr>
                <w:rFonts w:hint="default" w:ascii="Times New Roman" w:hAnsi="Times New Roman" w:eastAsia="宋体" w:cs="Times New Roman"/>
                <w:color w:val="000000" w:themeColor="text1"/>
                <w:spacing w:val="-3"/>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4"/>
                <w:szCs w:val="24"/>
                <w:lang w:val="en-US" w:eastAsia="zh-CN"/>
                <w14:textFill>
                  <w14:solidFill>
                    <w14:schemeClr w14:val="tx1"/>
                  </w14:solidFill>
                </w14:textFill>
              </w:rPr>
              <w:t>1）施工机构</w:t>
            </w:r>
          </w:p>
          <w:p>
            <w:pPr>
              <w:pStyle w:val="18"/>
              <w:keepNext w:val="0"/>
              <w:keepLines w:val="0"/>
              <w:pageBreakBefore w:val="0"/>
              <w:widowControl w:val="0"/>
              <w:numPr>
                <w:ilvl w:val="0"/>
                <w:numId w:val="0"/>
              </w:numPr>
              <w:kinsoku/>
              <w:wordWrap/>
              <w:overflowPunct/>
              <w:topLinePunct w:val="0"/>
              <w:bidi w:val="0"/>
              <w:spacing w:line="360" w:lineRule="auto"/>
              <w:ind w:left="0" w:leftChars="0" w:firstLine="468" w:firstLineChars="200"/>
              <w:textAlignment w:val="auto"/>
              <w:rPr>
                <w:rFonts w:hint="default" w:ascii="Times New Roman" w:hAnsi="Times New Roman" w:eastAsia="宋体" w:cs="Times New Roman"/>
                <w:color w:val="000000" w:themeColor="text1"/>
                <w:spacing w:val="-3"/>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3"/>
                <w:sz w:val="24"/>
                <w:szCs w:val="24"/>
                <w:lang w:eastAsia="zh-CN"/>
                <w14:textFill>
                  <w14:solidFill>
                    <w14:schemeClr w14:val="tx1"/>
                  </w14:solidFill>
                </w14:textFill>
              </w:rPr>
              <w:t>建议成立专门的工程建设指挥部及专职的监理部门，以便对全段的施工计划、财务、外购材料，施工机具设备、施工技术、质量要求，施工验收及工程决算进行统一管理，地方政府参与领导与管理，以发挥其优势与积极性。成立专职的监理机构对工程质量进行旁站监督、计量与支付，确保工程质量和工期。</w:t>
            </w:r>
          </w:p>
          <w:p>
            <w:pPr>
              <w:pStyle w:val="18"/>
              <w:keepNext w:val="0"/>
              <w:keepLines w:val="0"/>
              <w:pageBreakBefore w:val="0"/>
              <w:widowControl w:val="0"/>
              <w:numPr>
                <w:ilvl w:val="0"/>
                <w:numId w:val="0"/>
              </w:numPr>
              <w:kinsoku/>
              <w:wordWrap/>
              <w:overflowPunct/>
              <w:topLinePunct w:val="0"/>
              <w:bidi w:val="0"/>
              <w:spacing w:line="360" w:lineRule="auto"/>
              <w:ind w:left="0" w:leftChars="0" w:firstLine="468" w:firstLineChars="200"/>
              <w:textAlignment w:val="auto"/>
              <w:rPr>
                <w:rFonts w:hint="default" w:ascii="Times New Roman" w:hAnsi="Times New Roman" w:eastAsia="宋体" w:cs="Times New Roman"/>
                <w:color w:val="000000" w:themeColor="text1"/>
                <w:spacing w:val="-3"/>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4"/>
                <w:szCs w:val="24"/>
                <w:lang w:val="en-US" w:eastAsia="zh-CN"/>
                <w14:textFill>
                  <w14:solidFill>
                    <w14:schemeClr w14:val="tx1"/>
                  </w14:solidFill>
                </w14:textFill>
              </w:rPr>
              <w:t>2）施工组织安排</w:t>
            </w:r>
          </w:p>
          <w:p>
            <w:pPr>
              <w:pStyle w:val="18"/>
              <w:keepNext w:val="0"/>
              <w:keepLines w:val="0"/>
              <w:pageBreakBefore w:val="0"/>
              <w:widowControl w:val="0"/>
              <w:numPr>
                <w:ilvl w:val="0"/>
                <w:numId w:val="0"/>
              </w:numPr>
              <w:kinsoku/>
              <w:wordWrap/>
              <w:overflowPunct/>
              <w:topLinePunct w:val="0"/>
              <w:bidi w:val="0"/>
              <w:spacing w:line="360" w:lineRule="auto"/>
              <w:ind w:left="0" w:leftChars="0" w:firstLine="468" w:firstLineChars="200"/>
              <w:textAlignment w:val="auto"/>
              <w:rPr>
                <w:rFonts w:hint="default" w:ascii="Times New Roman" w:hAnsi="Times New Roman" w:eastAsia="宋体" w:cs="Times New Roman"/>
                <w:color w:val="000000" w:themeColor="text1"/>
                <w:spacing w:val="-3"/>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3"/>
                <w:sz w:val="24"/>
                <w:szCs w:val="24"/>
                <w:lang w:eastAsia="zh-CN"/>
                <w14:textFill>
                  <w14:solidFill>
                    <w14:schemeClr w14:val="tx1"/>
                  </w14:solidFill>
                </w14:textFill>
              </w:rPr>
              <w:t>建议本项目采用公开招标的方式、分合同段组织施工力量进场施工，通过工程招标可选择资质条件优良的施工队伍，保证工程质量，降低工程造价，严格的合同管理也有利于工程的实施。</w:t>
            </w:r>
          </w:p>
          <w:p>
            <w:pPr>
              <w:pStyle w:val="18"/>
              <w:keepNext w:val="0"/>
              <w:keepLines w:val="0"/>
              <w:pageBreakBefore w:val="0"/>
              <w:widowControl w:val="0"/>
              <w:numPr>
                <w:ilvl w:val="0"/>
                <w:numId w:val="0"/>
              </w:numPr>
              <w:kinsoku/>
              <w:wordWrap/>
              <w:overflowPunct/>
              <w:topLinePunct w:val="0"/>
              <w:bidi w:val="0"/>
              <w:spacing w:line="360" w:lineRule="auto"/>
              <w:ind w:left="0" w:leftChars="0" w:firstLine="468" w:firstLineChars="200"/>
              <w:textAlignment w:val="auto"/>
              <w:rPr>
                <w:rFonts w:hint="default" w:ascii="Times New Roman" w:hAnsi="Times New Roman" w:eastAsia="宋体" w:cs="Times New Roman"/>
                <w:color w:val="000000" w:themeColor="text1"/>
                <w:spacing w:val="-3"/>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4"/>
                <w:szCs w:val="24"/>
                <w:lang w:val="en-US" w:eastAsia="zh-CN"/>
                <w14:textFill>
                  <w14:solidFill>
                    <w14:schemeClr w14:val="tx1"/>
                  </w14:solidFill>
                </w14:textFill>
              </w:rPr>
              <w:t>3）施工组织实施原则</w:t>
            </w:r>
          </w:p>
          <w:p>
            <w:pPr>
              <w:pStyle w:val="18"/>
              <w:keepNext w:val="0"/>
              <w:keepLines w:val="0"/>
              <w:pageBreakBefore w:val="0"/>
              <w:widowControl w:val="0"/>
              <w:numPr>
                <w:ilvl w:val="0"/>
                <w:numId w:val="0"/>
              </w:numPr>
              <w:kinsoku/>
              <w:wordWrap/>
              <w:overflowPunct/>
              <w:topLinePunct w:val="0"/>
              <w:bidi w:val="0"/>
              <w:spacing w:line="360" w:lineRule="auto"/>
              <w:ind w:left="0" w:leftChars="0" w:firstLine="468" w:firstLineChars="200"/>
              <w:textAlignment w:val="auto"/>
              <w:rPr>
                <w:rFonts w:hint="default" w:ascii="Times New Roman" w:hAnsi="Times New Roman" w:eastAsia="宋体" w:cs="Times New Roman"/>
                <w:color w:val="000000" w:themeColor="text1"/>
                <w:spacing w:val="-3"/>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3"/>
                <w:sz w:val="24"/>
                <w:szCs w:val="24"/>
                <w:lang w:eastAsia="zh-CN"/>
                <w14:textFill>
                  <w14:solidFill>
                    <w14:schemeClr w14:val="tx1"/>
                  </w14:solidFill>
                </w14:textFill>
              </w:rPr>
              <w:t>全段施工组织应结合本项目区域内特有的气象水文。由于</w:t>
            </w:r>
            <w:r>
              <w:rPr>
                <w:rFonts w:hint="default" w:ascii="Times New Roman" w:hAnsi="Times New Roman" w:cs="Times New Roman"/>
                <w:color w:val="000000" w:themeColor="text1"/>
                <w:spacing w:val="-3"/>
                <w:sz w:val="24"/>
                <w:szCs w:val="24"/>
                <w:lang w:val="en-US" w:eastAsia="zh-CN"/>
                <w14:textFill>
                  <w14:solidFill>
                    <w14:schemeClr w14:val="tx1"/>
                  </w14:solidFill>
                </w14:textFill>
              </w:rPr>
              <w:t>本</w:t>
            </w:r>
            <w:r>
              <w:rPr>
                <w:rFonts w:hint="default" w:ascii="Times New Roman" w:hAnsi="Times New Roman" w:eastAsia="宋体" w:cs="Times New Roman"/>
                <w:color w:val="000000" w:themeColor="text1"/>
                <w:spacing w:val="-3"/>
                <w:sz w:val="24"/>
                <w:szCs w:val="24"/>
                <w:lang w:eastAsia="zh-CN"/>
                <w14:textFill>
                  <w14:solidFill>
                    <w14:schemeClr w14:val="tx1"/>
                  </w14:solidFill>
                </w14:textFill>
              </w:rPr>
              <w:t>项目区暴雨集中，所以场平工程、排水工程、基础工程，宜安排在早季施工，以避开雨季对基础工程的影响。工程应以机械创造较多的作业面同时施工或提前进场施工，以确保全段同步完工。应尽量减少</w:t>
            </w:r>
            <w:r>
              <w:rPr>
                <w:rFonts w:hint="default" w:ascii="Times New Roman" w:hAnsi="Times New Roman" w:cs="Times New Roman"/>
                <w:color w:val="000000" w:themeColor="text1"/>
                <w:spacing w:val="-3"/>
                <w:sz w:val="24"/>
                <w:szCs w:val="24"/>
                <w:lang w:val="en-US" w:eastAsia="zh-CN"/>
                <w14:textFill>
                  <w14:solidFill>
                    <w14:schemeClr w14:val="tx1"/>
                  </w14:solidFill>
                </w14:textFill>
              </w:rPr>
              <w:t>本</w:t>
            </w:r>
            <w:r>
              <w:rPr>
                <w:rFonts w:hint="default" w:ascii="Times New Roman" w:hAnsi="Times New Roman" w:eastAsia="宋体" w:cs="Times New Roman"/>
                <w:color w:val="000000" w:themeColor="text1"/>
                <w:spacing w:val="-3"/>
                <w:sz w:val="24"/>
                <w:szCs w:val="24"/>
                <w:lang w:eastAsia="zh-CN"/>
                <w14:textFill>
                  <w14:solidFill>
                    <w14:schemeClr w14:val="tx1"/>
                  </w14:solidFill>
                </w14:textFill>
              </w:rPr>
              <w:t>项目区用地范围以外的临时用地，施工机械和施工人员不得进入与施工无关的区域，以减少对周边生态的破坏。</w:t>
            </w:r>
          </w:p>
          <w:p>
            <w:pPr>
              <w:pStyle w:val="18"/>
              <w:keepNext w:val="0"/>
              <w:keepLines w:val="0"/>
              <w:pageBreakBefore w:val="0"/>
              <w:widowControl w:val="0"/>
              <w:numPr>
                <w:ilvl w:val="0"/>
                <w:numId w:val="0"/>
              </w:numPr>
              <w:kinsoku/>
              <w:wordWrap/>
              <w:overflowPunct/>
              <w:topLinePunct w:val="0"/>
              <w:bidi w:val="0"/>
              <w:spacing w:line="360" w:lineRule="auto"/>
              <w:ind w:left="0" w:leftChars="0" w:firstLine="468" w:firstLineChars="200"/>
              <w:textAlignment w:val="auto"/>
              <w:rPr>
                <w:rFonts w:hint="default" w:ascii="Times New Roman" w:hAnsi="Times New Roman" w:eastAsia="宋体" w:cs="Times New Roman"/>
                <w:color w:val="000000" w:themeColor="text1"/>
                <w:spacing w:val="-3"/>
                <w:sz w:val="24"/>
                <w:szCs w:val="24"/>
                <w:lang w:eastAsia="zh-CN"/>
                <w14:textFill>
                  <w14:solidFill>
                    <w14:schemeClr w14:val="tx1"/>
                  </w14:solidFill>
                </w14:textFill>
              </w:rPr>
            </w:pPr>
            <w:r>
              <w:rPr>
                <w:rFonts w:hint="default" w:ascii="Times New Roman" w:hAnsi="Times New Roman" w:cs="Times New Roman"/>
                <w:color w:val="000000" w:themeColor="text1"/>
                <w:spacing w:val="-3"/>
                <w:sz w:val="24"/>
                <w:szCs w:val="24"/>
                <w:lang w:val="en-US" w:eastAsia="zh-CN"/>
                <w14:textFill>
                  <w14:solidFill>
                    <w14:schemeClr w14:val="tx1"/>
                  </w14:solidFill>
                </w14:textFill>
              </w:rPr>
              <w:t>本</w:t>
            </w:r>
            <w:r>
              <w:rPr>
                <w:rFonts w:hint="default" w:ascii="Times New Roman" w:hAnsi="Times New Roman" w:eastAsia="宋体" w:cs="Times New Roman"/>
                <w:color w:val="000000" w:themeColor="text1"/>
                <w:spacing w:val="-3"/>
                <w:sz w:val="24"/>
                <w:szCs w:val="24"/>
                <w:lang w:eastAsia="zh-CN"/>
                <w14:textFill>
                  <w14:solidFill>
                    <w14:schemeClr w14:val="tx1"/>
                  </w14:solidFill>
                </w14:textFill>
              </w:rPr>
              <w:t>项目建设外部条件较好，水源、电源、交通运输和建筑材料均有保障，施工单位在施工过程中应合理优化施工组织。力争按计划保质保量完成工程，综合协调各项工程进度，使人财物力得以均衡利用，不留或少留收尾工程，最大限度的降低水土流失。</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8</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cs="Times New Roman"/>
                <w:color w:val="000000" w:themeColor="text1"/>
                <w:kern w:val="0"/>
                <w:sz w:val="24"/>
                <w:lang w:val="en-US" w:eastAsia="zh-CN"/>
                <w14:textFill>
                  <w14:solidFill>
                    <w14:schemeClr w14:val="tx1"/>
                  </w14:solidFill>
                </w14:textFill>
              </w:rPr>
              <w:t>本</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项目主要构筑物</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本项目净水厂主要构筑物参数详见表</w:t>
            </w:r>
            <w:r>
              <w:rPr>
                <w:rFonts w:hint="default" w:ascii="Times New Roman" w:hAnsi="Times New Roman" w:cs="Times New Roman"/>
                <w:color w:val="000000" w:themeColor="text1"/>
                <w:kern w:val="0"/>
                <w:sz w:val="24"/>
                <w:lang w:val="en-US" w:eastAsia="zh-CN"/>
                <w14:textFill>
                  <w14:solidFill>
                    <w14:schemeClr w14:val="tx1"/>
                  </w14:solidFill>
                </w14:textFill>
              </w:rPr>
              <w:t>2-6</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kern w:val="0"/>
                <w:sz w:val="24"/>
                <w14:textFill>
                  <w14:solidFill>
                    <w14:schemeClr w14:val="tx1"/>
                  </w14:solidFill>
                </w14:textFill>
              </w:rPr>
              <w:t>表2</w:t>
            </w:r>
            <w:r>
              <w:rPr>
                <w:rFonts w:hint="default" w:ascii="Times New Roman" w:hAnsi="Times New Roman" w:cs="Times New Roman"/>
                <w:b/>
                <w:bCs/>
                <w:color w:val="000000" w:themeColor="text1"/>
                <w:kern w:val="0"/>
                <w:sz w:val="24"/>
                <w:lang w:val="en-US" w:eastAsia="zh-CN"/>
                <w14:textFill>
                  <w14:solidFill>
                    <w14:schemeClr w14:val="tx1"/>
                  </w14:solidFill>
                </w14:textFill>
              </w:rPr>
              <w:t>-6</w:t>
            </w:r>
            <w:r>
              <w:rPr>
                <w:rFonts w:hint="default" w:ascii="Times New Roman" w:hAnsi="Times New Roman" w:eastAsia="宋体" w:cs="Times New Roman"/>
                <w:b/>
                <w:bCs/>
                <w:color w:val="000000" w:themeColor="text1"/>
                <w:kern w:val="0"/>
                <w:sz w:val="24"/>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本项目净</w:t>
            </w:r>
            <w:r>
              <w:rPr>
                <w:rFonts w:hint="default" w:ascii="Times New Roman" w:hAnsi="Times New Roman" w:eastAsia="宋体" w:cs="Times New Roman"/>
                <w:b/>
                <w:bCs/>
                <w:color w:val="000000" w:themeColor="text1"/>
                <w:kern w:val="0"/>
                <w:sz w:val="24"/>
                <w14:textFill>
                  <w14:solidFill>
                    <w14:schemeClr w14:val="tx1"/>
                  </w14:solidFill>
                </w14:textFill>
              </w:rPr>
              <w:t>水厂主要构筑物参数表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
              <w:gridCol w:w="1287"/>
              <w:gridCol w:w="1640"/>
              <w:gridCol w:w="870"/>
              <w:gridCol w:w="760"/>
              <w:gridCol w:w="680"/>
              <w:gridCol w:w="2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9" w:type="dxa"/>
                  <w:shd w:val="clear" w:color="auto" w:fill="auto"/>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序号</w:t>
                  </w:r>
                </w:p>
              </w:tc>
              <w:tc>
                <w:tcPr>
                  <w:tcW w:w="1287" w:type="dxa"/>
                  <w:shd w:val="clear" w:color="auto" w:fill="auto"/>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名称</w:t>
                  </w:r>
                </w:p>
              </w:tc>
              <w:tc>
                <w:tcPr>
                  <w:tcW w:w="1640" w:type="dxa"/>
                  <w:shd w:val="clear" w:color="auto" w:fill="auto"/>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尺寸（m）</w:t>
                  </w:r>
                </w:p>
              </w:tc>
              <w:tc>
                <w:tcPr>
                  <w:tcW w:w="870" w:type="dxa"/>
                  <w:shd w:val="clear" w:color="auto" w:fill="auto"/>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有效容积</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760" w:type="dxa"/>
                  <w:shd w:val="clear" w:color="auto" w:fill="auto"/>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结构</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形式</w:t>
                  </w:r>
                </w:p>
              </w:tc>
              <w:tc>
                <w:tcPr>
                  <w:tcW w:w="680"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数量</w:t>
                  </w:r>
                </w:p>
              </w:tc>
              <w:tc>
                <w:tcPr>
                  <w:tcW w:w="2478" w:type="dxa"/>
                  <w:shd w:val="clear" w:color="auto" w:fill="auto"/>
                  <w:vAlign w:val="center"/>
                </w:tcPr>
                <w:p>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9" w:type="dxa"/>
                  <w:shd w:val="clear" w:color="auto" w:fill="auto"/>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287" w:type="dxa"/>
                  <w:shd w:val="clear" w:color="auto" w:fill="auto"/>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综合楼</w:t>
                  </w:r>
                </w:p>
              </w:tc>
              <w:tc>
                <w:tcPr>
                  <w:tcW w:w="1640" w:type="dxa"/>
                  <w:shd w:val="clear" w:color="auto" w:fill="auto"/>
                  <w:vAlign w:val="center"/>
                </w:tcPr>
                <w:p>
                  <w:pPr>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32.4×12.9×11.0</w:t>
                  </w:r>
                </w:p>
              </w:tc>
              <w:tc>
                <w:tcPr>
                  <w:tcW w:w="870"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760" w:type="dxa"/>
                  <w:shd w:val="clear" w:color="auto" w:fill="auto"/>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框架</w:t>
                  </w:r>
                </w:p>
              </w:tc>
              <w:tc>
                <w:tcPr>
                  <w:tcW w:w="680"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1座</w:t>
                  </w:r>
                </w:p>
              </w:tc>
              <w:tc>
                <w:tcPr>
                  <w:tcW w:w="2478" w:type="dxa"/>
                  <w:shd w:val="clear" w:color="auto" w:fill="auto"/>
                  <w:vAlign w:val="center"/>
                </w:tcPr>
                <w:p>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办公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shd w:val="clear" w:color="auto" w:fill="auto"/>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进水稳压房</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12.0×5.9</w:t>
                  </w:r>
                  <w:r>
                    <w:rPr>
                      <w:rFonts w:hint="default" w:ascii="Times New Roman" w:hAnsi="Times New Roman" w:eastAsia="宋体" w:cs="Times New Roman"/>
                      <w:color w:val="000000" w:themeColor="text1"/>
                      <w:kern w:val="0"/>
                      <w:szCs w:val="21"/>
                      <w14:textFill>
                        <w14:solidFill>
                          <w14:schemeClr w14:val="tx1"/>
                        </w14:solidFill>
                      </w14:textFill>
                    </w:rPr>
                    <w:t>×</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6.2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760" w:type="dxa"/>
                  <w:shd w:val="clear" w:color="auto" w:fill="auto"/>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框架</w:t>
                  </w:r>
                </w:p>
              </w:tc>
              <w:tc>
                <w:tcPr>
                  <w:tcW w:w="680" w:type="dxa"/>
                  <w:shd w:val="clear" w:color="auto" w:fill="auto"/>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1座</w:t>
                  </w:r>
                </w:p>
              </w:tc>
              <w:tc>
                <w:tcPr>
                  <w:tcW w:w="2478" w:type="dxa"/>
                  <w:shd w:val="clear" w:color="auto" w:fill="auto"/>
                  <w:vAlign w:val="center"/>
                </w:tcPr>
                <w:p>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稳定进水压力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39" w:type="dxa"/>
                  <w:shd w:val="clear" w:color="auto" w:fill="auto"/>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净化车间</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48.0×24.0×8.0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760"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门式钢结构</w:t>
                  </w:r>
                </w:p>
              </w:tc>
              <w:tc>
                <w:tcPr>
                  <w:tcW w:w="680"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2座</w:t>
                  </w:r>
                </w:p>
              </w:tc>
              <w:tc>
                <w:tcPr>
                  <w:tcW w:w="2478" w:type="dxa"/>
                  <w:shd w:val="clear" w:color="auto" w:fill="auto"/>
                  <w:vAlign w:val="center"/>
                </w:tcPr>
                <w:p>
                  <w:pPr>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用于设置净水厂主要处理工艺的厂房。厂房内设置了高密度沉淀池和 V型滤池。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shd w:val="clear" w:color="auto" w:fill="auto"/>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泵房</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12.4×14.2 ×6.3</w:t>
                  </w:r>
                </w:p>
              </w:tc>
              <w:tc>
                <w:tcPr>
                  <w:tcW w:w="870"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760"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框架</w:t>
                  </w:r>
                </w:p>
              </w:tc>
              <w:tc>
                <w:tcPr>
                  <w:tcW w:w="680"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1座</w:t>
                  </w:r>
                </w:p>
              </w:tc>
              <w:tc>
                <w:tcPr>
                  <w:tcW w:w="2478" w:type="dxa"/>
                  <w:shd w:val="clear" w:color="auto" w:fill="auto"/>
                  <w:vAlign w:val="center"/>
                </w:tcPr>
                <w:p>
                  <w:pPr>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本项目泵房、鼓风机房、配电间合建。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鼓风机房</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6.0×12.0×4.5</w:t>
                  </w:r>
                </w:p>
              </w:tc>
              <w:tc>
                <w:tcPr>
                  <w:tcW w:w="870"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760"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框架</w:t>
                  </w:r>
                </w:p>
              </w:tc>
              <w:tc>
                <w:tcPr>
                  <w:tcW w:w="680"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1座</w:t>
                  </w:r>
                </w:p>
              </w:tc>
              <w:tc>
                <w:tcPr>
                  <w:tcW w:w="2478" w:type="dxa"/>
                  <w:shd w:val="clear" w:color="auto" w:fill="auto"/>
                  <w:vAlign w:val="center"/>
                </w:tcPr>
                <w:p>
                  <w:pPr>
                    <w:jc w:val="both"/>
                    <w:rPr>
                      <w:rFonts w:hint="default" w:ascii="Times New Roman" w:hAnsi="Times New Roman"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配电间</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17.3×12.0×4.5</w:t>
                  </w:r>
                </w:p>
              </w:tc>
              <w:tc>
                <w:tcPr>
                  <w:tcW w:w="870"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760"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框架</w:t>
                  </w:r>
                </w:p>
              </w:tc>
              <w:tc>
                <w:tcPr>
                  <w:tcW w:w="680"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1座</w:t>
                  </w:r>
                </w:p>
              </w:tc>
              <w:tc>
                <w:tcPr>
                  <w:tcW w:w="2478" w:type="dxa"/>
                  <w:shd w:val="clear" w:color="auto" w:fill="auto"/>
                  <w:vAlign w:val="center"/>
                </w:tcPr>
                <w:p>
                  <w:pPr>
                    <w:jc w:val="both"/>
                    <w:rPr>
                      <w:rFonts w:hint="default" w:ascii="Times New Roman" w:hAnsi="Times New Roman"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3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污泥脱水间</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21.0×12.0×5.5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760"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框架</w:t>
                  </w:r>
                </w:p>
              </w:tc>
              <w:tc>
                <w:tcPr>
                  <w:tcW w:w="680"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 座</w:t>
                  </w:r>
                </w:p>
              </w:tc>
              <w:tc>
                <w:tcPr>
                  <w:tcW w:w="2478"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污泥脱水</w:t>
                  </w:r>
                  <w:r>
                    <w:rPr>
                      <w:rFonts w:hint="default" w:ascii="Times New Roman" w:hAnsi="Times New Roman" w:eastAsia="宋体" w:cs="Times New Roman"/>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加药间</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18.0×12.0×5.0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760"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框架</w:t>
                  </w:r>
                </w:p>
              </w:tc>
              <w:tc>
                <w:tcPr>
                  <w:tcW w:w="680"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 座</w:t>
                  </w:r>
                </w:p>
              </w:tc>
              <w:tc>
                <w:tcPr>
                  <w:tcW w:w="2478"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用于设置净水厂所需的 PAC、PAM等加药装置。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锅炉房</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6.0×12.0×6.0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760"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框架</w:t>
                  </w:r>
                </w:p>
              </w:tc>
              <w:tc>
                <w:tcPr>
                  <w:tcW w:w="680"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 座</w:t>
                  </w:r>
                </w:p>
              </w:tc>
              <w:tc>
                <w:tcPr>
                  <w:tcW w:w="2478" w:type="dxa"/>
                  <w:shd w:val="clear" w:color="auto" w:fill="auto"/>
                  <w:vAlign w:val="center"/>
                </w:tcPr>
                <w:p>
                  <w:pPr>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设置天然气锅炉及其配套设施，冬季为全厂提供供暖。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门卫室</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9.2</w:t>
                  </w:r>
                  <w:r>
                    <w:rPr>
                      <w:rFonts w:hint="default" w:ascii="Times New Roman" w:hAnsi="Times New Roman" w:eastAsia="宋体" w:cs="Times New Roman"/>
                      <w:color w:val="000000" w:themeColor="text1"/>
                      <w:kern w:val="0"/>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5.9</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760"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框架</w:t>
                  </w:r>
                </w:p>
              </w:tc>
              <w:tc>
                <w:tcPr>
                  <w:tcW w:w="680"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 座</w:t>
                  </w:r>
                </w:p>
              </w:tc>
              <w:tc>
                <w:tcPr>
                  <w:tcW w:w="2478"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9</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、主要生产设施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本项目净水厂主要生产设施详见表</w:t>
            </w:r>
            <w:r>
              <w:rPr>
                <w:rFonts w:hint="default" w:ascii="Times New Roman" w:hAnsi="Times New Roman" w:cs="Times New Roman"/>
                <w:color w:val="000000" w:themeColor="text1"/>
                <w:kern w:val="0"/>
                <w:sz w:val="24"/>
                <w:lang w:val="en-US" w:eastAsia="zh-CN"/>
                <w14:textFill>
                  <w14:solidFill>
                    <w14:schemeClr w14:val="tx1"/>
                  </w14:solidFill>
                </w14:textFill>
              </w:rPr>
              <w:t>2-</w:t>
            </w:r>
            <w:r>
              <w:rPr>
                <w:rFonts w:hint="eastAsia" w:cs="Times New Roman"/>
                <w:color w:val="000000" w:themeColor="text1"/>
                <w:kern w:val="0"/>
                <w:sz w:val="24"/>
                <w:lang w:val="en-US" w:eastAsia="zh-CN"/>
                <w14:textFill>
                  <w14:solidFill>
                    <w14:schemeClr w14:val="tx1"/>
                  </w14:solidFill>
                </w14:textFill>
              </w:rPr>
              <w:t>7</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kern w:val="0"/>
                <w:sz w:val="24"/>
                <w14:textFill>
                  <w14:solidFill>
                    <w14:schemeClr w14:val="tx1"/>
                  </w14:solidFill>
                </w14:textFill>
              </w:rPr>
              <w:t>表2-</w:t>
            </w:r>
            <w:r>
              <w:rPr>
                <w:rFonts w:hint="eastAsia" w:cs="Times New Roman"/>
                <w:b/>
                <w:bCs/>
                <w:color w:val="000000" w:themeColor="text1"/>
                <w:kern w:val="0"/>
                <w:sz w:val="24"/>
                <w:lang w:val="en-US" w:eastAsia="zh-CN"/>
                <w14:textFill>
                  <w14:solidFill>
                    <w14:schemeClr w14:val="tx1"/>
                  </w14:solidFill>
                </w14:textFill>
              </w:rPr>
              <w:t>7</w:t>
            </w:r>
            <w:r>
              <w:rPr>
                <w:rFonts w:hint="default" w:ascii="Times New Roman" w:hAnsi="Times New Roman" w:eastAsia="宋体" w:cs="Times New Roman"/>
                <w:b/>
                <w:bCs/>
                <w:color w:val="000000" w:themeColor="text1"/>
                <w:kern w:val="0"/>
                <w:sz w:val="24"/>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本项目净水厂</w:t>
            </w:r>
            <w:r>
              <w:rPr>
                <w:rFonts w:hint="default" w:ascii="Times New Roman" w:hAnsi="Times New Roman" w:eastAsia="宋体" w:cs="Times New Roman"/>
                <w:b/>
                <w:bCs/>
                <w:color w:val="000000" w:themeColor="text1"/>
                <w:kern w:val="0"/>
                <w:sz w:val="24"/>
                <w14:textFill>
                  <w14:solidFill>
                    <w14:schemeClr w14:val="tx1"/>
                  </w14:solidFill>
                </w14:textFill>
              </w:rPr>
              <w:t>主要</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设施</w:t>
            </w:r>
            <w:r>
              <w:rPr>
                <w:rFonts w:hint="default" w:ascii="Times New Roman" w:hAnsi="Times New Roman" w:eastAsia="宋体" w:cs="Times New Roman"/>
                <w:b/>
                <w:bCs/>
                <w:color w:val="000000" w:themeColor="text1"/>
                <w:kern w:val="0"/>
                <w:sz w:val="24"/>
                <w14:textFill>
                  <w14:solidFill>
                    <w14:schemeClr w14:val="tx1"/>
                  </w14:solidFill>
                </w14:textFill>
              </w:rPr>
              <w:t>一览表</w:t>
            </w:r>
          </w:p>
          <w:tbl>
            <w:tblPr>
              <w:tblStyle w:val="23"/>
              <w:tblW w:w="493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42"/>
              <w:gridCol w:w="904"/>
              <w:gridCol w:w="755"/>
              <w:gridCol w:w="1478"/>
              <w:gridCol w:w="2960"/>
              <w:gridCol w:w="667"/>
              <w:gridCol w:w="65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jc w:val="center"/>
              </w:trPr>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序号</w:t>
                  </w:r>
                </w:p>
              </w:tc>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位置</w:t>
                  </w:r>
                </w:p>
              </w:tc>
              <w:tc>
                <w:tcPr>
                  <w:tcW w:w="1385"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设施</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名称</w:t>
                  </w:r>
                </w:p>
              </w:tc>
              <w:tc>
                <w:tcPr>
                  <w:tcW w:w="18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设施参数</w:t>
                  </w:r>
                </w:p>
              </w:tc>
              <w:tc>
                <w:tcPr>
                  <w:tcW w:w="4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数量</w:t>
                  </w:r>
                </w:p>
              </w:tc>
              <w:tc>
                <w:tcPr>
                  <w:tcW w:w="4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1</w:t>
                  </w:r>
                </w:p>
              </w:tc>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进水稳压房</w:t>
                  </w:r>
                </w:p>
              </w:tc>
              <w:tc>
                <w:tcPr>
                  <w:tcW w:w="1385"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pacing w:val="-3"/>
                      <w:sz w:val="21"/>
                      <w:szCs w:val="21"/>
                      <w:highlight w:val="none"/>
                      <w:lang w:val="en-US" w:eastAsia="zh-CN"/>
                      <w14:textFill>
                        <w14:solidFill>
                          <w14:schemeClr w14:val="tx1"/>
                        </w14:solidFill>
                      </w14:textFill>
                    </w:rPr>
                    <w:t>排水</w:t>
                  </w:r>
                  <w:r>
                    <w:rPr>
                      <w:rFonts w:hint="default" w:ascii="Times New Roman" w:hAnsi="Times New Roman" w:eastAsia="宋体" w:cs="Times New Roman"/>
                      <w:b w:val="0"/>
                      <w:bCs w:val="0"/>
                      <w:color w:val="000000" w:themeColor="text1"/>
                      <w:spacing w:val="-3"/>
                      <w:sz w:val="21"/>
                      <w:szCs w:val="21"/>
                      <w:highlight w:val="none"/>
                      <w:lang w:eastAsia="zh-CN"/>
                      <w14:textFill>
                        <w14:solidFill>
                          <w14:schemeClr w14:val="tx1"/>
                        </w14:solidFill>
                      </w14:textFill>
                    </w:rPr>
                    <w:t>泵</w:t>
                  </w:r>
                </w:p>
              </w:tc>
              <w:tc>
                <w:tcPr>
                  <w:tcW w:w="18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Q=10m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/h，N=0.75kW</w:t>
                  </w:r>
                </w:p>
              </w:tc>
              <w:tc>
                <w:tcPr>
                  <w:tcW w:w="4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pacing w:val="-4"/>
                      <w:sz w:val="21"/>
                      <w:szCs w:val="21"/>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台</w:t>
                  </w:r>
                </w:p>
              </w:tc>
              <w:tc>
                <w:tcPr>
                  <w:tcW w:w="4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themeColor="text1"/>
                      <w:spacing w:val="-4"/>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bidi="ar-SA"/>
                      <w14:textFill>
                        <w14:solidFill>
                          <w14:schemeClr w14:val="tx1"/>
                        </w14:solidFill>
                      </w14:textFill>
                    </w:rPr>
                    <w:t>2</w:t>
                  </w:r>
                </w:p>
              </w:tc>
              <w:tc>
                <w:tcPr>
                  <w:tcW w:w="56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bidi="ar"/>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净化</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车间</w:t>
                  </w:r>
                </w:p>
              </w:tc>
              <w:tc>
                <w:tcPr>
                  <w:tcW w:w="468" w:type="pct"/>
                  <w:vMerge w:val="restart"/>
                  <w:tcBorders>
                    <w:tl2br w:val="nil"/>
                    <w:tr2bl w:val="nil"/>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高密度沉淀</w:t>
                  </w: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bidi="ar"/>
                      <w14:textFill>
                        <w14:solidFill>
                          <w14:schemeClr w14:val="tx1"/>
                        </w14:solidFill>
                      </w14:textFill>
                    </w:rPr>
                    <w:t>V型</w:t>
                  </w: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过滤</w:t>
                  </w:r>
                </w:p>
              </w:tc>
              <w:tc>
                <w:tcPr>
                  <w:tcW w:w="917" w:type="pct"/>
                  <w:tcBorders>
                    <w:tl2br w:val="nil"/>
                    <w:tr2bl w:val="nil"/>
                  </w:tcBorders>
                  <w:noWrap w:val="0"/>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高密池刮泥机</w:t>
                  </w:r>
                </w:p>
              </w:tc>
              <w:tc>
                <w:tcPr>
                  <w:tcW w:w="1836" w:type="pct"/>
                  <w:tcBorders>
                    <w:tl2br w:val="nil"/>
                    <w:tr2bl w:val="nil"/>
                  </w:tcBorders>
                  <w:noWrap w:val="0"/>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池径9.3m，N=0.75KW</w:t>
                  </w:r>
                </w:p>
              </w:tc>
              <w:tc>
                <w:tcPr>
                  <w:tcW w:w="413" w:type="pct"/>
                  <w:tcBorders>
                    <w:tl2br w:val="nil"/>
                    <w:tr2bl w:val="nil"/>
                  </w:tcBorders>
                  <w:noWrap w:val="0"/>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2套</w:t>
                  </w:r>
                </w:p>
              </w:tc>
              <w:tc>
                <w:tcPr>
                  <w:tcW w:w="405" w:type="pct"/>
                  <w:tcBorders>
                    <w:tl2br w:val="nil"/>
                    <w:tr2bl w:val="nil"/>
                  </w:tcBorders>
                  <w:noWrap w:val="0"/>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bidi="ar-SA"/>
                      <w14:textFill>
                        <w14:solidFill>
                          <w14:schemeClr w14:val="tx1"/>
                        </w14:solidFill>
                      </w14:textFill>
                    </w:rPr>
                    <w:t>3</w:t>
                  </w:r>
                </w:p>
              </w:tc>
              <w:tc>
                <w:tcPr>
                  <w:tcW w:w="5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468" w:type="pct"/>
                  <w:vMerge w:val="continue"/>
                  <w:tcBorders>
                    <w:tl2br w:val="nil"/>
                    <w:tr2bl w:val="nil"/>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17" w:type="pct"/>
                  <w:tcBorders>
                    <w:tl2br w:val="nil"/>
                    <w:tr2bl w:val="nil"/>
                  </w:tcBorders>
                  <w:noWrap w:val="0"/>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回流污泥泵</w:t>
                  </w:r>
                </w:p>
              </w:tc>
              <w:tc>
                <w:tcPr>
                  <w:tcW w:w="1836" w:type="pct"/>
                  <w:tcBorders>
                    <w:tl2br w:val="nil"/>
                    <w:tr2bl w:val="nil"/>
                  </w:tcBorders>
                  <w:noWrap w:val="0"/>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Q=17m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/h，N=3.0kW</w:t>
                  </w:r>
                </w:p>
              </w:tc>
              <w:tc>
                <w:tcPr>
                  <w:tcW w:w="413" w:type="pct"/>
                  <w:tcBorders>
                    <w:tl2br w:val="nil"/>
                    <w:tr2bl w:val="nil"/>
                  </w:tcBorders>
                  <w:noWrap w:val="0"/>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w:t>
                  </w:r>
                  <w:r>
                    <w:rPr>
                      <w:rFonts w:hint="default" w:ascii="Times New Roman" w:hAnsi="Times New Roman" w:cs="Times New Roman"/>
                      <w:color w:val="000000" w:themeColor="text1"/>
                      <w:szCs w:val="21"/>
                      <w:lang w:val="en-US" w:eastAsia="zh-CN"/>
                      <w14:textFill>
                        <w14:solidFill>
                          <w14:schemeClr w14:val="tx1"/>
                        </w14:solidFill>
                      </w14:textFill>
                    </w:rPr>
                    <w:t>台</w:t>
                  </w:r>
                </w:p>
              </w:tc>
              <w:tc>
                <w:tcPr>
                  <w:tcW w:w="405" w:type="pct"/>
                  <w:tcBorders>
                    <w:tl2br w:val="nil"/>
                    <w:tr2bl w:val="nil"/>
                  </w:tcBorders>
                  <w:noWrap w:val="0"/>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bidi="ar-SA"/>
                      <w14:textFill>
                        <w14:solidFill>
                          <w14:schemeClr w14:val="tx1"/>
                        </w14:solidFill>
                      </w14:textFill>
                    </w:rPr>
                    <w:t>4</w:t>
                  </w:r>
                </w:p>
              </w:tc>
              <w:tc>
                <w:tcPr>
                  <w:tcW w:w="5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468" w:type="pct"/>
                  <w:vMerge w:val="continue"/>
                  <w:tcBorders>
                    <w:tl2br w:val="nil"/>
                    <w:tr2bl w:val="nil"/>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17" w:type="pct"/>
                  <w:tcBorders>
                    <w:tl2br w:val="nil"/>
                    <w:tr2bl w:val="nil"/>
                  </w:tcBorders>
                  <w:noWrap w:val="0"/>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剩余污泥泵</w:t>
                  </w:r>
                </w:p>
              </w:tc>
              <w:tc>
                <w:tcPr>
                  <w:tcW w:w="1836" w:type="pct"/>
                  <w:tcBorders>
                    <w:tl2br w:val="nil"/>
                    <w:tr2bl w:val="nil"/>
                  </w:tcBorders>
                  <w:noWrap w:val="0"/>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Q=17m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/h，H=0.2MPa，N=3.0kW</w:t>
                  </w:r>
                </w:p>
              </w:tc>
              <w:tc>
                <w:tcPr>
                  <w:tcW w:w="413" w:type="pct"/>
                  <w:tcBorders>
                    <w:tl2br w:val="nil"/>
                    <w:tr2bl w:val="nil"/>
                  </w:tcBorders>
                  <w:noWrap w:val="0"/>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r>
                    <w:rPr>
                      <w:rFonts w:hint="default" w:ascii="Times New Roman" w:hAnsi="Times New Roman" w:cs="Times New Roman"/>
                      <w:color w:val="000000" w:themeColor="text1"/>
                      <w:szCs w:val="21"/>
                      <w:lang w:val="en-US" w:eastAsia="zh-CN"/>
                      <w14:textFill>
                        <w14:solidFill>
                          <w14:schemeClr w14:val="tx1"/>
                        </w14:solidFill>
                      </w14:textFill>
                    </w:rPr>
                    <w:t>台</w:t>
                  </w:r>
                </w:p>
              </w:tc>
              <w:tc>
                <w:tcPr>
                  <w:tcW w:w="405" w:type="pct"/>
                  <w:tcBorders>
                    <w:tl2br w:val="nil"/>
                    <w:tr2bl w:val="nil"/>
                  </w:tcBorders>
                  <w:noWrap w:val="0"/>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bidi="ar-SA"/>
                      <w14:textFill>
                        <w14:solidFill>
                          <w14:schemeClr w14:val="tx1"/>
                        </w14:solidFill>
                      </w14:textFill>
                    </w:rPr>
                    <w:t>5</w:t>
                  </w:r>
                </w:p>
              </w:tc>
              <w:tc>
                <w:tcPr>
                  <w:tcW w:w="5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468" w:type="pct"/>
                  <w:vMerge w:val="continue"/>
                  <w:tcBorders>
                    <w:tl2br w:val="nil"/>
                    <w:tr2bl w:val="nil"/>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17" w:type="pct"/>
                  <w:tcBorders>
                    <w:tl2br w:val="nil"/>
                    <w:tr2bl w:val="nil"/>
                  </w:tcBorders>
                  <w:noWrap w:val="0"/>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集水坑排水泵</w:t>
                  </w:r>
                </w:p>
              </w:tc>
              <w:tc>
                <w:tcPr>
                  <w:tcW w:w="1836" w:type="pct"/>
                  <w:tcBorders>
                    <w:tl2br w:val="nil"/>
                    <w:tr2bl w:val="nil"/>
                  </w:tcBorders>
                  <w:noWrap w:val="0"/>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Q=10m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/h，N=0.75kW</w:t>
                  </w:r>
                </w:p>
              </w:tc>
              <w:tc>
                <w:tcPr>
                  <w:tcW w:w="413" w:type="pct"/>
                  <w:tcBorders>
                    <w:tl2br w:val="nil"/>
                    <w:tr2bl w:val="nil"/>
                  </w:tcBorders>
                  <w:noWrap w:val="0"/>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3台</w:t>
                  </w:r>
                </w:p>
              </w:tc>
              <w:tc>
                <w:tcPr>
                  <w:tcW w:w="405" w:type="pct"/>
                  <w:tcBorders>
                    <w:tl2br w:val="nil"/>
                    <w:tr2bl w:val="nil"/>
                  </w:tcBorders>
                  <w:noWrap w:val="0"/>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bidi="ar-SA"/>
                      <w14:textFill>
                        <w14:solidFill>
                          <w14:schemeClr w14:val="tx1"/>
                        </w14:solidFill>
                      </w14:textFill>
                    </w:rPr>
                    <w:t>6</w:t>
                  </w:r>
                </w:p>
              </w:tc>
              <w:tc>
                <w:tcPr>
                  <w:tcW w:w="5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468" w:type="pct"/>
                  <w:vMerge w:val="continue"/>
                  <w:tcBorders>
                    <w:tl2br w:val="nil"/>
                    <w:tr2bl w:val="nil"/>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17" w:type="pct"/>
                  <w:tcBorders>
                    <w:tl2br w:val="nil"/>
                    <w:tr2bl w:val="nil"/>
                  </w:tcBorders>
                  <w:noWrap w:val="0"/>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石英砂滤料</w:t>
                  </w:r>
                </w:p>
              </w:tc>
              <w:tc>
                <w:tcPr>
                  <w:tcW w:w="1836" w:type="pct"/>
                  <w:tcBorders>
                    <w:tl2br w:val="nil"/>
                    <w:tr2bl w:val="nil"/>
                  </w:tcBorders>
                  <w:noWrap w:val="0"/>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Φ0.8~1.0mm，不均匀系数K80＜1.2~1.4，层高1.2m</w:t>
                  </w:r>
                </w:p>
              </w:tc>
              <w:tc>
                <w:tcPr>
                  <w:tcW w:w="413" w:type="pct"/>
                  <w:tcBorders>
                    <w:tl2br w:val="nil"/>
                    <w:tr2bl w:val="nil"/>
                  </w:tcBorders>
                  <w:noWrap w:val="0"/>
                  <w:vAlign w:val="center"/>
                </w:tcPr>
                <w:p>
                  <w:pPr>
                    <w:tabs>
                      <w:tab w:val="left" w:pos="4680"/>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144</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3</w:t>
                  </w:r>
                </w:p>
              </w:tc>
              <w:tc>
                <w:tcPr>
                  <w:tcW w:w="405" w:type="pct"/>
                  <w:tcBorders>
                    <w:tl2br w:val="nil"/>
                    <w:tr2bl w:val="nil"/>
                  </w:tcBorders>
                  <w:noWrap w:val="0"/>
                  <w:vAlign w:val="center"/>
                </w:tcPr>
                <w:p>
                  <w:pPr>
                    <w:tabs>
                      <w:tab w:val="left" w:pos="4680"/>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bidi="ar-SA"/>
                      <w14:textFill>
                        <w14:solidFill>
                          <w14:schemeClr w14:val="tx1"/>
                        </w14:solidFill>
                      </w14:textFill>
                    </w:rPr>
                    <w:t>7</w:t>
                  </w:r>
                </w:p>
              </w:tc>
              <w:tc>
                <w:tcPr>
                  <w:tcW w:w="560" w:type="pct"/>
                  <w:tcBorders>
                    <w:tl2br w:val="nil"/>
                    <w:tr2bl w:val="nil"/>
                  </w:tcBorders>
                  <w:noWrap w:val="0"/>
                  <w:vAlign w:val="center"/>
                </w:tcPr>
                <w:p>
                  <w:pPr>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净水站</w:t>
                  </w:r>
                </w:p>
              </w:tc>
              <w:tc>
                <w:tcPr>
                  <w:tcW w:w="468" w:type="pct"/>
                  <w:tcBorders>
                    <w:tl2br w:val="nil"/>
                    <w:tr2bl w:val="nil"/>
                  </w:tcBorders>
                  <w:noWrap w:val="0"/>
                  <w:vAlign w:val="center"/>
                </w:tcPr>
                <w:p>
                  <w:pPr>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清水池</w:t>
                  </w:r>
                </w:p>
              </w:tc>
              <w:tc>
                <w:tcPr>
                  <w:tcW w:w="917" w:type="pct"/>
                  <w:tcBorders>
                    <w:tl2br w:val="nil"/>
                    <w:tr2bl w:val="nil"/>
                  </w:tcBorders>
                  <w:noWrap w:val="0"/>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取样泵</w:t>
                  </w:r>
                </w:p>
              </w:tc>
              <w:tc>
                <w:tcPr>
                  <w:tcW w:w="1836" w:type="pct"/>
                  <w:tcBorders>
                    <w:tl2br w:val="nil"/>
                    <w:tr2bl w:val="nil"/>
                  </w:tcBorders>
                  <w:noWrap w:val="0"/>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Q=2.5m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/h，H=20m，N=0.75kW</w:t>
                  </w:r>
                </w:p>
              </w:tc>
              <w:tc>
                <w:tcPr>
                  <w:tcW w:w="413" w:type="pct"/>
                  <w:tcBorders>
                    <w:tl2br w:val="nil"/>
                    <w:tr2bl w:val="nil"/>
                  </w:tcBorders>
                  <w:noWrap w:val="0"/>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r>
                    <w:rPr>
                      <w:rFonts w:hint="default" w:ascii="Times New Roman" w:hAnsi="Times New Roman" w:cs="Times New Roman"/>
                      <w:color w:val="000000" w:themeColor="text1"/>
                      <w:szCs w:val="21"/>
                      <w:lang w:val="en-US" w:eastAsia="zh-CN"/>
                      <w14:textFill>
                        <w14:solidFill>
                          <w14:schemeClr w14:val="tx1"/>
                        </w14:solidFill>
                      </w14:textFill>
                    </w:rPr>
                    <w:t>台</w:t>
                  </w:r>
                </w:p>
              </w:tc>
              <w:tc>
                <w:tcPr>
                  <w:tcW w:w="405" w:type="pct"/>
                  <w:tcBorders>
                    <w:tl2br w:val="nil"/>
                    <w:tr2bl w:val="nil"/>
                  </w:tcBorders>
                  <w:noWrap w:val="0"/>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bidi="ar-SA"/>
                      <w14:textFill>
                        <w14:solidFill>
                          <w14:schemeClr w14:val="tx1"/>
                        </w14:solidFill>
                      </w14:textFill>
                    </w:rPr>
                    <w:t>8</w:t>
                  </w:r>
                </w:p>
              </w:tc>
              <w:tc>
                <w:tcPr>
                  <w:tcW w:w="560" w:type="pct"/>
                  <w:vMerge w:val="restart"/>
                  <w:tcBorders>
                    <w:tl2br w:val="nil"/>
                    <w:tr2bl w:val="nil"/>
                  </w:tcBorders>
                  <w:noWrap w:val="0"/>
                  <w:vAlign w:val="center"/>
                </w:tcPr>
                <w:p>
                  <w:pPr>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泵房、鼓风机房及配电间</w:t>
                  </w:r>
                </w:p>
              </w:tc>
              <w:tc>
                <w:tcPr>
                  <w:tcW w:w="1385" w:type="pct"/>
                  <w:gridSpan w:val="2"/>
                  <w:tcBorders>
                    <w:tl2br w:val="nil"/>
                    <w:tr2bl w:val="nil"/>
                  </w:tcBorders>
                  <w:noWrap w:val="0"/>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反洗风机</w:t>
                  </w:r>
                </w:p>
              </w:tc>
              <w:tc>
                <w:tcPr>
                  <w:tcW w:w="1836" w:type="pct"/>
                  <w:tcBorders>
                    <w:tl2br w:val="nil"/>
                    <w:tr2bl w:val="nil"/>
                  </w:tcBorders>
                  <w:noWrap w:val="0"/>
                  <w:vAlign w:val="center"/>
                </w:tcPr>
                <w:p>
                  <w:pPr>
                    <w:tabs>
                      <w:tab w:val="left" w:pos="4680"/>
                    </w:tab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Q=26.25m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/min，P=55kPa，N=45kW</w:t>
                  </w:r>
                </w:p>
              </w:tc>
              <w:tc>
                <w:tcPr>
                  <w:tcW w:w="413" w:type="pct"/>
                  <w:tcBorders>
                    <w:tl2br w:val="nil"/>
                    <w:tr2bl w:val="nil"/>
                  </w:tcBorders>
                  <w:noWrap w:val="0"/>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r>
                    <w:rPr>
                      <w:rFonts w:hint="default" w:ascii="Times New Roman" w:hAnsi="Times New Roman" w:cs="Times New Roman"/>
                      <w:color w:val="000000" w:themeColor="text1"/>
                      <w:szCs w:val="21"/>
                      <w:lang w:val="en-US" w:eastAsia="zh-CN"/>
                      <w14:textFill>
                        <w14:solidFill>
                          <w14:schemeClr w14:val="tx1"/>
                        </w14:solidFill>
                      </w14:textFill>
                    </w:rPr>
                    <w:t>台</w:t>
                  </w:r>
                </w:p>
              </w:tc>
              <w:tc>
                <w:tcPr>
                  <w:tcW w:w="405" w:type="pct"/>
                  <w:tcBorders>
                    <w:tl2br w:val="nil"/>
                    <w:tr2bl w:val="nil"/>
                  </w:tcBorders>
                  <w:noWrap w:val="0"/>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bidi="ar-SA"/>
                      <w14:textFill>
                        <w14:solidFill>
                          <w14:schemeClr w14:val="tx1"/>
                        </w14:solidFill>
                      </w14:textFill>
                    </w:rPr>
                    <w:t>9</w:t>
                  </w:r>
                </w:p>
              </w:tc>
              <w:tc>
                <w:tcPr>
                  <w:tcW w:w="560" w:type="pct"/>
                  <w:vMerge w:val="continue"/>
                  <w:tcBorders>
                    <w:tl2br w:val="nil"/>
                    <w:tr2bl w:val="nil"/>
                  </w:tcBorders>
                  <w:noWrap w:val="0"/>
                  <w:vAlign w:val="center"/>
                </w:tcPr>
                <w:p>
                  <w:pPr>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p>
              </w:tc>
              <w:tc>
                <w:tcPr>
                  <w:tcW w:w="1385" w:type="pct"/>
                  <w:gridSpan w:val="2"/>
                  <w:tcBorders>
                    <w:tl2br w:val="nil"/>
                    <w:tr2bl w:val="nil"/>
                  </w:tcBorders>
                  <w:noWrap w:val="0"/>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风机房轴流风机</w:t>
                  </w:r>
                </w:p>
              </w:tc>
              <w:tc>
                <w:tcPr>
                  <w:tcW w:w="1836" w:type="pct"/>
                  <w:tcBorders>
                    <w:tl2br w:val="nil"/>
                    <w:tr2bl w:val="nil"/>
                  </w:tcBorders>
                  <w:noWrap w:val="0"/>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Q=3000m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/h，N=0.37kW</w:t>
                  </w:r>
                </w:p>
              </w:tc>
              <w:tc>
                <w:tcPr>
                  <w:tcW w:w="413" w:type="pct"/>
                  <w:tcBorders>
                    <w:tl2br w:val="nil"/>
                    <w:tr2bl w:val="nil"/>
                  </w:tcBorders>
                  <w:noWrap w:val="0"/>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r>
                    <w:rPr>
                      <w:rFonts w:hint="default" w:ascii="Times New Roman" w:hAnsi="Times New Roman" w:cs="Times New Roman"/>
                      <w:color w:val="000000" w:themeColor="text1"/>
                      <w:szCs w:val="21"/>
                      <w:lang w:val="en-US" w:eastAsia="zh-CN"/>
                      <w14:textFill>
                        <w14:solidFill>
                          <w14:schemeClr w14:val="tx1"/>
                        </w14:solidFill>
                      </w14:textFill>
                    </w:rPr>
                    <w:t>台</w:t>
                  </w:r>
                </w:p>
              </w:tc>
              <w:tc>
                <w:tcPr>
                  <w:tcW w:w="405" w:type="pct"/>
                  <w:tcBorders>
                    <w:tl2br w:val="nil"/>
                    <w:tr2bl w:val="nil"/>
                  </w:tcBorders>
                  <w:noWrap w:val="0"/>
                  <w:vAlign w:val="center"/>
                </w:tcPr>
                <w:p>
                  <w:pPr>
                    <w:tabs>
                      <w:tab w:val="left" w:pos="4680"/>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bidi="ar-SA"/>
                      <w14:textFill>
                        <w14:solidFill>
                          <w14:schemeClr w14:val="tx1"/>
                        </w14:solidFill>
                      </w14:textFill>
                    </w:rPr>
                    <w:t>10</w:t>
                  </w:r>
                </w:p>
              </w:tc>
              <w:tc>
                <w:tcPr>
                  <w:tcW w:w="560" w:type="pct"/>
                  <w:vMerge w:val="continue"/>
                  <w:vAlign w:val="center"/>
                </w:tcPr>
                <w:p>
                  <w:pPr>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p>
              </w:tc>
              <w:tc>
                <w:tcPr>
                  <w:tcW w:w="1385" w:type="pct"/>
                  <w:gridSpan w:val="2"/>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反冲洗水泵</w:t>
                  </w:r>
                </w:p>
              </w:tc>
              <w:tc>
                <w:tcPr>
                  <w:tcW w:w="1836" w:type="pct"/>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Q=262m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/h，H=12m，N=15kW</w:t>
                  </w:r>
                </w:p>
              </w:tc>
              <w:tc>
                <w:tcPr>
                  <w:tcW w:w="413" w:type="pct"/>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w:t>
                  </w:r>
                  <w:r>
                    <w:rPr>
                      <w:rFonts w:hint="default" w:ascii="Times New Roman" w:hAnsi="Times New Roman" w:cs="Times New Roman"/>
                      <w:color w:val="000000" w:themeColor="text1"/>
                      <w:szCs w:val="21"/>
                      <w:lang w:val="en-US" w:eastAsia="zh-CN"/>
                      <w14:textFill>
                        <w14:solidFill>
                          <w14:schemeClr w14:val="tx1"/>
                        </w14:solidFill>
                      </w14:textFill>
                    </w:rPr>
                    <w:t>台</w:t>
                  </w:r>
                </w:p>
              </w:tc>
              <w:tc>
                <w:tcPr>
                  <w:tcW w:w="405" w:type="pct"/>
                  <w:vAlign w:val="center"/>
                </w:tcPr>
                <w:p>
                  <w:pPr>
                    <w:tabs>
                      <w:tab w:val="left" w:pos="4680"/>
                    </w:tab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bidi="ar-SA"/>
                      <w14:textFill>
                        <w14:solidFill>
                          <w14:schemeClr w14:val="tx1"/>
                        </w14:solidFill>
                      </w14:textFill>
                    </w:rPr>
                    <w:t>11</w:t>
                  </w:r>
                </w:p>
              </w:tc>
              <w:tc>
                <w:tcPr>
                  <w:tcW w:w="560" w:type="pct"/>
                  <w:vAlign w:val="center"/>
                </w:tcPr>
                <w:p>
                  <w:pPr>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净水站</w:t>
                  </w:r>
                </w:p>
              </w:tc>
              <w:tc>
                <w:tcPr>
                  <w:tcW w:w="468" w:type="pct"/>
                  <w:vAlign w:val="center"/>
                </w:tcPr>
                <w:p>
                  <w:pPr>
                    <w:tabs>
                      <w:tab w:val="left" w:pos="4680"/>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回收水池</w:t>
                  </w:r>
                </w:p>
              </w:tc>
              <w:tc>
                <w:tcPr>
                  <w:tcW w:w="917" w:type="pct"/>
                  <w:vAlign w:val="center"/>
                </w:tcPr>
                <w:p>
                  <w:pPr>
                    <w:tabs>
                      <w:tab w:val="left" w:pos="4680"/>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回收水泵</w:t>
                  </w:r>
                </w:p>
              </w:tc>
              <w:tc>
                <w:tcPr>
                  <w:tcW w:w="1836" w:type="pct"/>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Q=55m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/h，H=15m，N=3kW</w:t>
                  </w:r>
                </w:p>
              </w:tc>
              <w:tc>
                <w:tcPr>
                  <w:tcW w:w="413" w:type="pct"/>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w:t>
                  </w:r>
                  <w:r>
                    <w:rPr>
                      <w:rFonts w:hint="default" w:ascii="Times New Roman" w:hAnsi="Times New Roman" w:cs="Times New Roman"/>
                      <w:color w:val="000000" w:themeColor="text1"/>
                      <w:szCs w:val="21"/>
                      <w:lang w:val="en-US" w:eastAsia="zh-CN"/>
                      <w14:textFill>
                        <w14:solidFill>
                          <w14:schemeClr w14:val="tx1"/>
                        </w14:solidFill>
                      </w14:textFill>
                    </w:rPr>
                    <w:t>台</w:t>
                  </w:r>
                </w:p>
              </w:tc>
              <w:tc>
                <w:tcPr>
                  <w:tcW w:w="405" w:type="pct"/>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bidi="ar-SA"/>
                      <w14:textFill>
                        <w14:solidFill>
                          <w14:schemeClr w14:val="tx1"/>
                        </w14:solidFill>
                      </w14:textFill>
                    </w:rPr>
                    <w:t>12</w:t>
                  </w:r>
                </w:p>
              </w:tc>
              <w:tc>
                <w:tcPr>
                  <w:tcW w:w="560" w:type="pct"/>
                  <w:vMerge w:val="restart"/>
                  <w:vAlign w:val="center"/>
                </w:tcPr>
                <w:p>
                  <w:pPr>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污泥脱水间</w:t>
                  </w:r>
                </w:p>
              </w:tc>
              <w:tc>
                <w:tcPr>
                  <w:tcW w:w="1385" w:type="pct"/>
                  <w:gridSpan w:val="2"/>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污泥输送泵</w:t>
                  </w:r>
                </w:p>
              </w:tc>
              <w:tc>
                <w:tcPr>
                  <w:tcW w:w="1836" w:type="pct"/>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Q=10m³/h，H=0.2MPa，N=4kW</w:t>
                  </w:r>
                </w:p>
              </w:tc>
              <w:tc>
                <w:tcPr>
                  <w:tcW w:w="413" w:type="pct"/>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r>
                    <w:rPr>
                      <w:rFonts w:hint="default" w:ascii="Times New Roman" w:hAnsi="Times New Roman" w:cs="Times New Roman"/>
                      <w:color w:val="000000" w:themeColor="text1"/>
                      <w:szCs w:val="21"/>
                      <w:lang w:val="en-US" w:eastAsia="zh-CN"/>
                      <w14:textFill>
                        <w14:solidFill>
                          <w14:schemeClr w14:val="tx1"/>
                        </w14:solidFill>
                      </w14:textFill>
                    </w:rPr>
                    <w:t>台</w:t>
                  </w:r>
                </w:p>
              </w:tc>
              <w:tc>
                <w:tcPr>
                  <w:tcW w:w="405" w:type="pct"/>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bidi="ar-SA"/>
                      <w14:textFill>
                        <w14:solidFill>
                          <w14:schemeClr w14:val="tx1"/>
                        </w14:solidFill>
                      </w14:textFill>
                    </w:rPr>
                    <w:t>13</w:t>
                  </w:r>
                </w:p>
              </w:tc>
              <w:tc>
                <w:tcPr>
                  <w:tcW w:w="560" w:type="pct"/>
                  <w:vMerge w:val="continue"/>
                  <w:vAlign w:val="center"/>
                </w:tcPr>
                <w:p>
                  <w:pPr>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p>
              </w:tc>
              <w:tc>
                <w:tcPr>
                  <w:tcW w:w="1385" w:type="pct"/>
                  <w:gridSpan w:val="2"/>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污泥脱水机</w:t>
                  </w:r>
                </w:p>
              </w:tc>
              <w:tc>
                <w:tcPr>
                  <w:tcW w:w="1836" w:type="pct"/>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Q=10m³/h，转鼓直径350mm，N=27.5kW，进泥含水率：97%，出泥含水率＜80%</w:t>
                  </w:r>
                </w:p>
              </w:tc>
              <w:tc>
                <w:tcPr>
                  <w:tcW w:w="413" w:type="pct"/>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r>
                    <w:rPr>
                      <w:rFonts w:hint="default" w:ascii="Times New Roman" w:hAnsi="Times New Roman" w:cs="Times New Roman"/>
                      <w:color w:val="000000" w:themeColor="text1"/>
                      <w:szCs w:val="21"/>
                      <w:lang w:val="en-US" w:eastAsia="zh-CN"/>
                      <w14:textFill>
                        <w14:solidFill>
                          <w14:schemeClr w14:val="tx1"/>
                        </w14:solidFill>
                      </w14:textFill>
                    </w:rPr>
                    <w:t>台</w:t>
                  </w:r>
                </w:p>
              </w:tc>
              <w:tc>
                <w:tcPr>
                  <w:tcW w:w="405" w:type="pct"/>
                  <w:vAlign w:val="center"/>
                </w:tcPr>
                <w:p>
                  <w:pPr>
                    <w:tabs>
                      <w:tab w:val="left" w:pos="4680"/>
                    </w:tabs>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bidi="ar-SA"/>
                      <w14:textFill>
                        <w14:solidFill>
                          <w14:schemeClr w14:val="tx1"/>
                        </w14:solidFill>
                      </w14:textFill>
                    </w:rPr>
                    <w:t>14</w:t>
                  </w:r>
                </w:p>
              </w:tc>
              <w:tc>
                <w:tcPr>
                  <w:tcW w:w="560" w:type="pct"/>
                  <w:vMerge w:val="continue"/>
                  <w:vAlign w:val="center"/>
                </w:tcPr>
                <w:p>
                  <w:pPr>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p>
              </w:tc>
              <w:tc>
                <w:tcPr>
                  <w:tcW w:w="1385" w:type="pct"/>
                  <w:gridSpan w:val="2"/>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排污泵</w:t>
                  </w:r>
                </w:p>
              </w:tc>
              <w:tc>
                <w:tcPr>
                  <w:tcW w:w="1836" w:type="pct"/>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Q=10m³/h，H=10m，N=0.75kW</w:t>
                  </w:r>
                </w:p>
              </w:tc>
              <w:tc>
                <w:tcPr>
                  <w:tcW w:w="413" w:type="pct"/>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r>
                    <w:rPr>
                      <w:rFonts w:hint="default" w:ascii="Times New Roman" w:hAnsi="Times New Roman" w:cs="Times New Roman"/>
                      <w:color w:val="000000" w:themeColor="text1"/>
                      <w:szCs w:val="21"/>
                      <w:lang w:val="en-US" w:eastAsia="zh-CN"/>
                      <w14:textFill>
                        <w14:solidFill>
                          <w14:schemeClr w14:val="tx1"/>
                        </w14:solidFill>
                      </w14:textFill>
                    </w:rPr>
                    <w:t>台</w:t>
                  </w:r>
                </w:p>
              </w:tc>
              <w:tc>
                <w:tcPr>
                  <w:tcW w:w="405" w:type="pct"/>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bidi="ar-SA"/>
                      <w14:textFill>
                        <w14:solidFill>
                          <w14:schemeClr w14:val="tx1"/>
                        </w14:solidFill>
                      </w14:textFill>
                    </w:rPr>
                    <w:t>15</w:t>
                  </w:r>
                </w:p>
              </w:tc>
              <w:tc>
                <w:tcPr>
                  <w:tcW w:w="560" w:type="pct"/>
                  <w:vMerge w:val="restart"/>
                  <w:vAlign w:val="center"/>
                </w:tcPr>
                <w:p>
                  <w:pPr>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加药间</w:t>
                  </w:r>
                </w:p>
              </w:tc>
              <w:tc>
                <w:tcPr>
                  <w:tcW w:w="1385" w:type="pct"/>
                  <w:gridSpan w:val="2"/>
                  <w:vAlign w:val="center"/>
                </w:tcPr>
                <w:p>
                  <w:pPr>
                    <w:tabs>
                      <w:tab w:val="left" w:pos="4680"/>
                    </w:tab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次氯酸钠加药装置</w:t>
                  </w:r>
                </w:p>
              </w:tc>
              <w:tc>
                <w:tcPr>
                  <w:tcW w:w="1836" w:type="pct"/>
                  <w:vAlign w:val="center"/>
                </w:tcPr>
                <w:p>
                  <w:pPr>
                    <w:tabs>
                      <w:tab w:val="left" w:pos="4680"/>
                    </w:tab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N=19.04kw</w:t>
                  </w:r>
                </w:p>
              </w:tc>
              <w:tc>
                <w:tcPr>
                  <w:tcW w:w="413" w:type="pct"/>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r>
                    <w:rPr>
                      <w:rFonts w:hint="default" w:ascii="Times New Roman" w:hAnsi="Times New Roman" w:cs="Times New Roman"/>
                      <w:color w:val="000000" w:themeColor="text1"/>
                      <w:szCs w:val="21"/>
                      <w:lang w:val="en-US" w:eastAsia="zh-CN"/>
                      <w14:textFill>
                        <w14:solidFill>
                          <w14:schemeClr w14:val="tx1"/>
                        </w14:solidFill>
                      </w14:textFill>
                    </w:rPr>
                    <w:t>台</w:t>
                  </w:r>
                </w:p>
              </w:tc>
              <w:tc>
                <w:tcPr>
                  <w:tcW w:w="405" w:type="pct"/>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bidi="ar-SA"/>
                      <w14:textFill>
                        <w14:solidFill>
                          <w14:schemeClr w14:val="tx1"/>
                        </w14:solidFill>
                      </w14:textFill>
                    </w:rPr>
                    <w:t>16</w:t>
                  </w:r>
                </w:p>
              </w:tc>
              <w:tc>
                <w:tcPr>
                  <w:tcW w:w="560" w:type="pct"/>
                  <w:vMerge w:val="continue"/>
                  <w:vAlign w:val="center"/>
                </w:tcPr>
                <w:p>
                  <w:pPr>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p>
              </w:tc>
              <w:tc>
                <w:tcPr>
                  <w:tcW w:w="1385" w:type="pct"/>
                  <w:gridSpan w:val="2"/>
                  <w:vAlign w:val="center"/>
                </w:tcPr>
                <w:p>
                  <w:pPr>
                    <w:tabs>
                      <w:tab w:val="left" w:pos="4680"/>
                    </w:tabs>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PAM加药装置</w:t>
                  </w:r>
                </w:p>
              </w:tc>
              <w:tc>
                <w:tcPr>
                  <w:tcW w:w="1836" w:type="pct"/>
                  <w:vAlign w:val="center"/>
                </w:tcPr>
                <w:p>
                  <w:pPr>
                    <w:tabs>
                      <w:tab w:val="left" w:pos="4680"/>
                    </w:tab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浓度为 0.1~0.2%，N=3kW</w:t>
                  </w:r>
                </w:p>
              </w:tc>
              <w:tc>
                <w:tcPr>
                  <w:tcW w:w="413" w:type="pct"/>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r>
                    <w:rPr>
                      <w:rFonts w:hint="default" w:ascii="Times New Roman" w:hAnsi="Times New Roman" w:cs="Times New Roman"/>
                      <w:color w:val="000000" w:themeColor="text1"/>
                      <w:szCs w:val="21"/>
                      <w:lang w:val="en-US" w:eastAsia="zh-CN"/>
                      <w14:textFill>
                        <w14:solidFill>
                          <w14:schemeClr w14:val="tx1"/>
                        </w14:solidFill>
                      </w14:textFill>
                    </w:rPr>
                    <w:t>套</w:t>
                  </w:r>
                </w:p>
              </w:tc>
              <w:tc>
                <w:tcPr>
                  <w:tcW w:w="405" w:type="pct"/>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bidi="ar-SA"/>
                      <w14:textFill>
                        <w14:solidFill>
                          <w14:schemeClr w14:val="tx1"/>
                        </w14:solidFill>
                      </w14:textFill>
                    </w:rPr>
                    <w:t>17</w:t>
                  </w:r>
                </w:p>
              </w:tc>
              <w:tc>
                <w:tcPr>
                  <w:tcW w:w="560" w:type="pct"/>
                  <w:vMerge w:val="continue"/>
                  <w:vAlign w:val="center"/>
                </w:tcPr>
                <w:p>
                  <w:pPr>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p>
              </w:tc>
              <w:tc>
                <w:tcPr>
                  <w:tcW w:w="1385" w:type="pct"/>
                  <w:gridSpan w:val="2"/>
                  <w:vAlign w:val="center"/>
                </w:tcPr>
                <w:p>
                  <w:pPr>
                    <w:tabs>
                      <w:tab w:val="left" w:pos="4680"/>
                    </w:tab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PAC溶药罐</w:t>
                  </w:r>
                </w:p>
              </w:tc>
              <w:tc>
                <w:tcPr>
                  <w:tcW w:w="1836" w:type="pct"/>
                  <w:vAlign w:val="center"/>
                </w:tcPr>
                <w:p>
                  <w:pPr>
                    <w:tabs>
                      <w:tab w:val="left" w:pos="4680"/>
                    </w:tabs>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V=2m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3</w:t>
                  </w:r>
                </w:p>
              </w:tc>
              <w:tc>
                <w:tcPr>
                  <w:tcW w:w="413" w:type="pct"/>
                  <w:vAlign w:val="center"/>
                </w:tcPr>
                <w:p>
                  <w:pPr>
                    <w:tabs>
                      <w:tab w:val="left" w:pos="4680"/>
                    </w:tab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2套</w:t>
                  </w:r>
                </w:p>
              </w:tc>
              <w:tc>
                <w:tcPr>
                  <w:tcW w:w="405" w:type="pct"/>
                  <w:vAlign w:val="center"/>
                </w:tcPr>
                <w:p>
                  <w:pPr>
                    <w:tabs>
                      <w:tab w:val="left" w:pos="4680"/>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2"/>
                      <w:sz w:val="21"/>
                      <w:szCs w:val="21"/>
                      <w:vertAlign w:val="baseline"/>
                      <w:lang w:val="en-US" w:eastAsia="zh-CN" w:bidi="ar-SA"/>
                      <w14:textFill>
                        <w14:solidFill>
                          <w14:schemeClr w14:val="tx1"/>
                        </w14:solidFill>
                      </w14:textFill>
                    </w:rPr>
                    <w:t>18</w:t>
                  </w:r>
                </w:p>
              </w:tc>
              <w:tc>
                <w:tcPr>
                  <w:tcW w:w="560" w:type="pct"/>
                  <w:vMerge w:val="restart"/>
                  <w:vAlign w:val="center"/>
                </w:tcPr>
                <w:p>
                  <w:pPr>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锅炉房</w:t>
                  </w:r>
                </w:p>
              </w:tc>
              <w:tc>
                <w:tcPr>
                  <w:tcW w:w="1385" w:type="pct"/>
                  <w:gridSpan w:val="2"/>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低氮燃气热水锅炉</w:t>
                  </w:r>
                </w:p>
              </w:tc>
              <w:tc>
                <w:tcPr>
                  <w:tcW w:w="1836" w:type="pct"/>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36m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/h</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Q=350kW，T=95/70℃，P=1.0MPa</w:t>
                  </w:r>
                </w:p>
              </w:tc>
              <w:tc>
                <w:tcPr>
                  <w:tcW w:w="413" w:type="pct"/>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r>
                    <w:rPr>
                      <w:rFonts w:hint="default" w:ascii="Times New Roman" w:hAnsi="Times New Roman" w:cs="Times New Roman"/>
                      <w:color w:val="000000" w:themeColor="text1"/>
                      <w:szCs w:val="21"/>
                      <w:lang w:val="en-US" w:eastAsia="zh-CN"/>
                      <w14:textFill>
                        <w14:solidFill>
                          <w14:schemeClr w14:val="tx1"/>
                        </w14:solidFill>
                      </w14:textFill>
                    </w:rPr>
                    <w:t>套</w:t>
                  </w:r>
                </w:p>
              </w:tc>
              <w:tc>
                <w:tcPr>
                  <w:tcW w:w="405" w:type="pct"/>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2"/>
                      <w:sz w:val="21"/>
                      <w:szCs w:val="21"/>
                      <w:vertAlign w:val="baseline"/>
                      <w:lang w:val="en-US" w:eastAsia="zh-CN" w:bidi="ar-SA"/>
                      <w14:textFill>
                        <w14:solidFill>
                          <w14:schemeClr w14:val="tx1"/>
                        </w14:solidFill>
                      </w14:textFill>
                    </w:rPr>
                    <w:t>19</w:t>
                  </w:r>
                </w:p>
              </w:tc>
              <w:tc>
                <w:tcPr>
                  <w:tcW w:w="560" w:type="pct"/>
                  <w:vMerge w:val="continue"/>
                  <w:vAlign w:val="center"/>
                </w:tcPr>
                <w:p>
                  <w:pPr>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p>
              </w:tc>
              <w:tc>
                <w:tcPr>
                  <w:tcW w:w="1385" w:type="pct"/>
                  <w:gridSpan w:val="2"/>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软化水装置</w:t>
                  </w:r>
                </w:p>
              </w:tc>
              <w:tc>
                <w:tcPr>
                  <w:tcW w:w="1836" w:type="pct"/>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Q=1m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/h，V=1m</w:t>
                  </w:r>
                  <w:r>
                    <w:rPr>
                      <w:rFonts w:hint="default" w:ascii="Times New Roman" w:hAnsi="Times New Roman" w:eastAsia="宋体" w:cs="Times New Roman"/>
                      <w:color w:val="000000" w:themeColor="text1"/>
                      <w:szCs w:val="21"/>
                      <w:vertAlign w:val="superscript"/>
                      <w14:textFill>
                        <w14:solidFill>
                          <w14:schemeClr w14:val="tx1"/>
                        </w14:solidFill>
                      </w14:textFill>
                    </w:rPr>
                    <w:t>3</w:t>
                  </w:r>
                </w:p>
              </w:tc>
              <w:tc>
                <w:tcPr>
                  <w:tcW w:w="413" w:type="pct"/>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r>
                    <w:rPr>
                      <w:rFonts w:hint="default" w:ascii="Times New Roman" w:hAnsi="Times New Roman" w:cs="Times New Roman"/>
                      <w:color w:val="000000" w:themeColor="text1"/>
                      <w:szCs w:val="21"/>
                      <w:lang w:val="en-US" w:eastAsia="zh-CN"/>
                      <w14:textFill>
                        <w14:solidFill>
                          <w14:schemeClr w14:val="tx1"/>
                        </w14:solidFill>
                      </w14:textFill>
                    </w:rPr>
                    <w:t>套</w:t>
                  </w:r>
                </w:p>
              </w:tc>
              <w:tc>
                <w:tcPr>
                  <w:tcW w:w="405" w:type="pct"/>
                  <w:vAlign w:val="center"/>
                </w:tcPr>
                <w:p>
                  <w:pPr>
                    <w:tabs>
                      <w:tab w:val="left" w:pos="468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bl>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10</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、原辅材料及资源能源消耗</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本项目净水厂原辅材料消耗见表2-</w:t>
            </w:r>
            <w:r>
              <w:rPr>
                <w:rFonts w:hint="eastAsia" w:cs="Times New Roman"/>
                <w:color w:val="000000" w:themeColor="text1"/>
                <w:kern w:val="0"/>
                <w:sz w:val="24"/>
                <w:lang w:val="en-US" w:eastAsia="zh-CN"/>
                <w14:textFill>
                  <w14:solidFill>
                    <w14:schemeClr w14:val="tx1"/>
                  </w14:solidFill>
                </w14:textFill>
              </w:rPr>
              <w:t>8</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kern w:val="0"/>
                <w:sz w:val="24"/>
                <w14:textFill>
                  <w14:solidFill>
                    <w14:schemeClr w14:val="tx1"/>
                  </w14:solidFill>
                </w14:textFill>
              </w:rPr>
              <w:t>表2-</w:t>
            </w:r>
            <w:r>
              <w:rPr>
                <w:rFonts w:hint="eastAsia" w:cs="Times New Roman"/>
                <w:b/>
                <w:bCs/>
                <w:color w:val="000000" w:themeColor="text1"/>
                <w:kern w:val="0"/>
                <w:sz w:val="24"/>
                <w:lang w:val="en-US" w:eastAsia="zh-CN"/>
                <w14:textFill>
                  <w14:solidFill>
                    <w14:schemeClr w14:val="tx1"/>
                  </w14:solidFill>
                </w14:textFill>
              </w:rPr>
              <w:t>8</w:t>
            </w:r>
            <w:r>
              <w:rPr>
                <w:rFonts w:hint="default" w:ascii="Times New Roman" w:hAnsi="Times New Roman" w:eastAsia="宋体" w:cs="Times New Roman"/>
                <w:b/>
                <w:bCs/>
                <w:color w:val="000000" w:themeColor="text1"/>
                <w:kern w:val="0"/>
                <w:sz w:val="24"/>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本项目净水厂</w:t>
            </w:r>
            <w:r>
              <w:rPr>
                <w:rFonts w:hint="default" w:ascii="Times New Roman" w:hAnsi="Times New Roman" w:eastAsia="宋体" w:cs="Times New Roman"/>
                <w:b/>
                <w:bCs/>
                <w:color w:val="000000" w:themeColor="text1"/>
                <w:kern w:val="0"/>
                <w:sz w:val="24"/>
                <w14:textFill>
                  <w14:solidFill>
                    <w14:schemeClr w14:val="tx1"/>
                  </w14:solidFill>
                </w14:textFill>
              </w:rPr>
              <w:t>原辅材料</w:t>
            </w:r>
            <w:r>
              <w:rPr>
                <w:rFonts w:hint="default" w:ascii="Times New Roman" w:hAnsi="Times New Roman" w:cs="Times New Roman"/>
                <w:b/>
                <w:bCs/>
                <w:color w:val="000000" w:themeColor="text1"/>
                <w:kern w:val="0"/>
                <w:sz w:val="24"/>
                <w:lang w:val="en-US" w:eastAsia="zh-CN"/>
                <w14:textFill>
                  <w14:solidFill>
                    <w14:schemeClr w14:val="tx1"/>
                  </w14:solidFill>
                </w14:textFill>
              </w:rPr>
              <w:t>消耗</w:t>
            </w:r>
            <w:r>
              <w:rPr>
                <w:rFonts w:hint="default" w:ascii="Times New Roman" w:hAnsi="Times New Roman" w:eastAsia="宋体" w:cs="Times New Roman"/>
                <w:b/>
                <w:bCs/>
                <w:color w:val="000000" w:themeColor="text1"/>
                <w:kern w:val="0"/>
                <w:sz w:val="24"/>
                <w14:textFill>
                  <w14:solidFill>
                    <w14:schemeClr w14:val="tx1"/>
                  </w14:solidFill>
                </w14:textFill>
              </w:rPr>
              <w:t>情况一览表</w:t>
            </w:r>
          </w:p>
          <w:tbl>
            <w:tblPr>
              <w:tblStyle w:val="22"/>
              <w:tblW w:w="8164" w:type="dxa"/>
              <w:tblInd w:w="0" w:type="dxa"/>
              <w:tblLayout w:type="fixed"/>
              <w:tblCellMar>
                <w:top w:w="0" w:type="dxa"/>
                <w:left w:w="108" w:type="dxa"/>
                <w:bottom w:w="0" w:type="dxa"/>
                <w:right w:w="108" w:type="dxa"/>
              </w:tblCellMar>
            </w:tblPr>
            <w:tblGrid>
              <w:gridCol w:w="685"/>
              <w:gridCol w:w="2868"/>
              <w:gridCol w:w="1061"/>
              <w:gridCol w:w="1318"/>
              <w:gridCol w:w="1103"/>
              <w:gridCol w:w="1129"/>
            </w:tblGrid>
            <w:tr>
              <w:tblPrEx>
                <w:tblCellMar>
                  <w:top w:w="0" w:type="dxa"/>
                  <w:left w:w="108" w:type="dxa"/>
                  <w:bottom w:w="0" w:type="dxa"/>
                  <w:right w:w="108" w:type="dxa"/>
                </w:tblCellMar>
              </w:tblPrEx>
              <w:trPr>
                <w:trHeight w:val="510" w:hRule="atLeast"/>
              </w:trPr>
              <w:tc>
                <w:tcPr>
                  <w:tcW w:w="419"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序号</w:t>
                  </w:r>
                </w:p>
              </w:tc>
              <w:tc>
                <w:tcPr>
                  <w:tcW w:w="1756"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名称</w:t>
                  </w:r>
                </w:p>
              </w:tc>
              <w:tc>
                <w:tcPr>
                  <w:tcW w:w="649"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形态</w:t>
                  </w:r>
                </w:p>
              </w:tc>
              <w:tc>
                <w:tcPr>
                  <w:tcW w:w="807"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消耗量</w:t>
                  </w:r>
                  <w:r>
                    <w:rPr>
                      <w:rFonts w:hint="default" w:ascii="Times New Roman" w:hAnsi="Times New Roman" w:cs="Times New Roman"/>
                      <w:color w:val="000000" w:themeColor="text1"/>
                      <w:kern w:val="0"/>
                      <w:szCs w:val="21"/>
                      <w:lang w:eastAsia="zh-CN" w:bidi="ar"/>
                      <w14:textFill>
                        <w14:solidFill>
                          <w14:schemeClr w14:val="tx1"/>
                        </w14:solidFill>
                      </w14:textFill>
                    </w:rPr>
                    <w:t>（</w:t>
                  </w: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t</w:t>
                  </w:r>
                  <w:r>
                    <w:rPr>
                      <w:rFonts w:hint="default" w:ascii="Times New Roman" w:hAnsi="Times New Roman" w:eastAsia="宋体" w:cs="Times New Roman"/>
                      <w:color w:val="000000" w:themeColor="text1"/>
                      <w:kern w:val="0"/>
                      <w:szCs w:val="21"/>
                      <w:lang w:bidi="ar"/>
                      <w14:textFill>
                        <w14:solidFill>
                          <w14:schemeClr w14:val="tx1"/>
                        </w14:solidFill>
                      </w14:textFill>
                    </w:rPr>
                    <w:t>/</w:t>
                  </w: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a</w:t>
                  </w:r>
                  <w:r>
                    <w:rPr>
                      <w:rFonts w:hint="default" w:ascii="Times New Roman" w:hAnsi="Times New Roman" w:cs="Times New Roman"/>
                      <w:color w:val="000000" w:themeColor="text1"/>
                      <w:kern w:val="0"/>
                      <w:szCs w:val="21"/>
                      <w:lang w:eastAsia="zh-CN" w:bidi="ar"/>
                      <w14:textFill>
                        <w14:solidFill>
                          <w14:schemeClr w14:val="tx1"/>
                        </w14:solidFill>
                      </w14:textFill>
                    </w:rPr>
                    <w:t>）</w:t>
                  </w:r>
                </w:p>
              </w:tc>
              <w:tc>
                <w:tcPr>
                  <w:tcW w:w="675"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贮存方式</w:t>
                  </w:r>
                </w:p>
              </w:tc>
              <w:tc>
                <w:tcPr>
                  <w:tcW w:w="691"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使用点</w:t>
                  </w:r>
                </w:p>
              </w:tc>
            </w:tr>
            <w:tr>
              <w:tblPrEx>
                <w:tblCellMar>
                  <w:top w:w="0" w:type="dxa"/>
                  <w:left w:w="108" w:type="dxa"/>
                  <w:bottom w:w="0" w:type="dxa"/>
                  <w:right w:w="108" w:type="dxa"/>
                </w:tblCellMar>
              </w:tblPrEx>
              <w:trPr>
                <w:trHeight w:val="480" w:hRule="atLeast"/>
              </w:trPr>
              <w:tc>
                <w:tcPr>
                  <w:tcW w:w="419"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1</w:t>
                  </w:r>
                </w:p>
              </w:tc>
              <w:tc>
                <w:tcPr>
                  <w:tcW w:w="1756"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聚合氯化铝（</w:t>
                  </w:r>
                  <w:r>
                    <w:rPr>
                      <w:rFonts w:hint="default" w:ascii="Times New Roman" w:hAnsi="Times New Roman" w:eastAsia="宋体" w:cs="Times New Roman"/>
                      <w:color w:val="000000" w:themeColor="text1"/>
                      <w:kern w:val="0"/>
                      <w:szCs w:val="21"/>
                      <w:lang w:bidi="ar"/>
                      <w14:textFill>
                        <w14:solidFill>
                          <w14:schemeClr w14:val="tx1"/>
                        </w14:solidFill>
                      </w14:textFill>
                    </w:rPr>
                    <w:t>PAC</w:t>
                  </w:r>
                  <w:r>
                    <w:rPr>
                      <w:rFonts w:hint="default" w:ascii="Times New Roman" w:hAnsi="Times New Roman" w:cs="Times New Roman"/>
                      <w:color w:val="000000" w:themeColor="text1"/>
                      <w:kern w:val="0"/>
                      <w:szCs w:val="21"/>
                      <w:lang w:val="en-US" w:eastAsia="zh-CN" w:bidi="ar"/>
                      <w14:textFill>
                        <w14:solidFill>
                          <w14:schemeClr w14:val="tx1"/>
                        </w14:solidFill>
                      </w14:textFill>
                    </w:rPr>
                    <w:t>）</w:t>
                  </w:r>
                </w:p>
              </w:tc>
              <w:tc>
                <w:tcPr>
                  <w:tcW w:w="649"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固体</w:t>
                  </w:r>
                </w:p>
              </w:tc>
              <w:tc>
                <w:tcPr>
                  <w:tcW w:w="807"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219</w:t>
                  </w:r>
                </w:p>
              </w:tc>
              <w:tc>
                <w:tcPr>
                  <w:tcW w:w="675"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袋装</w:t>
                  </w:r>
                </w:p>
              </w:tc>
              <w:tc>
                <w:tcPr>
                  <w:tcW w:w="691"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高密池</w:t>
                  </w:r>
                </w:p>
              </w:tc>
            </w:tr>
            <w:tr>
              <w:tblPrEx>
                <w:tblCellMar>
                  <w:top w:w="0" w:type="dxa"/>
                  <w:left w:w="108" w:type="dxa"/>
                  <w:bottom w:w="0" w:type="dxa"/>
                  <w:right w:w="108" w:type="dxa"/>
                </w:tblCellMar>
              </w:tblPrEx>
              <w:trPr>
                <w:trHeight w:val="480" w:hRule="atLeast"/>
              </w:trPr>
              <w:tc>
                <w:tcPr>
                  <w:tcW w:w="419"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2</w:t>
                  </w:r>
                </w:p>
              </w:tc>
              <w:tc>
                <w:tcPr>
                  <w:tcW w:w="1756"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聚丙烯酰胺</w:t>
                  </w:r>
                  <w:r>
                    <w:rPr>
                      <w:rFonts w:hint="default" w:ascii="Times New Roman" w:hAnsi="Times New Roman" w:cs="Times New Roman"/>
                      <w:color w:val="000000" w:themeColor="text1"/>
                      <w:kern w:val="0"/>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Cs w:val="21"/>
                      <w:lang w:bidi="ar"/>
                      <w14:textFill>
                        <w14:solidFill>
                          <w14:schemeClr w14:val="tx1"/>
                        </w14:solidFill>
                      </w14:textFill>
                    </w:rPr>
                    <w:t>PAM</w:t>
                  </w: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w:t>
                  </w:r>
                  <w:r>
                    <w:rPr>
                      <w:rFonts w:hint="default" w:ascii="Times New Roman" w:hAnsi="Times New Roman" w:cs="Times New Roman"/>
                      <w:color w:val="000000" w:themeColor="text1"/>
                      <w:kern w:val="0"/>
                      <w:szCs w:val="21"/>
                      <w:lang w:val="en-US" w:eastAsia="zh-CN" w:bidi="ar"/>
                      <w14:textFill>
                        <w14:solidFill>
                          <w14:schemeClr w14:val="tx1"/>
                        </w14:solidFill>
                      </w14:textFill>
                    </w:rPr>
                    <w:t>阴</w:t>
                  </w: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离子</w:t>
                  </w:r>
                  <w:r>
                    <w:rPr>
                      <w:rFonts w:hint="default" w:ascii="Times New Roman" w:hAnsi="Times New Roman" w:cs="Times New Roman"/>
                      <w:color w:val="000000" w:themeColor="text1"/>
                      <w:kern w:val="0"/>
                      <w:szCs w:val="21"/>
                      <w:lang w:val="en-US" w:eastAsia="zh-CN" w:bidi="ar"/>
                      <w14:textFill>
                        <w14:solidFill>
                          <w14:schemeClr w14:val="tx1"/>
                        </w14:solidFill>
                      </w14:textFill>
                    </w:rPr>
                    <w:t>）</w:t>
                  </w:r>
                </w:p>
              </w:tc>
              <w:tc>
                <w:tcPr>
                  <w:tcW w:w="649"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固体</w:t>
                  </w:r>
                </w:p>
              </w:tc>
              <w:tc>
                <w:tcPr>
                  <w:tcW w:w="807"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6.09</w:t>
                  </w:r>
                </w:p>
              </w:tc>
              <w:tc>
                <w:tcPr>
                  <w:tcW w:w="675"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袋装</w:t>
                  </w:r>
                </w:p>
              </w:tc>
              <w:tc>
                <w:tcPr>
                  <w:tcW w:w="691"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高密池</w:t>
                  </w:r>
                </w:p>
              </w:tc>
            </w:tr>
            <w:tr>
              <w:tblPrEx>
                <w:tblCellMar>
                  <w:top w:w="0" w:type="dxa"/>
                  <w:left w:w="108" w:type="dxa"/>
                  <w:bottom w:w="0" w:type="dxa"/>
                  <w:right w:w="108" w:type="dxa"/>
                </w:tblCellMar>
              </w:tblPrEx>
              <w:trPr>
                <w:trHeight w:val="480" w:hRule="atLeast"/>
              </w:trPr>
              <w:tc>
                <w:tcPr>
                  <w:tcW w:w="419"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3</w:t>
                  </w:r>
                </w:p>
              </w:tc>
              <w:tc>
                <w:tcPr>
                  <w:tcW w:w="1756"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次氯酸钠</w:t>
                  </w:r>
                  <w:r>
                    <w:rPr>
                      <w:rFonts w:hint="default" w:ascii="Times New Roman" w:hAnsi="Times New Roman" w:eastAsia="宋体" w:cs="Times New Roman"/>
                      <w:color w:val="000000" w:themeColor="text1"/>
                      <w:kern w:val="0"/>
                      <w:szCs w:val="21"/>
                      <w:lang w:eastAsia="zh-CN" w:bidi="ar"/>
                      <w14:textFill>
                        <w14:solidFill>
                          <w14:schemeClr w14:val="tx1"/>
                        </w14:solidFill>
                      </w14:textFill>
                    </w:rPr>
                    <w:t>（</w:t>
                  </w:r>
                  <w:r>
                    <w:rPr>
                      <w:rFonts w:hint="default" w:ascii="Times New Roman" w:hAnsi="Times New Roman" w:eastAsia="宋体" w:cs="Times New Roman"/>
                      <w:color w:val="000000" w:themeColor="text1"/>
                      <w:kern w:val="0"/>
                      <w:szCs w:val="21"/>
                      <w:lang w:bidi="ar"/>
                      <w14:textFill>
                        <w14:solidFill>
                          <w14:schemeClr w14:val="tx1"/>
                        </w14:solidFill>
                      </w14:textFill>
                    </w:rPr>
                    <w:t>浓度10%</w:t>
                  </w:r>
                  <w:r>
                    <w:rPr>
                      <w:rFonts w:hint="default" w:ascii="Times New Roman" w:hAnsi="Times New Roman" w:eastAsia="宋体" w:cs="Times New Roman"/>
                      <w:color w:val="000000" w:themeColor="text1"/>
                      <w:kern w:val="0"/>
                      <w:szCs w:val="21"/>
                      <w:lang w:eastAsia="zh-CN" w:bidi="ar"/>
                      <w14:textFill>
                        <w14:solidFill>
                          <w14:schemeClr w14:val="tx1"/>
                        </w14:solidFill>
                      </w14:textFill>
                    </w:rPr>
                    <w:t>）</w:t>
                  </w:r>
                </w:p>
              </w:tc>
              <w:tc>
                <w:tcPr>
                  <w:tcW w:w="649"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液体</w:t>
                  </w:r>
                </w:p>
              </w:tc>
              <w:tc>
                <w:tcPr>
                  <w:tcW w:w="807"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292</w:t>
                  </w:r>
                </w:p>
              </w:tc>
              <w:tc>
                <w:tcPr>
                  <w:tcW w:w="675"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袋装</w:t>
                  </w:r>
                </w:p>
              </w:tc>
              <w:tc>
                <w:tcPr>
                  <w:tcW w:w="691"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消毒池</w:t>
                  </w:r>
                </w:p>
              </w:tc>
            </w:tr>
            <w:tr>
              <w:tblPrEx>
                <w:tblCellMar>
                  <w:top w:w="0" w:type="dxa"/>
                  <w:left w:w="108" w:type="dxa"/>
                  <w:bottom w:w="0" w:type="dxa"/>
                  <w:right w:w="108" w:type="dxa"/>
                </w:tblCellMar>
              </w:tblPrEx>
              <w:trPr>
                <w:trHeight w:val="480" w:hRule="atLeast"/>
              </w:trPr>
              <w:tc>
                <w:tcPr>
                  <w:tcW w:w="419"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4</w:t>
                  </w:r>
                </w:p>
              </w:tc>
              <w:tc>
                <w:tcPr>
                  <w:tcW w:w="1756"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聚丙烯酰胺</w:t>
                  </w:r>
                  <w:r>
                    <w:rPr>
                      <w:rFonts w:hint="default" w:ascii="Times New Roman" w:hAnsi="Times New Roman" w:eastAsia="宋体" w:cs="Times New Roman"/>
                      <w:color w:val="000000" w:themeColor="text1"/>
                      <w:kern w:val="0"/>
                      <w:szCs w:val="21"/>
                      <w:lang w:eastAsia="zh-CN" w:bidi="ar"/>
                      <w14:textFill>
                        <w14:solidFill>
                          <w14:schemeClr w14:val="tx1"/>
                        </w14:solidFill>
                      </w14:textFill>
                    </w:rPr>
                    <w:t>（</w:t>
                  </w:r>
                  <w:r>
                    <w:rPr>
                      <w:rFonts w:hint="default" w:ascii="Times New Roman" w:hAnsi="Times New Roman" w:eastAsia="宋体" w:cs="Times New Roman"/>
                      <w:color w:val="000000" w:themeColor="text1"/>
                      <w:kern w:val="0"/>
                      <w:szCs w:val="21"/>
                      <w:lang w:bidi="ar"/>
                      <w14:textFill>
                        <w14:solidFill>
                          <w14:schemeClr w14:val="tx1"/>
                        </w14:solidFill>
                      </w14:textFill>
                    </w:rPr>
                    <w:t>PAM</w:t>
                  </w: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Cs w:val="21"/>
                      <w:lang w:bidi="ar"/>
                      <w14:textFill>
                        <w14:solidFill>
                          <w14:schemeClr w14:val="tx1"/>
                        </w14:solidFill>
                      </w14:textFill>
                    </w:rPr>
                    <w:t>阳离子）</w:t>
                  </w:r>
                </w:p>
              </w:tc>
              <w:tc>
                <w:tcPr>
                  <w:tcW w:w="649"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固体</w:t>
                  </w:r>
                </w:p>
              </w:tc>
              <w:tc>
                <w:tcPr>
                  <w:tcW w:w="807"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1.13</w:t>
                  </w:r>
                </w:p>
              </w:tc>
              <w:tc>
                <w:tcPr>
                  <w:tcW w:w="675"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袋装</w:t>
                  </w:r>
                </w:p>
              </w:tc>
              <w:tc>
                <w:tcPr>
                  <w:tcW w:w="691"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污泥处理</w:t>
                  </w:r>
                </w:p>
              </w:tc>
            </w:tr>
            <w:tr>
              <w:tblPrEx>
                <w:tblCellMar>
                  <w:top w:w="0" w:type="dxa"/>
                  <w:left w:w="108" w:type="dxa"/>
                  <w:bottom w:w="0" w:type="dxa"/>
                  <w:right w:w="108" w:type="dxa"/>
                </w:tblCellMar>
              </w:tblPrEx>
              <w:trPr>
                <w:trHeight w:val="480" w:hRule="atLeast"/>
              </w:trPr>
              <w:tc>
                <w:tcPr>
                  <w:tcW w:w="419"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5</w:t>
                  </w:r>
                </w:p>
              </w:tc>
              <w:tc>
                <w:tcPr>
                  <w:tcW w:w="1756"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机油</w:t>
                  </w:r>
                </w:p>
              </w:tc>
              <w:tc>
                <w:tcPr>
                  <w:tcW w:w="649"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液体</w:t>
                  </w:r>
                </w:p>
              </w:tc>
              <w:tc>
                <w:tcPr>
                  <w:tcW w:w="807"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0.5</w:t>
                  </w:r>
                </w:p>
              </w:tc>
              <w:tc>
                <w:tcPr>
                  <w:tcW w:w="675"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桶装</w:t>
                  </w:r>
                </w:p>
              </w:tc>
              <w:tc>
                <w:tcPr>
                  <w:tcW w:w="691"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检修</w:t>
                  </w:r>
                </w:p>
              </w:tc>
            </w:tr>
          </w:tbl>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1</w:t>
            </w:r>
            <w:r>
              <w:rPr>
                <w:rFonts w:hint="default" w:ascii="Times New Roman" w:hAnsi="Times New Roman" w:cs="Times New Roman"/>
                <w:color w:val="000000" w:themeColor="text1"/>
                <w:kern w:val="0"/>
                <w:sz w:val="24"/>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、工作制度及劳动定员</w:t>
            </w:r>
          </w:p>
          <w:p>
            <w:pPr>
              <w:spacing w:line="360" w:lineRule="auto"/>
              <w:ind w:firstLine="480" w:firstLineChars="200"/>
              <w:rPr>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本项目劳动定员30人，年工作时间为365d，每天24h，工作制度为4班3运转。</w:t>
            </w:r>
            <w:r>
              <w:rPr>
                <w:color w:val="000000" w:themeColor="text1"/>
                <w:sz w:val="24"/>
                <w14:textFill>
                  <w14:solidFill>
                    <w14:schemeClr w14:val="tx1"/>
                  </w14:solidFill>
                </w14:textFill>
              </w:rPr>
              <w:t>员工均在</w:t>
            </w:r>
            <w:r>
              <w:rPr>
                <w:rFonts w:hint="eastAsia"/>
                <w:color w:val="000000" w:themeColor="text1"/>
                <w:sz w:val="24"/>
                <w:lang w:val="en-US" w:eastAsia="zh-CN"/>
                <w14:textFill>
                  <w14:solidFill>
                    <w14:schemeClr w14:val="tx1"/>
                  </w14:solidFill>
                </w14:textFill>
              </w:rPr>
              <w:t>净水厂</w:t>
            </w:r>
            <w:r>
              <w:rPr>
                <w:color w:val="000000" w:themeColor="text1"/>
                <w:sz w:val="24"/>
                <w14:textFill>
                  <w14:solidFill>
                    <w14:schemeClr w14:val="tx1"/>
                  </w14:solidFill>
                </w14:textFill>
              </w:rPr>
              <w:t>内食宿，提供员工</w:t>
            </w:r>
            <w:r>
              <w:rPr>
                <w:rFonts w:hint="eastAsia"/>
                <w:color w:val="000000" w:themeColor="text1"/>
                <w:sz w:val="24"/>
                <w:lang w:eastAsia="zh-CN"/>
                <w14:textFill>
                  <w14:solidFill>
                    <w14:schemeClr w14:val="tx1"/>
                  </w14:solidFill>
                </w14:textFill>
              </w:rPr>
              <w:t>午餐</w:t>
            </w:r>
            <w:r>
              <w:rPr>
                <w:color w:val="000000" w:themeColor="text1"/>
                <w:sz w:val="24"/>
                <w14:textFill>
                  <w14:solidFill>
                    <w14:schemeClr w14:val="tx1"/>
                  </w14:solidFill>
                </w14:textFill>
              </w:rPr>
              <w:t>，日平均就餐最大人数约</w:t>
            </w:r>
            <w:r>
              <w:rPr>
                <w:rFonts w:hint="eastAsia"/>
                <w:color w:val="000000" w:themeColor="text1"/>
                <w:sz w:val="24"/>
                <w:lang w:val="en-US" w:eastAsia="zh-CN"/>
                <w14:textFill>
                  <w14:solidFill>
                    <w14:schemeClr w14:val="tx1"/>
                  </w14:solidFill>
                </w14:textFill>
              </w:rPr>
              <w:t>30</w:t>
            </w:r>
            <w:r>
              <w:rPr>
                <w:color w:val="000000" w:themeColor="text1"/>
                <w:sz w:val="24"/>
                <w14:textFill>
                  <w14:solidFill>
                    <w14:schemeClr w14:val="tx1"/>
                  </w14:solidFill>
                </w14:textFill>
              </w:rPr>
              <w:t>人。</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本项目</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施工高峰</w:t>
            </w:r>
            <w:r>
              <w:rPr>
                <w:rFonts w:hint="default" w:ascii="Times New Roman" w:hAnsi="Times New Roman" w:cs="Times New Roman"/>
                <w:color w:val="000000" w:themeColor="text1"/>
                <w:kern w:val="0"/>
                <w:sz w:val="24"/>
                <w:lang w:val="en-US" w:eastAsia="zh-CN"/>
                <w14:textFill>
                  <w14:solidFill>
                    <w14:schemeClr w14:val="tx1"/>
                  </w14:solidFill>
                </w14:textFill>
              </w:rPr>
              <w:t>期施工</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人数约50人。</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12、</w:t>
            </w:r>
            <w:r>
              <w:rPr>
                <w:rFonts w:hint="default" w:ascii="Times New Roman" w:hAnsi="Times New Roman" w:eastAsia="宋体" w:cs="Times New Roman"/>
                <w:color w:val="000000" w:themeColor="text1"/>
                <w:sz w:val="24"/>
                <w:lang w:val="en-US" w:eastAsia="zh-CN"/>
                <w14:textFill>
                  <w14:solidFill>
                    <w14:schemeClr w14:val="tx1"/>
                  </w14:solidFill>
                </w14:textFill>
              </w:rPr>
              <w:t>取水口位置合理性分析</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cs="Times New Roman" w:eastAsiaTheme="minorEastAsia"/>
                <w:snapToGrid w:val="0"/>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4"/>
                <w14:textFill>
                  <w14:solidFill>
                    <w14:schemeClr w14:val="tx1"/>
                  </w14:solidFill>
                </w14:textFill>
              </w:rPr>
              <w:t>本项目取水采用坝后取水，在原抗旱应急工程清水池中取水，清水池来水从取水枢纽段总干渠引入。总干渠为砼U型，部分上敷混凝土盖板，底宽3.3m，顶宽8.0m，渠高2.7m，设计水深2.2m，设计流量7.7m³/s，校核流量10m³/s</w:t>
            </w:r>
            <w:r>
              <w:rPr>
                <w:rFonts w:hint="default" w:ascii="Times New Roman" w:hAnsi="Times New Roman" w:cs="Times New Roman" w:eastAsiaTheme="minorEastAsia"/>
                <w:snapToGrid w:val="0"/>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4"/>
                <w:lang w:eastAsia="zh-CN"/>
                <w14:textFill>
                  <w14:solidFill>
                    <w14:schemeClr w14:val="tx1"/>
                  </w14:solidFill>
                </w14:textFill>
              </w:rPr>
              <w:t>取水枢纽段总干渠设计流量7.7m³/s，校核流量10m³/s，远远大于本项目输水能力0.532m³/s。在此处取水只需要改造阀门即可，具有施工难度小、施工周期短、施工费用低；全程重力输水，运行费用低；能够稳定运行等优点。故</w:t>
            </w:r>
            <w:r>
              <w:rPr>
                <w:rFonts w:hint="eastAsia" w:ascii="Times New Roman" w:hAnsi="Times New Roman" w:cs="Times New Roman" w:eastAsiaTheme="minorEastAsia"/>
                <w:snapToGrid w:val="0"/>
                <w:color w:val="000000" w:themeColor="text1"/>
                <w:sz w:val="24"/>
                <w:szCs w:val="24"/>
                <w:lang w:val="en-US" w:eastAsia="zh-CN"/>
                <w14:textFill>
                  <w14:solidFill>
                    <w14:schemeClr w14:val="tx1"/>
                  </w14:solidFill>
                </w14:textFill>
              </w:rPr>
              <w:t>本项目</w:t>
            </w:r>
            <w:r>
              <w:rPr>
                <w:rFonts w:hint="default" w:ascii="Times New Roman" w:hAnsi="Times New Roman" w:cs="Times New Roman" w:eastAsiaTheme="minorEastAsia"/>
                <w:snapToGrid w:val="0"/>
                <w:color w:val="000000" w:themeColor="text1"/>
                <w:sz w:val="24"/>
                <w:szCs w:val="24"/>
                <w:lang w:eastAsia="zh-CN"/>
                <w14:textFill>
                  <w14:solidFill>
                    <w14:schemeClr w14:val="tx1"/>
                  </w14:solidFill>
                </w14:textFill>
              </w:rPr>
              <w:t>取水口位置选用合理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13、水资源量分析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w:t>
            </w:r>
            <w:r>
              <w:rPr>
                <w:rFonts w:hint="default" w:ascii="Times New Roman" w:hAnsi="Times New Roman" w:cs="Times New Roman"/>
                <w:color w:val="000000" w:themeColor="text1"/>
                <w:sz w:val="24"/>
                <w:lang w:val="en-US" w:eastAsia="zh-CN"/>
                <w14:textFill>
                  <w14:solidFill>
                    <w14:schemeClr w14:val="tx1"/>
                  </w14:solidFill>
                </w14:textFill>
              </w:rPr>
              <w:t>初步设计，</w:t>
            </w:r>
            <w:r>
              <w:rPr>
                <w:rFonts w:hint="default" w:ascii="Times New Roman" w:hAnsi="Times New Roman" w:eastAsia="宋体" w:cs="Times New Roman"/>
                <w:color w:val="000000" w:themeColor="text1"/>
                <w:sz w:val="24"/>
                <w:lang w:val="en-US" w:eastAsia="zh-CN"/>
                <w14:textFill>
                  <w14:solidFill>
                    <w14:schemeClr w14:val="tx1"/>
                  </w14:solidFill>
                </w14:textFill>
              </w:rPr>
              <w:t>《陕西省宝鸡市陇县农业综合开发段家峡水库中型灌区节水配套改造项目初步设计报告》对水库供水量进行了详细分析论证，并经过了水利部门的审查。水库可供水量4824.25万m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/年，灌区设计水平年2020年，灌溉保证率为50%，灌溉用水量3029.27万m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/年；本项目年供水量1679万m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/年，余水116万m³/年，水量充足。</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此外，</w:t>
            </w:r>
            <w:r>
              <w:rPr>
                <w:rFonts w:hint="default" w:ascii="Times New Roman" w:hAnsi="Times New Roman" w:eastAsia="宋体" w:cs="Times New Roman"/>
                <w:color w:val="000000" w:themeColor="text1"/>
                <w:sz w:val="24"/>
                <w:lang w:val="en-US" w:eastAsia="zh-CN"/>
                <w14:textFill>
                  <w14:solidFill>
                    <w14:schemeClr w14:val="tx1"/>
                  </w14:solidFill>
                </w14:textFill>
              </w:rPr>
              <w:t>根据宝鸡江河水文科技有限公司出具的《陇县城乡一体化供水工程水资源论证报告》（2022年6月），本</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w:t>
            </w:r>
            <w:r>
              <w:rPr>
                <w:rFonts w:hint="default" w:ascii="Times New Roman" w:hAnsi="Times New Roman" w:cs="Times New Roman" w:eastAsiaTheme="minorEastAsia"/>
                <w:snapToGrid w:val="0"/>
                <w:color w:val="000000" w:themeColor="text1"/>
                <w:sz w:val="24"/>
                <w:szCs w:val="24"/>
                <w14:textFill>
                  <w14:solidFill>
                    <w14:schemeClr w14:val="tx1"/>
                  </w14:solidFill>
                </w14:textFill>
              </w:rPr>
              <w:t>设计日取水规模4</w:t>
            </w:r>
            <w:r>
              <w:rPr>
                <w:rFonts w:hint="default" w:ascii="Times New Roman" w:hAnsi="Times New Roman" w:cs="Times New Roman" w:eastAsiaTheme="minorEastAsia"/>
                <w:snapToGrid w:val="0"/>
                <w:color w:val="000000" w:themeColor="text1"/>
                <w:sz w:val="24"/>
                <w:szCs w:val="24"/>
                <w:lang w:val="en-US" w:eastAsia="zh-CN"/>
                <w14:textFill>
                  <w14:solidFill>
                    <w14:schemeClr w14:val="tx1"/>
                  </w14:solidFill>
                </w14:textFill>
              </w:rPr>
              <w:t>0</w:t>
            </w:r>
            <w:r>
              <w:rPr>
                <w:rFonts w:hint="default" w:ascii="Times New Roman" w:hAnsi="Times New Roman" w:cs="Times New Roman" w:eastAsiaTheme="minorEastAsia"/>
                <w:snapToGrid w:val="0"/>
                <w:color w:val="000000" w:themeColor="text1"/>
                <w:sz w:val="24"/>
                <w:szCs w:val="24"/>
                <w14:textFill>
                  <w14:solidFill>
                    <w14:schemeClr w14:val="tx1"/>
                  </w14:solidFill>
                </w14:textFill>
              </w:rPr>
              <w:t>000m</w:t>
            </w:r>
            <w:r>
              <w:rPr>
                <w:rFonts w:hint="default" w:ascii="Times New Roman" w:hAnsi="Times New Roman" w:cs="Times New Roman" w:eastAsiaTheme="minorEastAsia"/>
                <w:snapToGrid w:val="0"/>
                <w:color w:val="000000" w:themeColor="text1"/>
                <w:sz w:val="24"/>
                <w:szCs w:val="24"/>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4"/>
                <w:szCs w:val="24"/>
                <w14:textFill>
                  <w14:solidFill>
                    <w14:schemeClr w14:val="tx1"/>
                  </w14:solidFill>
                </w14:textFill>
              </w:rPr>
              <w:t>，设计日用水量</w:t>
            </w:r>
            <w:r>
              <w:rPr>
                <w:rFonts w:hint="default" w:ascii="Times New Roman" w:hAnsi="Times New Roman" w:cs="Times New Roman"/>
                <w:snapToGrid w:val="0"/>
                <w:color w:val="000000" w:themeColor="text1"/>
                <w:sz w:val="24"/>
                <w:szCs w:val="24"/>
                <w:lang w:val="en-US" w:eastAsia="zh-CN"/>
                <w14:textFill>
                  <w14:solidFill>
                    <w14:schemeClr w14:val="tx1"/>
                  </w14:solidFill>
                </w14:textFill>
              </w:rPr>
              <w:t>47537.99</w:t>
            </w:r>
            <w:r>
              <w:rPr>
                <w:rFonts w:hint="default" w:ascii="Times New Roman" w:hAnsi="Times New Roman" w:cs="Times New Roman" w:eastAsiaTheme="minorEastAsia"/>
                <w:snapToGrid w:val="0"/>
                <w:color w:val="000000" w:themeColor="text1"/>
                <w:sz w:val="24"/>
                <w:szCs w:val="24"/>
                <w14:textFill>
                  <w14:solidFill>
                    <w14:schemeClr w14:val="tx1"/>
                  </w14:solidFill>
                </w14:textFill>
              </w:rPr>
              <w:t>m</w:t>
            </w:r>
            <w:r>
              <w:rPr>
                <w:rFonts w:hint="default" w:ascii="Times New Roman" w:hAnsi="Times New Roman" w:cs="Times New Roman" w:eastAsiaTheme="minorEastAsia"/>
                <w:snapToGrid w:val="0"/>
                <w:color w:val="000000" w:themeColor="text1"/>
                <w:sz w:val="24"/>
                <w:szCs w:val="24"/>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4"/>
                <w:szCs w:val="24"/>
                <w14:textFill>
                  <w14:solidFill>
                    <w14:schemeClr w14:val="tx1"/>
                  </w14:solidFill>
                </w14:textFill>
              </w:rPr>
              <w:t>，年用水量</w:t>
            </w:r>
            <w:r>
              <w:rPr>
                <w:rFonts w:hint="default" w:ascii="Times New Roman" w:hAnsi="Times New Roman" w:cs="Times New Roman" w:eastAsiaTheme="minorEastAsia"/>
                <w:snapToGrid w:val="0"/>
                <w:color w:val="000000" w:themeColor="text1"/>
                <w:sz w:val="24"/>
                <w:szCs w:val="24"/>
                <w:lang w:val="en-US" w:eastAsia="zh-CN"/>
                <w14:textFill>
                  <w14:solidFill>
                    <w14:schemeClr w14:val="tx1"/>
                  </w14:solidFill>
                </w14:textFill>
              </w:rPr>
              <w:t>1735.14</w:t>
            </w:r>
            <w:r>
              <w:rPr>
                <w:rFonts w:hint="default" w:ascii="Times New Roman" w:hAnsi="Times New Roman" w:cs="Times New Roman" w:eastAsiaTheme="minorEastAsia"/>
                <w:snapToGrid w:val="0"/>
                <w:color w:val="000000" w:themeColor="text1"/>
                <w:sz w:val="24"/>
                <w:szCs w:val="24"/>
                <w14:textFill>
                  <w14:solidFill>
                    <w14:schemeClr w14:val="tx1"/>
                  </w14:solidFill>
                </w14:textFill>
              </w:rPr>
              <w:t>万m</w:t>
            </w:r>
            <w:r>
              <w:rPr>
                <w:rFonts w:hint="default" w:ascii="Times New Roman" w:hAnsi="Times New Roman" w:cs="Times New Roman" w:eastAsiaTheme="minorEastAsia"/>
                <w:snapToGrid w:val="0"/>
                <w:color w:val="000000" w:themeColor="text1"/>
                <w:sz w:val="24"/>
                <w:szCs w:val="24"/>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4"/>
                <w:szCs w:val="24"/>
                <w14:textFill>
                  <w14:solidFill>
                    <w14:schemeClr w14:val="tx1"/>
                  </w14:solidFill>
                </w14:textFill>
              </w:rPr>
              <w:t>。取水水源为段家峡水库，通过水库上游流域径流和可供水量分析计算，水库多年平均径流量为</w:t>
            </w:r>
            <w:r>
              <w:rPr>
                <w:rFonts w:hint="eastAsia" w:cs="Times New Roman" w:eastAsiaTheme="minorEastAsia"/>
                <w:snapToGrid w:val="0"/>
                <w:color w:val="000000" w:themeColor="text1"/>
                <w:sz w:val="24"/>
                <w:szCs w:val="24"/>
                <w:lang w:val="en-US" w:eastAsia="zh-CN"/>
                <w14:textFill>
                  <w14:solidFill>
                    <w14:schemeClr w14:val="tx1"/>
                  </w14:solidFill>
                </w14:textFill>
              </w:rPr>
              <w:t>1.2</w:t>
            </w:r>
            <w:r>
              <w:rPr>
                <w:rFonts w:hint="default" w:ascii="Times New Roman" w:hAnsi="Times New Roman" w:cs="Times New Roman" w:eastAsiaTheme="minorEastAsia"/>
                <w:snapToGrid w:val="0"/>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snapToGrid w:val="0"/>
                <w:color w:val="000000" w:themeColor="text1"/>
                <w:sz w:val="24"/>
                <w:szCs w:val="24"/>
                <w14:textFill>
                  <w14:solidFill>
                    <w14:schemeClr w14:val="tx1"/>
                  </w14:solidFill>
                </w14:textFill>
              </w:rPr>
              <w:t>亿m</w:t>
            </w:r>
            <w:r>
              <w:rPr>
                <w:rFonts w:hint="default" w:ascii="Times New Roman" w:hAnsi="Times New Roman" w:cs="Times New Roman" w:eastAsiaTheme="minorEastAsia"/>
                <w:snapToGrid w:val="0"/>
                <w:color w:val="000000" w:themeColor="text1"/>
                <w:sz w:val="24"/>
                <w:szCs w:val="24"/>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4"/>
                <w:szCs w:val="24"/>
                <w14:textFill>
                  <w14:solidFill>
                    <w14:schemeClr w14:val="tx1"/>
                  </w14:solidFill>
                </w14:textFill>
              </w:rPr>
              <w:t>，除去灌溉用水，年可供水量1794.98万</w:t>
            </w:r>
            <w:r>
              <w:rPr>
                <w:rFonts w:hint="default" w:ascii="Times New Roman" w:hAnsi="Times New Roman" w:cs="Times New Roman" w:eastAsiaTheme="minorEastAsia"/>
                <w:color w:val="000000" w:themeColor="text1"/>
                <w:sz w:val="24"/>
                <w:szCs w:val="24"/>
                <w:lang w:val="zh-CN"/>
                <w14:textFill>
                  <w14:solidFill>
                    <w14:schemeClr w14:val="tx1"/>
                  </w14:solidFill>
                </w14:textFill>
              </w:rPr>
              <w:t>m</w:t>
            </w:r>
            <w:r>
              <w:rPr>
                <w:rFonts w:hint="default" w:ascii="Times New Roman" w:hAnsi="Times New Roman" w:cs="Times New Roman" w:eastAsiaTheme="minorEastAsia"/>
                <w:color w:val="000000" w:themeColor="text1"/>
                <w:sz w:val="24"/>
                <w:szCs w:val="24"/>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，故</w:t>
            </w:r>
            <w:r>
              <w:rPr>
                <w:rFonts w:hint="eastAsia" w:cs="Times New Roman" w:eastAsiaTheme="minorEastAsia"/>
                <w:snapToGrid w:val="0"/>
                <w:color w:val="000000" w:themeColor="text1"/>
                <w:sz w:val="24"/>
                <w:szCs w:val="24"/>
                <w:lang w:val="en-US" w:eastAsia="zh-CN"/>
                <w14:textFill>
                  <w14:solidFill>
                    <w14:schemeClr w14:val="tx1"/>
                  </w14:solidFill>
                </w14:textFill>
              </w:rPr>
              <w:t>本</w:t>
            </w:r>
            <w:r>
              <w:rPr>
                <w:rFonts w:hint="default" w:ascii="Times New Roman" w:hAnsi="Times New Roman" w:cs="Times New Roman" w:eastAsiaTheme="minorEastAsia"/>
                <w:snapToGrid w:val="0"/>
                <w:color w:val="000000" w:themeColor="text1"/>
                <w:sz w:val="24"/>
                <w:szCs w:val="24"/>
                <w14:textFill>
                  <w14:solidFill>
                    <w14:schemeClr w14:val="tx1"/>
                  </w14:solidFill>
                </w14:textFill>
              </w:rPr>
              <w:t>项目取水能够得到保</w:t>
            </w:r>
            <w:r>
              <w:rPr>
                <w:rFonts w:hint="default" w:ascii="Times New Roman" w:hAnsi="Times New Roman" w:eastAsia="宋体" w:cs="Times New Roman"/>
                <w:color w:val="000000" w:themeColor="text1"/>
                <w:sz w:val="24"/>
                <w:lang w:val="en-US" w:eastAsia="zh-CN"/>
                <w14:textFill>
                  <w14:solidFill>
                    <w14:schemeClr w14:val="tx1"/>
                  </w14:solidFill>
                </w14:textFill>
              </w:rPr>
              <w:t>证。</w:t>
            </w:r>
            <w:r>
              <w:rPr>
                <w:rFonts w:hint="eastAsia" w:ascii="Times New Roman" w:hAnsi="Times New Roman" w:eastAsia="宋体" w:cs="Times New Roman"/>
                <w:color w:val="000000" w:themeColor="text1"/>
                <w:sz w:val="24"/>
                <w:lang w:val="en-US" w:eastAsia="zh-CN"/>
                <w14:textFill>
                  <w14:solidFill>
                    <w14:schemeClr w14:val="tx1"/>
                  </w14:solidFill>
                </w14:textFill>
              </w:rPr>
              <w:t>本</w:t>
            </w:r>
            <w:r>
              <w:rPr>
                <w:rFonts w:hint="default" w:ascii="Times New Roman" w:hAnsi="Times New Roman" w:eastAsia="宋体" w:cs="Times New Roman"/>
                <w:color w:val="000000" w:themeColor="text1"/>
                <w:sz w:val="24"/>
                <w:lang w:val="en-US" w:eastAsia="zh-CN"/>
                <w14:textFill>
                  <w14:solidFill>
                    <w14:schemeClr w14:val="tx1"/>
                  </w14:solidFill>
                </w14:textFill>
              </w:rPr>
              <w:t>项目符合国家产业政策和陇县城乡经济发展规划，水源配置和工艺技术基本合理，取水合理</w:t>
            </w:r>
            <w:r>
              <w:rPr>
                <w:rFonts w:hint="default" w:ascii="Times New Roman" w:hAnsi="Times New Roman" w:cs="Times New Roman" w:eastAsiaTheme="minorEastAsia"/>
                <w:snapToGrid w:val="0"/>
                <w:color w:val="000000" w:themeColor="text1"/>
                <w:sz w:val="24"/>
                <w:szCs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710" w:type="dxa"/>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总平面及现场布置</w:t>
            </w:r>
          </w:p>
        </w:tc>
        <w:tc>
          <w:tcPr>
            <w:tcW w:w="8380"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本项目分为取水</w:t>
            </w:r>
            <w:r>
              <w:rPr>
                <w:rFonts w:hint="eastAsia" w:cs="Times New Roman"/>
                <w:color w:val="000000" w:themeColor="text1"/>
                <w:kern w:val="0"/>
                <w:sz w:val="24"/>
                <w:lang w:val="en-US" w:eastAsia="zh-CN"/>
                <w14:textFill>
                  <w14:solidFill>
                    <w14:schemeClr w14:val="tx1"/>
                  </w14:solidFill>
                </w14:textFill>
              </w:rPr>
              <w:t>口</w:t>
            </w:r>
            <w:r>
              <w:rPr>
                <w:rFonts w:hint="default" w:ascii="Times New Roman" w:hAnsi="Times New Roman" w:cs="Times New Roman"/>
                <w:color w:val="000000" w:themeColor="text1"/>
                <w:kern w:val="0"/>
                <w:sz w:val="24"/>
                <w:lang w:val="en-US" w:eastAsia="zh-CN"/>
                <w14:textFill>
                  <w14:solidFill>
                    <w14:schemeClr w14:val="tx1"/>
                  </w14:solidFill>
                </w14:textFill>
              </w:rPr>
              <w:t>、净水厂、输配水</w:t>
            </w:r>
            <w:r>
              <w:rPr>
                <w:rFonts w:hint="eastAsia" w:cs="Times New Roman"/>
                <w:color w:val="000000" w:themeColor="text1"/>
                <w:kern w:val="0"/>
                <w:sz w:val="24"/>
                <w:lang w:val="en-US" w:eastAsia="zh-CN"/>
                <w14:textFill>
                  <w14:solidFill>
                    <w14:schemeClr w14:val="tx1"/>
                  </w14:solidFill>
                </w14:textFill>
              </w:rPr>
              <w:t>管线</w:t>
            </w:r>
            <w:r>
              <w:rPr>
                <w:rFonts w:hint="default" w:ascii="Times New Roman" w:hAnsi="Times New Roman" w:cs="Times New Roman"/>
                <w:color w:val="000000" w:themeColor="text1"/>
                <w:kern w:val="0"/>
                <w:sz w:val="24"/>
                <w:lang w:val="en-US" w:eastAsia="zh-CN"/>
                <w14:textFill>
                  <w14:solidFill>
                    <w14:schemeClr w14:val="tx1"/>
                  </w14:solidFill>
                </w14:textFill>
              </w:rPr>
              <w:t>三部分。</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本项目无弃土弃渣，不设置弃土弃渣场，施工采用分段施工，随挖随填，临时占地可在工程完工后恢复生产功能交还农民。</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本项目在取水点至净水厂段沿管线沟槽边新建1条施工便道，其余利用原有施工便道，施工过程占压施工便道度约7800m，宽度为3.5m，</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现场施工临时道路占地面积为2.73hm</w:t>
            </w:r>
            <w:r>
              <w:rPr>
                <w:rFonts w:hint="default" w:ascii="Times New Roman" w:hAnsi="Times New Roman" w:eastAsia="宋体" w:cs="Times New Roman"/>
                <w:color w:val="000000" w:themeColor="text1"/>
                <w:kern w:val="0"/>
                <w:sz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。采用砂砾石路面，施工结束后恢复原貌。</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本项目施工线路较长，沿引水管线共设置24个施工生产生活区，每个施工生产生活区500</w:t>
            </w:r>
            <w:r>
              <w:rPr>
                <w:rFonts w:hint="default" w:ascii="Times New Roman" w:hAnsi="Times New Roman" w:cs="Times New Roman"/>
                <w:color w:val="000000" w:themeColor="text1"/>
                <w:sz w:val="24"/>
                <w:szCs w:val="24"/>
                <w:lang w:val="en-US" w:eastAsia="zh-CN"/>
                <w14:textFill>
                  <w14:solidFill>
                    <w14:schemeClr w14:val="tx1"/>
                  </w14:solidFill>
                </w14:textFill>
              </w:rPr>
              <w:t>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cs="Times New Roman"/>
                <w:color w:val="000000" w:themeColor="text1"/>
                <w:kern w:val="0"/>
                <w:sz w:val="24"/>
                <w:lang w:val="en-US" w:eastAsia="zh-CN"/>
                <w14:textFill>
                  <w14:solidFill>
                    <w14:schemeClr w14:val="tx1"/>
                  </w14:solidFill>
                </w14:textFill>
              </w:rPr>
              <w:t>。本项目共布设16个材料堆放场，每个材料堆放场地面积为500</w:t>
            </w:r>
            <w:r>
              <w:rPr>
                <w:rFonts w:hint="default" w:ascii="Times New Roman" w:hAnsi="Times New Roman" w:cs="Times New Roman"/>
                <w:color w:val="000000" w:themeColor="text1"/>
                <w:sz w:val="24"/>
                <w:szCs w:val="24"/>
                <w:lang w:val="en-US" w:eastAsia="zh-CN"/>
                <w14:textFill>
                  <w14:solidFill>
                    <w14:schemeClr w14:val="tx1"/>
                  </w14:solidFill>
                </w14:textFill>
              </w:rPr>
              <w:t>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cs="Times New Roman"/>
                <w:color w:val="000000" w:themeColor="text1"/>
                <w:kern w:val="0"/>
                <w:sz w:val="24"/>
                <w:lang w:val="en-US" w:eastAsia="zh-CN"/>
                <w14:textFill>
                  <w14:solidFill>
                    <w14:schemeClr w14:val="tx1"/>
                  </w14:solidFill>
                </w14:textFill>
              </w:rPr>
              <w:t>，总占地面积为8000</w:t>
            </w:r>
            <w:r>
              <w:rPr>
                <w:rFonts w:hint="default" w:ascii="Times New Roman" w:hAnsi="Times New Roman" w:cs="Times New Roman"/>
                <w:color w:val="000000" w:themeColor="text1"/>
                <w:sz w:val="24"/>
                <w:szCs w:val="24"/>
                <w:lang w:val="en-US" w:eastAsia="zh-CN"/>
                <w14:textFill>
                  <w14:solidFill>
                    <w14:schemeClr w14:val="tx1"/>
                  </w14:solidFill>
                </w14:textFill>
              </w:rPr>
              <w:t>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cs="Times New Roman"/>
                <w:color w:val="000000" w:themeColor="text1"/>
                <w:kern w:val="0"/>
                <w:sz w:val="24"/>
                <w:lang w:val="en-US"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本项目施工现场总体布置情况</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见附图</w:t>
            </w:r>
            <w:r>
              <w:rPr>
                <w:rFonts w:hint="default" w:ascii="Times New Roman" w:hAnsi="Times New Roman" w:cs="Times New Roman"/>
                <w:color w:val="000000" w:themeColor="text1"/>
                <w:kern w:val="0"/>
                <w:sz w:val="24"/>
                <w:lang w:val="en-US" w:eastAsia="zh-CN"/>
                <w14:textFill>
                  <w14:solidFill>
                    <w14:schemeClr w14:val="tx1"/>
                  </w14:solidFill>
                </w14:textFill>
              </w:rPr>
              <w:t>8</w:t>
            </w:r>
            <w:r>
              <w:rPr>
                <w:rFonts w:hint="default" w:ascii="Times New Roman" w:hAnsi="Times New Roman" w:eastAsia="宋体" w:cs="Times New Roman"/>
                <w:color w:val="000000" w:themeColor="text1"/>
                <w:kern w:val="0"/>
                <w:sz w:val="24"/>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（1）取水</w:t>
            </w:r>
            <w:r>
              <w:rPr>
                <w:rFonts w:hint="eastAsia" w:cs="Times New Roman"/>
                <w:color w:val="000000" w:themeColor="text1"/>
                <w:kern w:val="0"/>
                <w:sz w:val="24"/>
                <w:lang w:val="en-US" w:eastAsia="zh-CN"/>
                <w14:textFill>
                  <w14:solidFill>
                    <w14:schemeClr w14:val="tx1"/>
                  </w14:solidFill>
                </w14:textFill>
              </w:rPr>
              <w:t>口</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布置情况</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取水采用坝后取水，在原抗旱应急工程清水池中取水，清水池来水从取水枢纽段总干渠引入。总干渠为砼U型，部分上敷混凝土盖板，底宽3.3m，顶宽8.0m，渠高2.7m，设计水深2.2m，设计流量7.7m³/s，校核流量10m³/s</w:t>
            </w:r>
            <w:r>
              <w:rPr>
                <w:rFonts w:hint="default" w:ascii="Times New Roman" w:hAnsi="Times New Roman" w:cs="Times New Roman"/>
                <w:color w:val="000000" w:themeColor="text1"/>
                <w:kern w:val="0"/>
                <w:sz w:val="24"/>
                <w:lang w:val="en-US"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cs="Times New Roman"/>
                <w:color w:val="000000" w:themeColor="text1"/>
                <w:kern w:val="0"/>
                <w:sz w:val="24"/>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cs="Times New Roman"/>
                <w:color w:val="000000" w:themeColor="text1"/>
                <w:kern w:val="0"/>
                <w:sz w:val="24"/>
                <w:lang w:val="en-US" w:eastAsia="zh-CN"/>
                <w14:textFill>
                  <w14:solidFill>
                    <w14:schemeClr w14:val="tx1"/>
                  </w14:solidFill>
                </w14:textFill>
              </w:rPr>
              <w:t>净</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水厂布置情况</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本项目净水厂拟建地点位于王马咀村东侧村道十字交叉口。净</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水厂</w:t>
            </w:r>
            <w:r>
              <w:rPr>
                <w:rFonts w:hint="default" w:ascii="Times New Roman" w:hAnsi="Times New Roman" w:cs="Times New Roman"/>
                <w:color w:val="000000" w:themeColor="text1"/>
                <w:kern w:val="0"/>
                <w:sz w:val="24"/>
                <w:lang w:val="en-US" w:eastAsia="zh-CN"/>
                <w14:textFill>
                  <w14:solidFill>
                    <w14:schemeClr w14:val="tx1"/>
                  </w14:solidFill>
                </w14:textFill>
              </w:rPr>
              <w:t>占地面积约19700m</w:t>
            </w:r>
            <w:r>
              <w:rPr>
                <w:rFonts w:hint="default" w:ascii="Times New Roman" w:hAnsi="Times New Roman" w:cs="Times New Roman"/>
                <w:color w:val="000000" w:themeColor="text1"/>
                <w:kern w:val="0"/>
                <w:sz w:val="24"/>
                <w:vertAlign w:val="superscript"/>
                <w:lang w:val="en-US" w:eastAsia="zh-CN"/>
                <w14:textFill>
                  <w14:solidFill>
                    <w14:schemeClr w14:val="tx1"/>
                  </w14:solidFill>
                </w14:textFill>
              </w:rPr>
              <w:t>2</w:t>
            </w:r>
            <w:r>
              <w:rPr>
                <w:rFonts w:hint="default" w:ascii="Times New Roman" w:hAnsi="Times New Roman"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在厂区内设置有两个出入口，人流出入口位于厂区北侧，并设置门卫室，物流出入口位于厂区东南侧。</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厂区呈矩形分布，综合楼位于厂区东北角，清水池位于综合楼南侧，泵房、鼓风机房及配电间位于厂区东南角；污泥脱水间和加药间位于厂界南侧；锅炉房位于厂区西南角；高密度沉淀池和V型滤池位于清水池西侧；厂区北厂界自西向东依次设置进水稳压房、配水井和回收水池；综合楼西侧空地为预留用地。</w:t>
            </w:r>
            <w:r>
              <w:rPr>
                <w:rFonts w:hint="default" w:ascii="Times New Roman" w:hAnsi="Times New Roman" w:cs="Times New Roman"/>
                <w:color w:val="000000" w:themeColor="text1"/>
                <w:kern w:val="0"/>
                <w:sz w:val="24"/>
                <w:lang w:val="en-US" w:eastAsia="zh-CN"/>
                <w14:textFill>
                  <w14:solidFill>
                    <w14:schemeClr w14:val="tx1"/>
                  </w14:solidFill>
                </w14:textFill>
              </w:rPr>
              <w:t>净</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水厂总平面布置情况详见附图</w:t>
            </w:r>
            <w:r>
              <w:rPr>
                <w:rFonts w:hint="default" w:ascii="Times New Roman" w:hAnsi="Times New Roman" w:cs="Times New Roman"/>
                <w:color w:val="000000" w:themeColor="text1"/>
                <w:kern w:val="0"/>
                <w:sz w:val="24"/>
                <w:lang w:val="en-US" w:eastAsia="zh-CN"/>
                <w14:textFill>
                  <w14:solidFill>
                    <w14:schemeClr w14:val="tx1"/>
                  </w14:solidFill>
                </w14:textFill>
              </w:rPr>
              <w:t>7</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（3）输配水</w:t>
            </w:r>
            <w:r>
              <w:rPr>
                <w:rFonts w:hint="eastAsia" w:cs="Times New Roman"/>
                <w:color w:val="000000" w:themeColor="text1"/>
                <w:sz w:val="24"/>
                <w:lang w:val="en-US" w:eastAsia="zh-CN"/>
                <w14:textFill>
                  <w14:solidFill>
                    <w14:schemeClr w14:val="tx1"/>
                  </w14:solidFill>
                </w14:textFill>
              </w:rPr>
              <w:t>管线</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布置情况</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w:t>
            </w:r>
            <w:r>
              <w:rPr>
                <w:rFonts w:hint="eastAsia" w:ascii="Times New Roman" w:hAnsi="Times New Roman" w:eastAsia="宋体" w:cs="Times New Roman"/>
                <w:color w:val="000000" w:themeColor="text1"/>
                <w:sz w:val="24"/>
                <w:lang w:val="en-US" w:eastAsia="zh-CN"/>
                <w14:textFill>
                  <w14:solidFill>
                    <w14:schemeClr w14:val="tx1"/>
                  </w14:solidFill>
                </w14:textFill>
              </w:rPr>
              <w:t>项目</w:t>
            </w:r>
            <w:r>
              <w:rPr>
                <w:rFonts w:hint="default" w:ascii="Times New Roman" w:hAnsi="Times New Roman" w:eastAsia="宋体" w:cs="Times New Roman"/>
                <w:color w:val="000000" w:themeColor="text1"/>
                <w:sz w:val="24"/>
                <w:lang w:val="en-US" w:eastAsia="zh-CN"/>
                <w14:textFill>
                  <w14:solidFill>
                    <w14:schemeClr w14:val="tx1"/>
                  </w14:solidFill>
                </w14:textFill>
              </w:rPr>
              <w:t>输水管道引自原取水设施清水池出水管上，引出后首先沿着河道左岸埋地敷设，先后</w:t>
            </w:r>
            <w:r>
              <w:rPr>
                <w:rFonts w:hint="eastAsia"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次穿越灌溉干渠，至K1+017穿越千河到右岸，避免在左岸穿越支流，而且左岸施工条件变差，而右岸相对平坦，管道接着沿右岸铺设至K2+729穿越千河至左岸，若继续沿着右岸敷设没有施工空间，施工条件较差，因此穿越千河沿着左岸敷设，顶管穿越两次主干道路，至K4+672再次穿越千河至右岸，继续沿着右岸铺设至K5+750穿越主干渠，再穿越</w:t>
            </w:r>
            <w:r>
              <w:rPr>
                <w:rFonts w:hint="eastAsia"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次桥梁，至K7+105在河道最窄处穿越千河支流蒲峪河，沿着关山大道西侧敷设至K7+497顶管穿越关山大道，至K7+956穿越灌溉渠道，沿着王马咀村道铺设至K8+213，在K8+213附近新建输水管道敷设至净水厂。本</w:t>
            </w:r>
            <w:r>
              <w:rPr>
                <w:rFonts w:hint="eastAsia" w:cs="Times New Roman"/>
                <w:color w:val="000000" w:themeColor="text1"/>
                <w:sz w:val="24"/>
                <w:lang w:val="en-US" w:eastAsia="zh-CN"/>
                <w14:textFill>
                  <w14:solidFill>
                    <w14:schemeClr w14:val="tx1"/>
                  </w14:solidFill>
                </w14:textFill>
              </w:rPr>
              <w:t>项目</w:t>
            </w:r>
            <w:r>
              <w:rPr>
                <w:rFonts w:hint="default" w:ascii="Times New Roman" w:hAnsi="Times New Roman" w:eastAsia="宋体" w:cs="Times New Roman"/>
                <w:color w:val="000000" w:themeColor="text1"/>
                <w:sz w:val="24"/>
                <w:lang w:val="en-US" w:eastAsia="zh-CN"/>
                <w14:textFill>
                  <w14:solidFill>
                    <w14:schemeClr w14:val="tx1"/>
                  </w14:solidFill>
                </w14:textFill>
              </w:rPr>
              <w:t>新建从取水设施至净水厂输水管道总长8.918km，输水管道共穿越千河</w:t>
            </w:r>
            <w:r>
              <w:rPr>
                <w:rFonts w:hint="eastAsia"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次，穿越蒲峪河</w:t>
            </w:r>
            <w:r>
              <w:rPr>
                <w:rFonts w:hint="eastAsia"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lang w:val="en-US" w:eastAsia="zh-CN"/>
                <w14:textFill>
                  <w14:solidFill>
                    <w14:schemeClr w14:val="tx1"/>
                  </w14:solidFill>
                </w14:textFill>
              </w:rPr>
              <w:t>次，穿越灌溉渠道</w:t>
            </w:r>
            <w:r>
              <w:rPr>
                <w:rFonts w:hint="eastAsia"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次，穿越主干路</w:t>
            </w:r>
            <w:r>
              <w:rPr>
                <w:rFonts w:hint="eastAsia"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次，穿越桥梁</w:t>
            </w:r>
            <w:r>
              <w:rPr>
                <w:rFonts w:hint="eastAsia"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次。</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根据配水任务的不同，本</w:t>
            </w:r>
            <w:r>
              <w:rPr>
                <w:rFonts w:hint="eastAsia" w:cs="Times New Roman"/>
                <w:color w:val="000000" w:themeColor="text1"/>
                <w:sz w:val="24"/>
                <w:lang w:val="en-US" w:eastAsia="zh-CN"/>
                <w14:textFill>
                  <w14:solidFill>
                    <w14:schemeClr w14:val="tx1"/>
                  </w14:solidFill>
                </w14:textFill>
              </w:rPr>
              <w:t>项目</w:t>
            </w:r>
            <w:r>
              <w:rPr>
                <w:rFonts w:hint="default" w:ascii="Times New Roman" w:hAnsi="Times New Roman" w:eastAsia="宋体" w:cs="Times New Roman"/>
                <w:color w:val="000000" w:themeColor="text1"/>
                <w:sz w:val="24"/>
                <w:lang w:val="en-US" w:eastAsia="zh-CN"/>
                <w14:textFill>
                  <w14:solidFill>
                    <w14:schemeClr w14:val="tx1"/>
                  </w14:solidFill>
                </w14:textFill>
              </w:rPr>
              <w:t>配水管道采用双管布置，从水厂引出后新建</w:t>
            </w:r>
            <w:r>
              <w:rPr>
                <w:rFonts w:hint="eastAsia"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lang w:val="en-US" w:eastAsia="zh-CN"/>
                <w14:textFill>
                  <w14:solidFill>
                    <w14:schemeClr w14:val="tx1"/>
                  </w14:solidFill>
                </w14:textFill>
              </w:rPr>
              <w:t>根DN600向下游农村供水，再新建</w:t>
            </w:r>
            <w:r>
              <w:rPr>
                <w:rFonts w:hint="eastAsia"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lang w:val="en-US" w:eastAsia="zh-CN"/>
                <w14:textFill>
                  <w14:solidFill>
                    <w14:schemeClr w14:val="tx1"/>
                  </w14:solidFill>
                </w14:textFill>
              </w:rPr>
              <w:t>根DN600的配水主干管向县城供水。新建配水主干管由水厂引出后，沿着果林一侧敷设至P0+625，为避免穿越村庄，转向北铺设至P0+834，若继续向北可敷设至陇千南线公路，但是公路较窄，沿着公路敷设管道严重影响居民的正常通行，因此在P0+834后向东铺设管道，在P0+847穿越灌溉渠道，接着铺设至P1+030穿越沟道，接着沿东南向铺设，至P2+043、P2+735、P3+543均跨越沟道，沿着东北向铺设至P6+160穿越铁路，为避免对铁路结构造成影响，穿越铁路采用穿涵洞明管敷设的方式，管道敷设至P7+762、P7+911分别穿越千邑路和G344，避免对道路通行产生影响，采用顶管穿越方式，穿越道路后沿着千邑路向北铺设至县城配水管网接点处，配水管网从水厂至县城配水管网接点总长9.</w:t>
            </w:r>
            <w:r>
              <w:rPr>
                <w:rFonts w:hint="eastAsia" w:cs="Times New Roman"/>
                <w:color w:val="000000" w:themeColor="text1"/>
                <w:sz w:val="24"/>
                <w:lang w:val="en-US" w:eastAsia="zh-CN"/>
                <w14:textFill>
                  <w14:solidFill>
                    <w14:schemeClr w14:val="tx1"/>
                  </w14:solidFill>
                </w14:textFill>
              </w:rPr>
              <w:t>343</w:t>
            </w:r>
            <w:r>
              <w:rPr>
                <w:rFonts w:hint="default" w:ascii="Times New Roman" w:hAnsi="Times New Roman" w:eastAsia="宋体" w:cs="Times New Roman"/>
                <w:color w:val="000000" w:themeColor="text1"/>
                <w:sz w:val="24"/>
                <w:lang w:val="en-US" w:eastAsia="zh-CN"/>
                <w14:textFill>
                  <w14:solidFill>
                    <w14:schemeClr w14:val="tx1"/>
                  </w14:solidFill>
                </w14:textFill>
              </w:rPr>
              <w:t>km，新建供向王马咀村的PE管道1.003km，总长度为10.34km。</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从县城附近原抗旱应急管道末端处接出一根De315的PE管向下游农村供水，新建配水管道沿着东南向铺设，至申家咀村后（G4+208）变径为DN200的球墨铸铁管并向东铺设至陇千南线东侧，继续向东南铺设，依次经过杨家坡村、川口河村、下凉泉村等，铺设至刘家咀村（G10+042）变径为DN150的球墨铸铁管并继续向东南铺设，穿过普洛河（G15+729~G15+810）后向西南铺设，依次经过峪头村、枣林寨村、南村，最终铺设至梨林川村附近（G21+214）。从县城至梨林川段配水管网总长度为21.651km，其中铺设De315的PE管道4208m，铺设DN200的球墨铸铁管道5834m，铺设DN150的球墨铸铁管道11.172km，铺设DN100的球墨铸铁管道150m，铺设DN150的钢管287m。</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从配水主管向沿线周边农村供水支管采用DN100~DN50钢管道，支管总长31.72km。在每个村的高位水池（水塔）进水管上，安装手动检修阀门、Y 型过滤器、水控式流量控制阀、机械水表、浮球液位阀用于检修、流量控制、液位控制。</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温河输水管道取水口为温河水源汇流池下游已建DN250管道始端，沿线经过王家庄、吉家庄、侯家庄、石家庄、温和村、董家庄、李家磨、马家庄、店子村等，末端为县城现有水厂清水池，采用De315PE输水管道，管道长</w:t>
            </w:r>
            <w:r>
              <w:rPr>
                <w:rFonts w:hint="eastAsia" w:cs="Times New Roman"/>
                <w:color w:val="000000" w:themeColor="text1"/>
                <w:kern w:val="0"/>
                <w:sz w:val="24"/>
                <w:szCs w:val="24"/>
                <w:lang w:val="en-US" w:eastAsia="zh-CN"/>
                <w14:textFill>
                  <w14:solidFill>
                    <w14:schemeClr w14:val="tx1"/>
                  </w14:solidFill>
                </w14:textFill>
              </w:rPr>
              <w:t>10.865</w:t>
            </w:r>
            <w:r>
              <w:rPr>
                <w:rFonts w:hint="default" w:ascii="Times New Roman" w:hAnsi="Times New Roman" w:eastAsia="宋体" w:cs="Times New Roman"/>
                <w:color w:val="000000" w:themeColor="text1"/>
                <w:sz w:val="24"/>
                <w:lang w:val="en-US" w:eastAsia="zh-CN"/>
                <w14:textFill>
                  <w14:solidFill>
                    <w14:schemeClr w14:val="tx1"/>
                  </w14:solidFill>
                </w14:textFill>
              </w:rPr>
              <w:t>km。</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输配水</w:t>
            </w:r>
            <w:r>
              <w:rPr>
                <w:rFonts w:hint="eastAsia" w:cs="Times New Roman"/>
                <w:color w:val="000000" w:themeColor="text1"/>
                <w:sz w:val="24"/>
                <w:lang w:val="en-US" w:eastAsia="zh-CN"/>
                <w14:textFill>
                  <w14:solidFill>
                    <w14:schemeClr w14:val="tx1"/>
                  </w14:solidFill>
                </w14:textFill>
              </w:rPr>
              <w:t>管线</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布置情况</w:t>
            </w:r>
            <w:r>
              <w:rPr>
                <w:rFonts w:hint="default" w:ascii="Times New Roman" w:hAnsi="Times New Roman" w:cs="Times New Roman"/>
                <w:color w:val="000000" w:themeColor="text1"/>
                <w:kern w:val="0"/>
                <w:sz w:val="24"/>
                <w:lang w:val="en-US" w:eastAsia="zh-CN"/>
                <w14:textFill>
                  <w14:solidFill>
                    <w14:schemeClr w14:val="tx1"/>
                  </w14:solidFill>
                </w14:textFill>
              </w:rPr>
              <w:t>见附图6。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0" w:type="dxa"/>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施工方案</w:t>
            </w:r>
          </w:p>
        </w:tc>
        <w:tc>
          <w:tcPr>
            <w:tcW w:w="8380" w:type="dxa"/>
            <w:vAlign w:val="top"/>
          </w:tcPr>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4"/>
                <w14:textFill>
                  <w14:solidFill>
                    <w14:schemeClr w14:val="tx1"/>
                  </w14:solidFill>
                </w14:textFill>
              </w:rPr>
              <w:t>工艺流程及产污环节</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lang w:val="zh-CN" w:eastAsia="zh-CN"/>
                <w14:textFill>
                  <w14:solidFill>
                    <w14:schemeClr w14:val="tx1"/>
                  </w14:solidFill>
                </w14:textFill>
              </w:rPr>
            </w:pP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施工期</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pict>
                <v:shape id="_x0000_s2192" o:spid="_x0000_s2192" o:spt="75" type="#_x0000_t75" style="position:absolute;left:0pt;margin-left:85.1pt;margin-top:9.7pt;height:243.85pt;width:241.4pt;z-index:-251653120;mso-width-relative:page;mso-height-relative:page;" o:ole="t" filled="f" o:preferrelative="t" stroked="f" coordsize="21600,21600">
                  <v:path/>
                  <v:fill on="f" focussize="0,0"/>
                  <v:stroke on="f"/>
                  <v:imagedata r:id="rId9" o:title=""/>
                  <o:lock v:ext="edit" aspectratio="f"/>
                </v:shape>
                <o:OLEObject Type="Embed" ProgID="Visio.Drawing.11" ShapeID="_x0000_s2192" DrawAspect="Content" ObjectID="_1468075725" r:id="rId8">
                  <o:LockedField>false</o:LockedField>
                </o:OLEObject>
              </w:pict>
            </w:r>
            <w:r>
              <w:rPr>
                <w:rFonts w:hint="default" w:ascii="Times New Roman" w:hAnsi="Times New Roman" w:cs="Times New Roman"/>
                <w:color w:val="000000" w:themeColor="text1"/>
                <w:kern w:val="0"/>
                <w:sz w:val="24"/>
                <w:lang w:val="en-US" w:eastAsia="zh-CN"/>
                <w14:textFill>
                  <w14:solidFill>
                    <w14:schemeClr w14:val="tx1"/>
                  </w14:solidFill>
                </w14:textFill>
              </w:rPr>
              <w:t>本项目施工期</w:t>
            </w:r>
            <w:r>
              <w:rPr>
                <w:rFonts w:hint="eastAsia" w:cs="Times New Roman"/>
                <w:color w:val="000000" w:themeColor="text1"/>
                <w:kern w:val="0"/>
                <w:sz w:val="24"/>
                <w:lang w:val="en-US" w:eastAsia="zh-CN"/>
                <w14:textFill>
                  <w14:solidFill>
                    <w14:schemeClr w14:val="tx1"/>
                  </w14:solidFill>
                </w14:textFill>
              </w:rPr>
              <w:t>无涉水工程，总</w:t>
            </w:r>
            <w:r>
              <w:rPr>
                <w:rFonts w:hint="default" w:ascii="Times New Roman" w:hAnsi="Times New Roman" w:cs="Times New Roman"/>
                <w:color w:val="000000" w:themeColor="text1"/>
                <w:kern w:val="0"/>
                <w:sz w:val="24"/>
                <w:lang w:val="en-US" w:eastAsia="zh-CN"/>
                <w14:textFill>
                  <w14:solidFill>
                    <w14:schemeClr w14:val="tx1"/>
                  </w14:solidFill>
                </w14:textFill>
              </w:rPr>
              <w:t>工艺流程及产污环节见图2-1。</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图2-</w:t>
            </w:r>
            <w:r>
              <w:rPr>
                <w:rFonts w:hint="default" w:ascii="Times New Roman" w:hAnsi="Times New Roman" w:cs="Times New Roman"/>
                <w:b/>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b/>
                <w:bCs/>
                <w:color w:val="000000" w:themeColor="text1"/>
                <w:sz w:val="24"/>
                <w:szCs w:val="24"/>
                <w:lang w:val="en-US" w:eastAsia="zh-CN"/>
                <w14:textFill>
                  <w14:solidFill>
                    <w14:schemeClr w14:val="tx1"/>
                  </w14:solidFill>
                </w14:textFill>
              </w:rPr>
              <w:t>施工期</w:t>
            </w:r>
            <w:r>
              <w:rPr>
                <w:rFonts w:hint="eastAsia" w:cs="Times New Roman"/>
                <w:b/>
                <w:bCs/>
                <w:color w:val="000000" w:themeColor="text1"/>
                <w:sz w:val="24"/>
                <w:szCs w:val="24"/>
                <w:lang w:val="en-US" w:eastAsia="zh-CN"/>
                <w14:textFill>
                  <w14:solidFill>
                    <w14:schemeClr w14:val="tx1"/>
                  </w14:solidFill>
                </w14:textFill>
              </w:rPr>
              <w:t>总</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工艺流程及产污环节图</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本工程共跨越千河</w:t>
            </w:r>
            <w:r>
              <w:rPr>
                <w:rFonts w:hint="eastAsia" w:cs="Times New Roman"/>
                <w:color w:val="000000" w:themeColor="text1"/>
                <w:kern w:val="0"/>
                <w:sz w:val="24"/>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14:textFill>
                  <w14:solidFill>
                    <w14:schemeClr w14:val="tx1"/>
                  </w14:solidFill>
                </w14:textFill>
              </w:rPr>
              <w:t>次，跨越蒲峪河</w:t>
            </w:r>
            <w:r>
              <w:rPr>
                <w:rFonts w:hint="eastAsia" w:cs="Times New Roman"/>
                <w:color w:val="000000" w:themeColor="text1"/>
                <w:kern w:val="0"/>
                <w:sz w:val="24"/>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4"/>
                <w14:textFill>
                  <w14:solidFill>
                    <w14:schemeClr w14:val="tx1"/>
                  </w14:solidFill>
                </w14:textFill>
              </w:rPr>
              <w:t>次。</w:t>
            </w:r>
            <w:r>
              <w:rPr>
                <w:rFonts w:hint="eastAsia" w:cs="Times New Roman"/>
                <w:color w:val="000000" w:themeColor="text1"/>
                <w:kern w:val="0"/>
                <w:sz w:val="24"/>
                <w:lang w:val="en-US" w:eastAsia="zh-CN"/>
                <w14:textFill>
                  <w14:solidFill>
                    <w14:schemeClr w14:val="tx1"/>
                  </w14:solidFill>
                </w14:textFill>
              </w:rPr>
              <w:t>管道穿河采用大开挖方式敷设，大开挖（围堰导流）穿越河流施工流程</w:t>
            </w:r>
            <w:r>
              <w:rPr>
                <w:rFonts w:hint="default" w:ascii="Times New Roman" w:hAnsi="Times New Roman" w:cs="Times New Roman"/>
                <w:color w:val="000000" w:themeColor="text1"/>
                <w:kern w:val="0"/>
                <w:sz w:val="24"/>
                <w:lang w:val="en-US" w:eastAsia="zh-CN"/>
                <w14:textFill>
                  <w14:solidFill>
                    <w14:schemeClr w14:val="tx1"/>
                  </w14:solidFill>
                </w14:textFill>
              </w:rPr>
              <w:t>及产污环节见图2-</w:t>
            </w:r>
            <w:r>
              <w:rPr>
                <w:rFonts w:hint="eastAsia" w:cs="Times New Roman"/>
                <w:color w:val="000000" w:themeColor="text1"/>
                <w:kern w:val="0"/>
                <w:sz w:val="24"/>
                <w:lang w:val="en-US" w:eastAsia="zh-CN"/>
                <w14:textFill>
                  <w14:solidFill>
                    <w14:schemeClr w14:val="tx1"/>
                  </w14:solidFill>
                </w14:textFill>
              </w:rPr>
              <w:t>2</w:t>
            </w:r>
            <w:r>
              <w:rPr>
                <w:rFonts w:hint="default" w:ascii="Times New Roman" w:hAnsi="Times New Roman" w:cs="Times New Roman"/>
                <w:color w:val="000000" w:themeColor="text1"/>
                <w:kern w:val="0"/>
                <w:sz w:val="24"/>
                <w:lang w:val="en-US" w:eastAsia="zh-CN"/>
                <w14:textFill>
                  <w14:solidFill>
                    <w14:schemeClr w14:val="tx1"/>
                  </w14:solidFill>
                </w14:textFill>
              </w:rPr>
              <w:t>。</w:t>
            </w:r>
            <w:r>
              <w:rPr>
                <w:rFonts w:hint="eastAsia" w:cs="Times New Roman"/>
                <w:color w:val="000000" w:themeColor="text1"/>
                <w:kern w:val="0"/>
                <w:sz w:val="24"/>
                <w:lang w:val="en-US" w:eastAsia="zh-CN"/>
                <w14:textFill>
                  <w14:solidFill>
                    <w14:schemeClr w14:val="tx1"/>
                  </w14:solidFill>
                </w14:textFill>
              </w:rPr>
              <w:t>输水管道穿越</w:t>
            </w:r>
            <w:r>
              <w:rPr>
                <w:rFonts w:hint="default" w:ascii="Times New Roman" w:hAnsi="Times New Roman" w:eastAsia="宋体" w:cs="Times New Roman"/>
                <w:color w:val="000000" w:themeColor="text1"/>
                <w:sz w:val="24"/>
                <w:lang w:val="en-US" w:eastAsia="zh-CN"/>
                <w14:textFill>
                  <w14:solidFill>
                    <w14:schemeClr w14:val="tx1"/>
                  </w14:solidFill>
                </w14:textFill>
              </w:rPr>
              <w:t>灌溉渠道</w:t>
            </w:r>
            <w:r>
              <w:rPr>
                <w:rFonts w:hint="eastAsia" w:cs="Times New Roman"/>
                <w:color w:val="000000" w:themeColor="text1"/>
                <w:kern w:val="0"/>
                <w:sz w:val="24"/>
                <w:lang w:val="en-US" w:eastAsia="zh-CN"/>
                <w14:textFill>
                  <w14:solidFill>
                    <w14:schemeClr w14:val="tx1"/>
                  </w14:solidFill>
                </w14:textFill>
              </w:rPr>
              <w:t>采用定向钻非开挖方式敷设，定向钻穿越</w:t>
            </w:r>
            <w:r>
              <w:rPr>
                <w:rFonts w:hint="default" w:ascii="Times New Roman" w:hAnsi="Times New Roman" w:eastAsia="宋体" w:cs="Times New Roman"/>
                <w:color w:val="000000" w:themeColor="text1"/>
                <w:sz w:val="24"/>
                <w:lang w:val="en-US" w:eastAsia="zh-CN"/>
                <w14:textFill>
                  <w14:solidFill>
                    <w14:schemeClr w14:val="tx1"/>
                  </w14:solidFill>
                </w14:textFill>
              </w:rPr>
              <w:t>灌溉渠道</w:t>
            </w:r>
            <w:r>
              <w:rPr>
                <w:rFonts w:hint="eastAsia" w:cs="Times New Roman"/>
                <w:color w:val="000000" w:themeColor="text1"/>
                <w:kern w:val="0"/>
                <w:sz w:val="24"/>
                <w:lang w:val="en-US" w:eastAsia="zh-CN"/>
                <w14:textFill>
                  <w14:solidFill>
                    <w14:schemeClr w14:val="tx1"/>
                  </w14:solidFill>
                </w14:textFill>
              </w:rPr>
              <w:t>施工流程</w:t>
            </w:r>
            <w:r>
              <w:rPr>
                <w:rFonts w:hint="default" w:ascii="Times New Roman" w:hAnsi="Times New Roman" w:cs="Times New Roman"/>
                <w:color w:val="000000" w:themeColor="text1"/>
                <w:kern w:val="0"/>
                <w:sz w:val="24"/>
                <w:lang w:val="en-US" w:eastAsia="zh-CN"/>
                <w14:textFill>
                  <w14:solidFill>
                    <w14:schemeClr w14:val="tx1"/>
                  </w14:solidFill>
                </w14:textFill>
              </w:rPr>
              <w:t>及产污环节见图2-</w:t>
            </w:r>
            <w:r>
              <w:rPr>
                <w:rFonts w:hint="eastAsia" w:cs="Times New Roman"/>
                <w:color w:val="000000" w:themeColor="text1"/>
                <w:kern w:val="0"/>
                <w:sz w:val="24"/>
                <w:lang w:val="en-US" w:eastAsia="zh-CN"/>
                <w14:textFill>
                  <w14:solidFill>
                    <w14:schemeClr w14:val="tx1"/>
                  </w14:solidFill>
                </w14:textFill>
              </w:rPr>
              <w:t>3。</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pict>
                <v:shape id="_x0000_s2193" o:spid="_x0000_s2193" o:spt="75" type="#_x0000_t75" style="position:absolute;left:0pt;margin-top:0pt;height:135pt;width:408.15pt;mso-position-horizontal:center;z-index:-251653120;mso-width-relative:page;mso-height-relative:page;" o:ole="t" filled="f" o:preferrelative="t" stroked="f" coordsize="21600,21600">
                  <v:path/>
                  <v:fill on="f" focussize="0,0"/>
                  <v:stroke on="f"/>
                  <v:imagedata r:id="rId11" o:title=""/>
                  <o:lock v:ext="edit" aspectratio="f"/>
                </v:shape>
                <o:OLEObject Type="Embed" ProgID="Visio.Drawing.11" ShapeID="_x0000_s2193" DrawAspect="Content" ObjectID="_1468075726" r:id="rId10">
                  <o:LockedField>false</o:LockedField>
                </o:OLEObject>
              </w:pic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图2-</w:t>
            </w:r>
            <w:r>
              <w:rPr>
                <w:rFonts w:hint="eastAsia" w:ascii="Times New Roman" w:hAnsi="Times New Roman" w:cs="Times New Roman"/>
                <w:b/>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eastAsia" w:cs="Times New Roman"/>
                <w:b/>
                <w:bCs/>
                <w:color w:val="000000" w:themeColor="text1"/>
                <w:kern w:val="0"/>
                <w:sz w:val="24"/>
                <w:lang w:val="en-US" w:eastAsia="zh-CN"/>
                <w14:textFill>
                  <w14:solidFill>
                    <w14:schemeClr w14:val="tx1"/>
                  </w14:solidFill>
                </w14:textFill>
              </w:rPr>
              <w:t>大开挖（围堰导流）穿越河流施工</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工艺流程及产污环节图</w:t>
            </w:r>
          </w:p>
          <w:p>
            <w:pPr>
              <w:pStyle w:val="2"/>
              <w:rPr>
                <w:rFonts w:hint="default"/>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pict>
                <v:shape id="_x0000_s2194" o:spid="_x0000_s2194" o:spt="75" type="#_x0000_t75" style="position:absolute;left:0pt;margin-top:2.55pt;height:103.15pt;width:279.2pt;mso-position-horizontal:center;z-index:-251653120;mso-width-relative:page;mso-height-relative:page;" o:ole="t" filled="f" o:preferrelative="t" stroked="f" coordsize="21600,21600">
                  <v:path/>
                  <v:fill on="f" focussize="0,0"/>
                  <v:stroke on="f"/>
                  <v:imagedata r:id="rId13" o:title=""/>
                  <o:lock v:ext="edit" aspectratio="f"/>
                </v:shape>
                <o:OLEObject Type="Embed" ProgID="Visio.Drawing.11" ShapeID="_x0000_s2194" DrawAspect="Content" ObjectID="_1468075727" r:id="rId12">
                  <o:LockedField>false</o:LockedField>
                </o:OLEObject>
              </w:pic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图2-</w:t>
            </w:r>
            <w:r>
              <w:rPr>
                <w:rFonts w:hint="eastAsia" w:ascii="Times New Roman" w:hAnsi="Times New Roman" w:cs="Times New Roman"/>
                <w:b/>
                <w:bCs/>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eastAsia" w:cs="Times New Roman"/>
                <w:b/>
                <w:bCs/>
                <w:color w:val="000000" w:themeColor="text1"/>
                <w:kern w:val="0"/>
                <w:sz w:val="24"/>
                <w:lang w:val="en-US" w:eastAsia="zh-CN"/>
                <w14:textFill>
                  <w14:solidFill>
                    <w14:schemeClr w14:val="tx1"/>
                  </w14:solidFill>
                </w14:textFill>
              </w:rPr>
              <w:t>定向钻穿</w:t>
            </w:r>
            <w:r>
              <w:rPr>
                <w:rFonts w:hint="eastAsia" w:ascii="Times New Roman" w:hAnsi="Times New Roman" w:cs="Times New Roman"/>
                <w:b/>
                <w:bCs/>
                <w:color w:val="000000" w:themeColor="text1"/>
                <w:kern w:val="0"/>
                <w:sz w:val="24"/>
                <w:lang w:val="en-US" w:eastAsia="zh-CN"/>
                <w14:textFill>
                  <w14:solidFill>
                    <w14:schemeClr w14:val="tx1"/>
                  </w14:solidFill>
                </w14:textFill>
              </w:rPr>
              <w:t>越</w:t>
            </w:r>
            <w:r>
              <w:rPr>
                <w:rFonts w:hint="default" w:ascii="Times New Roman" w:hAnsi="Times New Roman" w:cs="Times New Roman"/>
                <w:b/>
                <w:bCs/>
                <w:color w:val="000000" w:themeColor="text1"/>
                <w:kern w:val="0"/>
                <w:sz w:val="24"/>
                <w:lang w:val="en-US" w:eastAsia="zh-CN"/>
                <w14:textFill>
                  <w14:solidFill>
                    <w14:schemeClr w14:val="tx1"/>
                  </w14:solidFill>
                </w14:textFill>
              </w:rPr>
              <w:t>灌溉渠道</w:t>
            </w:r>
            <w:r>
              <w:rPr>
                <w:rFonts w:hint="eastAsia" w:ascii="Times New Roman" w:hAnsi="Times New Roman" w:cs="Times New Roman"/>
                <w:b/>
                <w:bCs/>
                <w:color w:val="000000" w:themeColor="text1"/>
                <w:kern w:val="0"/>
                <w:sz w:val="24"/>
                <w:lang w:val="en-US" w:eastAsia="zh-CN"/>
                <w14:textFill>
                  <w14:solidFill>
                    <w14:schemeClr w14:val="tx1"/>
                  </w14:solidFill>
                </w14:textFill>
              </w:rPr>
              <w:t>施</w:t>
            </w:r>
            <w:r>
              <w:rPr>
                <w:rFonts w:hint="eastAsia" w:cs="Times New Roman"/>
                <w:b/>
                <w:bCs/>
                <w:color w:val="000000" w:themeColor="text1"/>
                <w:kern w:val="0"/>
                <w:sz w:val="24"/>
                <w:lang w:val="en-US" w:eastAsia="zh-CN"/>
                <w14:textFill>
                  <w14:solidFill>
                    <w14:schemeClr w14:val="tx1"/>
                  </w14:solidFill>
                </w14:textFill>
              </w:rPr>
              <w:t>工</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工艺流程及产污环节图</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lang w:val="en-US"/>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cs="Times New Roman"/>
                <w:color w:val="000000" w:themeColor="text1"/>
                <w:kern w:val="0"/>
                <w:sz w:val="24"/>
                <w:lang w:val="en-US" w:eastAsia="zh-CN"/>
                <w14:textFill>
                  <w14:solidFill>
                    <w14:schemeClr w14:val="tx1"/>
                  </w14:solidFill>
                </w14:textFill>
              </w:rPr>
              <w:t>净水厂施工</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净水厂施工内容主要包括净水厂厂区施工场地清表、平整，主要建筑物建设、道路修建、大件运输、设备吊装等。用铲车清除的表土用于厂区绿化。主要建筑物基础均采用大开挖的施工形式，用大型挖据机开挖，挖出的土方用于厂区填筑，多余应用于其他工程。</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冬季施工土方开挖应根据实际情况采取合适的开挖方法，采取防冻措施，并防止基础下基土冻结。冬季施工填方每层厚度应比平时减少，适当增加预留沉陷量，不同位置填料中冻土块含量应符合《土方与爆破工程施工及验收规范》的要求；日平均气温低于0℃时应防护施工，低于-10℃时应停工。</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2</w:t>
            </w:r>
            <w:r>
              <w:rPr>
                <w:rFonts w:hint="default" w:ascii="Times New Roman" w:hAnsi="Times New Roman" w:cs="Times New Roman"/>
                <w:color w:val="000000" w:themeColor="text1"/>
                <w:kern w:val="0"/>
                <w:sz w:val="24"/>
                <w:lang w:val="en-US" w:eastAsia="zh-CN"/>
                <w14:textFill>
                  <w14:solidFill>
                    <w14:schemeClr w14:val="tx1"/>
                  </w14:solidFill>
                </w14:textFill>
              </w:rPr>
              <w:t>）输配水管线施工</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①施工带清理、平整</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管道施工初期，对施工作业带进行清理和平整。在场地清理过程中，施工带范围内的土壤、植被和农作物都将受到扰动和破坏，但其造成的影响仅局限在施工带宽度的范围内。</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②开挖管沟</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管道主要采用沟埋方式敷设。管沟开挖采用以机械开挖为主，人工为辅的方式施工。当机械挖槽不能满足边坡要求时，应配以人工挖坡。</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输水管线埋深较深，在2.5</w:t>
            </w:r>
            <w:r>
              <w:rPr>
                <w:rFonts w:hint="eastAsia"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14:textFill>
                  <w14:solidFill>
                    <w14:schemeClr w14:val="tx1"/>
                  </w14:solidFill>
                </w14:textFill>
              </w:rPr>
              <w:t>左右。管道基础上部为砂卵石层，管线基础置于砂卵石层中下部或较完整岩体上，施工临时开挖坡比：砂卵石水上1:1.5，水下1:2；强风化基岩1:0.75。管道基础为土质和基岩时。基础石方主要为碎屑岩、碳酸盐岩及硅质岩，由手风钻或潜孔钻钻孔，沟槽采用1.0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反铲挖掘机进行开挖，开挖临时坡比1:0.3。</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土质基础主要为碎石土，开挖临时坡比1:0.75。沟槽采用1.0m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反铲挖掘机分层开挖，人工修坡，开挖时，应在设计槽底高程以上保留一定余量，避免超挖，槽底以上20cm必须用人工修整底面，槽底的松散土、淤泥、大石块等要及时清除，如有超挖应用砾石砂或碎石等填实并保持沟槽干燥，两侧不进行边坡支护，修整好底面，立即进行基础施工，以免超挖或振动地基沟槽。开挖后如不能立即进行垫层或基础施工时，要预留15cm图层暂时不挖，以防水浸。</w:t>
            </w:r>
            <w:r>
              <w:rPr>
                <w:rFonts w:hint="eastAsia" w:cs="Times New Roman"/>
                <w:color w:val="000000" w:themeColor="text1"/>
                <w:sz w:val="24"/>
                <w:szCs w:val="24"/>
                <w:lang w:val="en-US" w:eastAsia="zh-CN"/>
                <w14:textFill>
                  <w14:solidFill>
                    <w14:schemeClr w14:val="tx1"/>
                  </w14:solidFill>
                </w14:textFill>
              </w:rPr>
              <w:t>本项目采用</w:t>
            </w:r>
            <w:r>
              <w:rPr>
                <w:rFonts w:hint="default" w:ascii="Times New Roman" w:hAnsi="Times New Roman" w:eastAsia="宋体" w:cs="Times New Roman"/>
                <w:color w:val="000000" w:themeColor="text1"/>
                <w:sz w:val="24"/>
                <w:szCs w:val="24"/>
                <w14:textFill>
                  <w14:solidFill>
                    <w14:schemeClr w14:val="tx1"/>
                  </w14:solidFill>
                </w14:textFill>
              </w:rPr>
              <w:t>槽边单侧堆土，堆土高度不宜高于1.5m（堆土边坡内侧按照1:1.5控制）。在沟槽内作业人员必须戴安全帽，每次下沟槽前应检查边坡有无松动、开裂，随时加固处理。开挖后，将运到现场的管道进行焊接、补口、补伤、防腐，然后下到管沟内。</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③穿越河道工程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eastAsia" w:ascii="Times New Roman" w:hAnsi="Times New Roman" w:cs="Times New Roman"/>
                <w:color w:val="000000" w:themeColor="text1"/>
                <w:kern w:val="0"/>
                <w:sz w:val="24"/>
                <w:lang w:val="en-US" w:eastAsia="zh-CN"/>
                <w14:textFill>
                  <w14:solidFill>
                    <w14:schemeClr w14:val="tx1"/>
                  </w14:solidFill>
                </w14:textFill>
              </w:rPr>
              <w:t>A、</w:t>
            </w:r>
            <w:r>
              <w:rPr>
                <w:rFonts w:hint="default" w:ascii="Times New Roman" w:hAnsi="Times New Roman" w:eastAsia="宋体" w:cs="Times New Roman"/>
                <w:color w:val="000000" w:themeColor="text1"/>
                <w:kern w:val="0"/>
                <w:sz w:val="24"/>
                <w14:textFill>
                  <w14:solidFill>
                    <w14:schemeClr w14:val="tx1"/>
                  </w14:solidFill>
                </w14:textFill>
              </w:rPr>
              <w:t>大开挖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管线穿河道段均采用倒虹吸，穿越千河段的冲刷深度为2.0m，穿越蒲峪河的冲刷深度为1.8m，管道设置在河流冲刷深度以下。穿河段采用大开挖敷设管道，倒虹管材为钢管，采用C20混凝土满包，满包厚度为300mm。在管道水平和竖直转弯处设置镇墩，为了后期维修方便，倒虹进出口段均设置检修阀门井，可以和排气阀井或排泥阀井合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kern w:val="0"/>
                <w:sz w:val="24"/>
                <w:lang w:eastAsia="zh-CN"/>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a、</w:t>
            </w:r>
            <w:r>
              <w:rPr>
                <w:rFonts w:hint="eastAsia" w:cs="Times New Roman"/>
                <w:color w:val="000000" w:themeColor="text1"/>
                <w:kern w:val="0"/>
                <w:sz w:val="24"/>
                <w:lang w:eastAsia="zh-CN"/>
                <w14:textFill>
                  <w14:solidFill>
                    <w14:schemeClr w14:val="tx1"/>
                  </w14:solidFill>
                </w14:textFill>
              </w:rPr>
              <w:t>开挖导流明渠开挖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依据现场客观实际，河渠周围环境，确定导流渠的方位、走向，根据河水流量，确定导流渠宽度和深度，</w:t>
            </w:r>
            <w:r>
              <w:rPr>
                <w:rFonts w:hint="eastAsia" w:cs="Times New Roman"/>
                <w:color w:val="000000" w:themeColor="text1"/>
                <w:kern w:val="0"/>
                <w:sz w:val="24"/>
                <w:lang w:val="en-US" w:eastAsia="zh-CN"/>
                <w14:textFill>
                  <w14:solidFill>
                    <w14:schemeClr w14:val="tx1"/>
                  </w14:solidFill>
                </w14:textFill>
              </w:rPr>
              <w:t>见</w:t>
            </w:r>
            <w:r>
              <w:rPr>
                <w:rFonts w:hint="default" w:ascii="Times New Roman" w:hAnsi="Times New Roman" w:eastAsia="宋体" w:cs="Times New Roman"/>
                <w:color w:val="000000" w:themeColor="text1"/>
                <w:kern w:val="0"/>
                <w:sz w:val="24"/>
                <w14:textFill>
                  <w14:solidFill>
                    <w14:schemeClr w14:val="tx1"/>
                  </w14:solidFill>
                </w14:textFill>
              </w:rPr>
              <w:t>图</w:t>
            </w:r>
            <w:r>
              <w:rPr>
                <w:rFonts w:hint="eastAsia" w:cs="Times New Roman"/>
                <w:color w:val="000000" w:themeColor="text1"/>
                <w:kern w:val="0"/>
                <w:sz w:val="24"/>
                <w:lang w:val="en-US" w:eastAsia="zh-CN"/>
                <w14:textFill>
                  <w14:solidFill>
                    <w14:schemeClr w14:val="tx1"/>
                  </w14:solidFill>
                </w14:textFill>
              </w:rPr>
              <w:t>2-4</w:t>
            </w:r>
            <w:r>
              <w:rPr>
                <w:rFonts w:hint="default" w:ascii="Times New Roman" w:hAnsi="Times New Roman" w:eastAsia="宋体" w:cs="Times New Roman"/>
                <w:color w:val="000000" w:themeColor="text1"/>
                <w:kern w:val="0"/>
                <w:sz w:val="24"/>
                <w14:textFill>
                  <w14:solidFill>
                    <w14:schemeClr w14:val="tx1"/>
                  </w14:solidFill>
                </w14:textFill>
              </w:rPr>
              <w:t>所示：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p>
          <w:p>
            <w:pPr>
              <w:pStyle w:val="27"/>
              <w:rPr>
                <w:rFonts w:hint="default" w:ascii="Times New Roman" w:hAnsi="Times New Roman" w:eastAsia="宋体" w:cs="Times New Roman"/>
                <w:color w:val="000000" w:themeColor="text1"/>
                <w:kern w:val="0"/>
                <w:sz w:val="24"/>
                <w14:textFill>
                  <w14:solidFill>
                    <w14:schemeClr w14:val="tx1"/>
                  </w14:solidFill>
                </w14:textFill>
              </w:rPr>
            </w:pPr>
          </w:p>
          <w:p>
            <w:pPr>
              <w:pStyle w:val="4"/>
              <w:rPr>
                <w:rFonts w:hint="default" w:ascii="Times New Roman" w:hAnsi="Times New Roman" w:eastAsia="宋体" w:cs="Times New Roman"/>
                <w:color w:val="000000" w:themeColor="text1"/>
                <w:kern w:val="0"/>
                <w:sz w:val="24"/>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3360" behindDoc="1" locked="0" layoutInCell="1" allowOverlap="1">
                  <wp:simplePos x="0" y="0"/>
                  <wp:positionH relativeFrom="column">
                    <wp:align>center</wp:align>
                  </wp:positionH>
                  <wp:positionV relativeFrom="paragraph">
                    <wp:posOffset>6985</wp:posOffset>
                  </wp:positionV>
                  <wp:extent cx="4332605" cy="1816100"/>
                  <wp:effectExtent l="0" t="0" r="10795" b="12700"/>
                  <wp:wrapNone/>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14"/>
                          <a:stretch>
                            <a:fillRect/>
                          </a:stretch>
                        </pic:blipFill>
                        <pic:spPr>
                          <a:xfrm>
                            <a:off x="0" y="0"/>
                            <a:ext cx="4332605" cy="1816100"/>
                          </a:xfrm>
                          <a:prstGeom prst="rect">
                            <a:avLst/>
                          </a:prstGeom>
                          <a:noFill/>
                          <a:ln>
                            <a:noFill/>
                          </a:ln>
                        </pic:spPr>
                      </pic:pic>
                    </a:graphicData>
                  </a:graphic>
                </wp:anchor>
              </w:drawing>
            </w:r>
          </w:p>
          <w:p>
            <w:pPr>
              <w:pStyle w:val="4"/>
              <w:rPr>
                <w:rFonts w:hint="default" w:ascii="Times New Roman" w:hAnsi="Times New Roman" w:eastAsia="宋体" w:cs="Times New Roman"/>
                <w:color w:val="000000" w:themeColor="text1"/>
                <w:kern w:val="0"/>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图2-</w:t>
            </w:r>
            <w:r>
              <w:rPr>
                <w:rFonts w:hint="eastAsia" w:ascii="Times New Roman" w:hAnsi="Times New Roman" w:cs="Times New Roman"/>
                <w:b/>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b/>
                <w:bCs/>
                <w:color w:val="000000" w:themeColor="text1"/>
                <w:sz w:val="24"/>
                <w:szCs w:val="24"/>
                <w:lang w:val="en-US" w:eastAsia="zh-CN"/>
                <w14:textFill>
                  <w14:solidFill>
                    <w14:schemeClr w14:val="tx1"/>
                  </w14:solidFill>
                </w14:textFill>
              </w:rPr>
              <w:t>导流明渠示意图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kern w:val="0"/>
                <w:sz w:val="24"/>
                <w:lang w:eastAsia="zh-CN"/>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b、</w:t>
            </w:r>
            <w:r>
              <w:rPr>
                <w:rFonts w:hint="eastAsia" w:cs="Times New Roman"/>
                <w:color w:val="000000" w:themeColor="text1"/>
                <w:kern w:val="0"/>
                <w:sz w:val="24"/>
                <w:lang w:eastAsia="zh-CN"/>
                <w14:textFill>
                  <w14:solidFill>
                    <w14:schemeClr w14:val="tx1"/>
                  </w14:solidFill>
                </w14:textFill>
              </w:rPr>
              <w:t>围堰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为了施工期间的作业安全，考虑到管沟开挖对围堰的影响，上下游围堰堤选择在离管线10m位置。为了保证不漏水，不崩堤，施工方法如下：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在围堰前，导流明渠已开始通水，首先用人工在河内清出围堰位置上的淤泥，然后在上游组织编织袋及粘土运到围堰地点，用人工装土入袋，由河边向河对岸沿河底紧密排放并踩稳，并按丁字形铺排，在施工中要不断踩稳并需相互重叠扣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围堰高度应高出施工期间可能出现的最高水位（包括浪尖）0.5~1m。围堰外形应考虑河流断面被压缩后，流速增大引起水流对围堰、河床的集中冲刷及影响导流等因素，并满足堰身强度和稳定的要求。堰内平面尺寸应满足基础施工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kern w:val="0"/>
                <w:sz w:val="24"/>
                <w:lang w:eastAsia="zh-CN"/>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围堰要求防水严密，减少渗漏。围堰施工采用人工配合长臂挖掘机进行，围堰采用装土编织袋修筑，迎水面加设一层无纺布做防渗层</w:t>
            </w:r>
            <w:r>
              <w:rPr>
                <w:rFonts w:hint="eastAsia" w:cs="Times New Roman"/>
                <w:color w:val="000000" w:themeColor="text1"/>
                <w:kern w:val="0"/>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本项目围堰示意图见图2-5</w:t>
            </w:r>
            <w:r>
              <w:rPr>
                <w:rFonts w:hint="eastAsia" w:cs="Times New Roman"/>
                <w:color w:val="000000" w:themeColor="text1"/>
                <w:kern w:val="0"/>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3360" behindDoc="1" locked="0" layoutInCell="1" allowOverlap="1">
                  <wp:simplePos x="0" y="0"/>
                  <wp:positionH relativeFrom="column">
                    <wp:posOffset>266700</wp:posOffset>
                  </wp:positionH>
                  <wp:positionV relativeFrom="paragraph">
                    <wp:posOffset>0</wp:posOffset>
                  </wp:positionV>
                  <wp:extent cx="4514850" cy="2066925"/>
                  <wp:effectExtent l="0" t="0" r="0" b="9525"/>
                  <wp:wrapNone/>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pic:cNvPicPr>
                        </pic:nvPicPr>
                        <pic:blipFill>
                          <a:blip r:embed="rId15"/>
                          <a:stretch>
                            <a:fillRect/>
                          </a:stretch>
                        </pic:blipFill>
                        <pic:spPr>
                          <a:xfrm>
                            <a:off x="0" y="0"/>
                            <a:ext cx="4514850" cy="206692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图2</w:t>
            </w:r>
            <w:r>
              <w:rPr>
                <w:rFonts w:hint="eastAsia" w:ascii="Times New Roman" w:hAnsi="Times New Roman" w:cs="Times New Roman"/>
                <w:b/>
                <w:bCs/>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eastAsia" w:ascii="Times New Roman" w:hAnsi="Times New Roman" w:cs="Times New Roman"/>
                <w:b/>
                <w:bCs/>
                <w:color w:val="000000" w:themeColor="text1"/>
                <w:sz w:val="24"/>
                <w:szCs w:val="24"/>
                <w:lang w:val="en-US" w:eastAsia="zh-CN"/>
                <w14:textFill>
                  <w14:solidFill>
                    <w14:schemeClr w14:val="tx1"/>
                  </w14:solidFill>
                </w14:textFill>
              </w:rPr>
              <w:t>围堰</w:t>
            </w:r>
            <w:r>
              <w:rPr>
                <w:rFonts w:hint="default" w:ascii="Times New Roman" w:hAnsi="Times New Roman" w:cs="Times New Roman"/>
                <w:b/>
                <w:bCs/>
                <w:color w:val="000000" w:themeColor="text1"/>
                <w:sz w:val="24"/>
                <w:szCs w:val="24"/>
                <w:lang w:val="en-US" w:eastAsia="zh-CN"/>
                <w14:textFill>
                  <w14:solidFill>
                    <w14:schemeClr w14:val="tx1"/>
                  </w14:solidFill>
                </w14:textFill>
              </w:rPr>
              <w:t>示意图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lang w:eastAsia="zh-CN"/>
                <w14:textFill>
                  <w14:solidFill>
                    <w14:schemeClr w14:val="tx1"/>
                  </w14:solidFill>
                </w14:textFill>
              </w:rPr>
            </w:pPr>
            <w:r>
              <w:rPr>
                <w:rFonts w:hint="default" w:ascii="Times New Roman" w:hAnsi="Times New Roman" w:cs="Times New Roman"/>
                <w:color w:val="000000" w:themeColor="text1"/>
                <w:kern w:val="0"/>
                <w:sz w:val="24"/>
                <w:lang w:eastAsia="zh-CN"/>
                <w14:textFill>
                  <w14:solidFill>
                    <w14:schemeClr w14:val="tx1"/>
                  </w14:solidFill>
                </w14:textFill>
              </w:rPr>
              <w:t>堰顶宽度可为1-2m。当采用机械挖基时，应视机械的种类决定，但不应小于3m。堰外边迎水流冲刷的一侧，边坡宽度宜为1：1，背水冲刷的一侧边坡坡度可在1：0.5以内；内坡脚与基坑的距离根据河床土质及基坑开挖深度确定，但不小于1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ascii="Times New Roman" w:hAnsi="Times New Roman" w:cs="Times New Roman"/>
                <w:color w:val="000000" w:themeColor="text1"/>
                <w:kern w:val="0"/>
                <w:sz w:val="24"/>
                <w:lang w:val="en-US" w:eastAsia="zh-CN"/>
                <w14:textFill>
                  <w14:solidFill>
                    <w14:schemeClr w14:val="tx1"/>
                  </w14:solidFill>
                </w14:textFill>
              </w:rPr>
              <w:t>c、排水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形成围堰后，需要排出围堰内的积水，所以施工人员根据围堰内的积水、地下水和渗透水的多少情况来确定排水设备的多少，在排干后选择一至二处低洼点开挖积水井，要确保下步施工时，围堰内没有明显的积水，以利下一步施工的顺利进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ascii="Times New Roman" w:hAnsi="Times New Roman" w:cs="Times New Roman"/>
                <w:color w:val="000000" w:themeColor="text1"/>
                <w:kern w:val="0"/>
                <w:sz w:val="24"/>
                <w:lang w:val="en-US" w:eastAsia="zh-CN"/>
                <w14:textFill>
                  <w14:solidFill>
                    <w14:schemeClr w14:val="tx1"/>
                  </w14:solidFill>
                </w14:textFill>
              </w:rPr>
              <w:t>d、管沟开挖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根据地勘资料河床底下绝大部分为灰岩，且坚硬，采用钻爆方法进行管沟的开挖施工。首先清除堰内淤泥、杂物、乱石、卵石，然后严格按照爆破工程的有关规范要求，根据图纸中设计的长度、宽度、高度、坡度、弯头角度完成管沟的形成。在管沟开挖的同时，对两岸护坡工程的基础开挖，坡面修整也同时施工。用管沟爆出的石头填充作业带，不足部分通过在外购买的方法把作业带修筑好</w:t>
            </w:r>
            <w:r>
              <w:rPr>
                <w:rFonts w:hint="eastAsia" w:ascii="Times New Roman" w:hAnsi="Times New Roman" w:cs="Times New Roman"/>
                <w:color w:val="000000" w:themeColor="text1"/>
                <w:kern w:val="0"/>
                <w:sz w:val="24"/>
                <w:lang w:eastAsia="zh-CN"/>
                <w14:textFill>
                  <w14:solidFill>
                    <w14:schemeClr w14:val="tx1"/>
                  </w14:solidFill>
                </w14:textFill>
              </w:rPr>
              <w:t>。管沟开挖过程中将挖出的土石方分别堆放到河道的上游、下游靠近围堰处，</w:t>
            </w:r>
            <w:r>
              <w:rPr>
                <w:rFonts w:hint="eastAsia" w:ascii="Times New Roman" w:hAnsi="Times New Roman" w:cs="Times New Roman"/>
                <w:color w:val="000000" w:themeColor="text1"/>
                <w:kern w:val="0"/>
                <w:sz w:val="24"/>
                <w:lang w:val="en-US" w:eastAsia="zh-CN"/>
                <w14:textFill>
                  <w14:solidFill>
                    <w14:schemeClr w14:val="tx1"/>
                  </w14:solidFill>
                </w14:textFill>
              </w:rPr>
              <w:t>待</w:t>
            </w:r>
            <w:r>
              <w:rPr>
                <w:rFonts w:hint="default" w:ascii="Times New Roman" w:hAnsi="Times New Roman" w:eastAsia="宋体" w:cs="Times New Roman"/>
                <w:color w:val="000000" w:themeColor="text1"/>
                <w:kern w:val="0"/>
                <w:sz w:val="24"/>
                <w14:textFill>
                  <w14:solidFill>
                    <w14:schemeClr w14:val="tx1"/>
                  </w14:solidFill>
                </w14:textFill>
              </w:rPr>
              <w:t>管道试压合格后及时</w:t>
            </w:r>
            <w:r>
              <w:rPr>
                <w:rFonts w:hint="eastAsia" w:ascii="Times New Roman" w:hAnsi="Times New Roman" w:cs="Times New Roman"/>
                <w:color w:val="000000" w:themeColor="text1"/>
                <w:kern w:val="0"/>
                <w:sz w:val="24"/>
                <w:lang w:val="en-US" w:eastAsia="zh-CN"/>
                <w14:textFill>
                  <w14:solidFill>
                    <w14:schemeClr w14:val="tx1"/>
                  </w14:solidFill>
                </w14:textFill>
              </w:rPr>
              <w:t>回填。回填过程中会产生无法回填的碎石类硬块，集中收集后运至当地建筑垃圾填埋场处理。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ascii="Times New Roman" w:hAnsi="Times New Roman" w:cs="Times New Roman"/>
                <w:color w:val="000000" w:themeColor="text1"/>
                <w:kern w:val="0"/>
                <w:sz w:val="24"/>
                <w:lang w:val="en-US" w:eastAsia="zh-CN"/>
                <w14:textFill>
                  <w14:solidFill>
                    <w14:schemeClr w14:val="tx1"/>
                  </w14:solidFill>
                </w14:textFill>
              </w:rPr>
              <w:t>e、敷设、稳管、水工保护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kern w:val="0"/>
                <w:sz w:val="24"/>
                <w:lang w:eastAsia="zh-CN"/>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 xml:space="preserve">管沟开挖达到设计要求后，立即配合管道安装施工，在上级技术主管部门、监理公司确认合格后，进行回填，管沟回填从远离河流的一侧开始，逐步向连头位置推进，细土分层夯实，并现场浇筑0.3 </w:t>
            </w:r>
            <w:r>
              <w:rPr>
                <w:rFonts w:hint="eastAsia" w:ascii="Times New Roman" w:hAnsi="Times New Roman" w:cs="Times New Roman"/>
                <w:color w:val="000000" w:themeColor="text1"/>
                <w:kern w:val="0"/>
                <w:sz w:val="24"/>
                <w:lang w:val="en-US" w:eastAsia="zh-CN"/>
                <w14:textFill>
                  <w14:solidFill>
                    <w14:schemeClr w14:val="tx1"/>
                  </w14:solidFill>
                </w14:textFill>
              </w:rPr>
              <w:t>m</w:t>
            </w:r>
            <w:r>
              <w:rPr>
                <w:rFonts w:hint="default" w:ascii="Times New Roman" w:hAnsi="Times New Roman" w:eastAsia="宋体" w:cs="Times New Roman"/>
                <w:color w:val="000000" w:themeColor="text1"/>
                <w:kern w:val="0"/>
                <w:sz w:val="24"/>
                <w14:textFill>
                  <w14:solidFill>
                    <w14:schemeClr w14:val="tx1"/>
                  </w14:solidFill>
                </w14:textFill>
              </w:rPr>
              <w:t xml:space="preserve">厚C20素混凝土封顶，再浆砌0.3 </w:t>
            </w:r>
            <w:r>
              <w:rPr>
                <w:rFonts w:hint="eastAsia" w:ascii="Times New Roman" w:hAnsi="Times New Roman" w:cs="Times New Roman"/>
                <w:color w:val="000000" w:themeColor="text1"/>
                <w:kern w:val="0"/>
                <w:sz w:val="24"/>
                <w:lang w:val="en-US" w:eastAsia="zh-CN"/>
                <w14:textFill>
                  <w14:solidFill>
                    <w14:schemeClr w14:val="tx1"/>
                  </w14:solidFill>
                </w14:textFill>
              </w:rPr>
              <w:t>m</w:t>
            </w:r>
            <w:r>
              <w:rPr>
                <w:rFonts w:hint="default" w:ascii="Times New Roman" w:hAnsi="Times New Roman" w:eastAsia="宋体" w:cs="Times New Roman"/>
                <w:color w:val="000000" w:themeColor="text1"/>
                <w:kern w:val="0"/>
                <w:sz w:val="24"/>
                <w14:textFill>
                  <w14:solidFill>
                    <w14:schemeClr w14:val="tx1"/>
                  </w14:solidFill>
                </w14:textFill>
              </w:rPr>
              <w:t>厚的块石作护顶，此时，浆砌块石上部高程大致与原河床底持平。注意：如在冬季，由于天气寒冷，防止浆砌石初凝前不要伤水冻坏，因此要保持堰内无积水，保证工程质量达到设计要求</w:t>
            </w:r>
            <w:r>
              <w:rPr>
                <w:rFonts w:hint="eastAsia" w:ascii="Times New Roman" w:hAnsi="Times New Roman" w:cs="Times New Roman"/>
                <w:color w:val="000000" w:themeColor="text1"/>
                <w:kern w:val="0"/>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ascii="Times New Roman" w:hAnsi="Times New Roman" w:cs="Times New Roman"/>
                <w:color w:val="000000" w:themeColor="text1"/>
                <w:kern w:val="0"/>
                <w:sz w:val="24"/>
                <w:lang w:val="en-US" w:eastAsia="zh-CN"/>
                <w14:textFill>
                  <w14:solidFill>
                    <w14:schemeClr w14:val="tx1"/>
                  </w14:solidFill>
                </w14:textFill>
              </w:rPr>
              <w:t>f、河道两岸护坡、堤防恢复工程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管道安装合格，管道保护性工程完成后，立即进行两岸护坡工程或堤防恢复的施工，先挡土墙的砌筑，然后进行坡面浆砌体的施工，并用砂浆勾凸缝直至竣工。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eastAsia" w:ascii="Times New Roman" w:hAnsi="Times New Roman" w:cs="Times New Roman"/>
                <w:color w:val="000000" w:themeColor="text1"/>
                <w:kern w:val="0"/>
                <w:sz w:val="24"/>
                <w:lang w:val="en-US" w:eastAsia="zh-CN"/>
                <w14:textFill>
                  <w14:solidFill>
                    <w14:schemeClr w14:val="tx1"/>
                  </w14:solidFill>
                </w14:textFill>
              </w:rPr>
              <w:t>g、</w:t>
            </w:r>
            <w:r>
              <w:rPr>
                <w:rFonts w:hint="default" w:ascii="Times New Roman" w:hAnsi="Times New Roman" w:eastAsia="宋体" w:cs="Times New Roman"/>
                <w:color w:val="000000" w:themeColor="text1"/>
                <w:kern w:val="0"/>
                <w:sz w:val="24"/>
                <w14:textFill>
                  <w14:solidFill>
                    <w14:schemeClr w14:val="tx1"/>
                  </w14:solidFill>
                </w14:textFill>
              </w:rPr>
              <w:t>弃渣、恢复原地貌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穿越工程全部竣工后，第一步：首先清除作业带的毛石至原河床底，然后缓缓放水至围堰，使上、下游水位保持原来的流态，不形成人为水压力；第二步：拆除围堰墙；第三步：回填导流明渠，直至基本达到原地貌；第四步：修整因作业带放缓坡的地段、恢复如前；最后全施工河段整体清理恢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eastAsia" w:ascii="Times New Roman" w:hAnsi="Times New Roman" w:cs="Times New Roman"/>
                <w:color w:val="000000" w:themeColor="text1"/>
                <w:kern w:val="0"/>
                <w:sz w:val="24"/>
                <w:lang w:val="en-US" w:eastAsia="zh-CN"/>
                <w14:textFill>
                  <w14:solidFill>
                    <w14:schemeClr w14:val="tx1"/>
                  </w14:solidFill>
                </w14:textFill>
              </w:rPr>
              <w:t>本项目大开挖（围堰导流）穿越河流示意见图2-6</w:t>
            </w:r>
            <w:r>
              <w:rPr>
                <w:rFonts w:hint="default" w:ascii="Times New Roman" w:hAnsi="Times New Roman" w:eastAsia="宋体" w:cs="Times New Roman"/>
                <w:color w:val="000000" w:themeColor="text1"/>
                <w:kern w:val="0"/>
                <w:sz w:val="24"/>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color w:val="000000" w:themeColor="text1"/>
                <w:sz w:val="21"/>
                <w14:textFill>
                  <w14:solidFill>
                    <w14:schemeClr w14:val="tx1"/>
                  </w14:solidFill>
                </w14:textFill>
              </w:rPr>
              <w:pict>
                <v:shape id="_x0000_s2197" o:spid="_x0000_s2197" o:spt="61" type="#_x0000_t61" style="position:absolute;left:0pt;margin-left:273.1pt;margin-top:1.4pt;height:24.8pt;width:40.5pt;z-index:251664384;mso-width-relative:page;mso-height-relative:page;" fillcolor="#FFFFFF" filled="t" stroked="t" coordsize="21600,21600" adj="-12702,54566">
                  <v:path/>
                  <v:fill on="t" color2="#FFFFFF" opacity="19660f" focussize="0,0"/>
                  <v:stroke color="#000000" joinstyle="miter"/>
                  <v:imagedata o:title=""/>
                  <o:lock v:ext="edit" aspectratio="f"/>
                  <v:textbox>
                    <w:txbxContent>
                      <w:p>
                        <w:pPr>
                          <w:rPr>
                            <w:rFonts w:hint="default" w:eastAsia="宋体"/>
                            <w:sz w:val="24"/>
                            <w:szCs w:val="24"/>
                            <w:lang w:val="en-US" w:eastAsia="zh-CN"/>
                          </w:rPr>
                        </w:pPr>
                        <w:r>
                          <w:rPr>
                            <w:rFonts w:hint="eastAsia"/>
                            <w:sz w:val="24"/>
                            <w:szCs w:val="24"/>
                            <w:lang w:val="en-US" w:eastAsia="zh-CN"/>
                          </w:rPr>
                          <w:t>围堰</w:t>
                        </w:r>
                      </w:p>
                    </w:txbxContent>
                  </v:textbox>
                </v:shape>
              </w:pict>
            </w:r>
            <w:r>
              <w:rPr>
                <w:color w:val="000000" w:themeColor="text1"/>
                <w:sz w:val="21"/>
                <w14:textFill>
                  <w14:solidFill>
                    <w14:schemeClr w14:val="tx1"/>
                  </w14:solidFill>
                </w14:textFill>
              </w:rPr>
              <w:pict>
                <v:shape id="_x0000_s2196" o:spid="_x0000_s2196" o:spt="61" type="#_x0000_t61" style="position:absolute;left:0pt;margin-left:71.7pt;margin-top:9.9pt;height:24.8pt;width:51.35pt;z-index:251663360;mso-width-relative:page;mso-height-relative:page;" fillcolor="#FFFFFF" filled="t" stroked="t" coordsize="21600,21600" adj="25407,40021">
                  <v:path/>
                  <v:fill on="t" color2="#FFFFFF" opacity="19660f" focussize="0,0"/>
                  <v:stroke color="#000000"/>
                  <v:imagedata o:title=""/>
                  <o:lock v:ext="edit" aspectratio="f"/>
                  <v:textbox>
                    <w:txbxContent>
                      <w:p>
                        <w:pPr>
                          <w:rPr>
                            <w:rFonts w:hint="eastAsia" w:eastAsia="宋体"/>
                            <w:sz w:val="24"/>
                            <w:szCs w:val="24"/>
                            <w:lang w:val="en-US" w:eastAsia="zh-CN"/>
                          </w:rPr>
                        </w:pPr>
                        <w:r>
                          <w:rPr>
                            <w:rFonts w:hint="eastAsia"/>
                            <w:sz w:val="24"/>
                            <w:szCs w:val="24"/>
                            <w:lang w:val="en-US" w:eastAsia="zh-CN"/>
                          </w:rPr>
                          <w:t>导流渠</w:t>
                        </w:r>
                      </w:p>
                    </w:txbxContent>
                  </v:textbox>
                </v:shape>
              </w:pict>
            </w:r>
            <w:r>
              <w:rPr>
                <w:color w:val="000000" w:themeColor="text1"/>
                <w14:textFill>
                  <w14:solidFill>
                    <w14:schemeClr w14:val="tx1"/>
                  </w14:solidFill>
                </w14:textFill>
              </w:rPr>
              <w:drawing>
                <wp:anchor distT="0" distB="0" distL="114300" distR="114300" simplePos="0" relativeHeight="251663360" behindDoc="1" locked="0" layoutInCell="1" allowOverlap="1">
                  <wp:simplePos x="0" y="0"/>
                  <wp:positionH relativeFrom="column">
                    <wp:align>center</wp:align>
                  </wp:positionH>
                  <wp:positionV relativeFrom="paragraph">
                    <wp:posOffset>3810</wp:posOffset>
                  </wp:positionV>
                  <wp:extent cx="4682490" cy="2596515"/>
                  <wp:effectExtent l="0" t="0" r="3810" b="13335"/>
                  <wp:wrapNone/>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1"/>
                          </pic:cNvPicPr>
                        </pic:nvPicPr>
                        <pic:blipFill>
                          <a:blip r:embed="rId16"/>
                          <a:stretch>
                            <a:fillRect/>
                          </a:stretch>
                        </pic:blipFill>
                        <pic:spPr>
                          <a:xfrm>
                            <a:off x="0" y="0"/>
                            <a:ext cx="4682490" cy="259651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图2-</w:t>
            </w:r>
            <w:r>
              <w:rPr>
                <w:rFonts w:hint="eastAsia" w:ascii="Times New Roman" w:hAnsi="Times New Roman" w:cs="Times New Roman"/>
                <w:b/>
                <w:bCs/>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eastAsia" w:ascii="Times New Roman" w:hAnsi="Times New Roman" w:cs="Times New Roman"/>
                <w:b/>
                <w:bCs/>
                <w:color w:val="000000" w:themeColor="text1"/>
                <w:sz w:val="24"/>
                <w:szCs w:val="24"/>
                <w:lang w:val="en-US" w:eastAsia="zh-CN"/>
                <w14:textFill>
                  <w14:solidFill>
                    <w14:schemeClr w14:val="tx1"/>
                  </w14:solidFill>
                </w14:textFill>
              </w:rPr>
              <w:t>大开挖（围堰导流）穿越河流</w:t>
            </w:r>
            <w:r>
              <w:rPr>
                <w:rFonts w:hint="default" w:ascii="Times New Roman" w:hAnsi="Times New Roman" w:cs="Times New Roman"/>
                <w:b/>
                <w:bCs/>
                <w:color w:val="000000" w:themeColor="text1"/>
                <w:sz w:val="24"/>
                <w:szCs w:val="24"/>
                <w:lang w:val="en-US" w:eastAsia="zh-CN"/>
                <w14:textFill>
                  <w14:solidFill>
                    <w14:schemeClr w14:val="tx1"/>
                  </w14:solidFill>
                </w14:textFill>
              </w:rPr>
              <w:t>示意图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ascii="Times New Roman" w:hAnsi="Times New Roman" w:cs="Times New Roman"/>
                <w:color w:val="000000" w:themeColor="text1"/>
                <w:kern w:val="0"/>
                <w:sz w:val="24"/>
                <w:lang w:val="en-US" w:eastAsia="zh-CN"/>
                <w14:textFill>
                  <w14:solidFill>
                    <w14:schemeClr w14:val="tx1"/>
                  </w14:solidFill>
                </w14:textFill>
              </w:rPr>
              <w:t>B、定向钻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定向钻施工利用用比钻杆外径略大的箭咀式小钻头打导向孔，钻杆从地面钻入，地面仪器接受由地下钻头内传送器发出的消息，控制钻头的方向和深度，钻成准确的定位导向孔。再利用导向孔，反向回扩，回扩时只将设计孔径内的原状土搅碎。最后利用清孔设备清出孔道内泥土，形成安管的通道。在钻进先导孔和扩孔时注水润滑钻具，扩孔搅碎孔内原状土时，要将孔内土搅拌形成塑性泥浆，在清孔时借助于机具的挤压，在孔壁上形成光滑的一层护壁泥皮，用以平衡孔道内的固岩压力，最终造成稳定光滑的安管通道。孔道成型后利用拉力机将管节拖拽入孔道内，完成安装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000000" w:themeColor="text1"/>
                <w:kern w:val="0"/>
                <w:sz w:val="24"/>
                <w:lang w:eastAsia="zh-CN"/>
                <w14:textFill>
                  <w14:solidFill>
                    <w14:schemeClr w14:val="tx1"/>
                  </w14:solidFill>
                </w14:textFill>
              </w:rPr>
            </w:pPr>
            <w:r>
              <w:rPr>
                <w:rFonts w:hint="eastAsia" w:ascii="Times New Roman" w:hAnsi="Times New Roman" w:cs="Times New Roman"/>
                <w:color w:val="000000" w:themeColor="text1"/>
                <w:kern w:val="0"/>
                <w:sz w:val="24"/>
                <w:lang w:val="en-US" w:eastAsia="zh-CN"/>
                <w14:textFill>
                  <w14:solidFill>
                    <w14:schemeClr w14:val="tx1"/>
                  </w14:solidFill>
                </w14:textFill>
              </w:rPr>
              <w:t>定向钻</w:t>
            </w:r>
            <w:r>
              <w:rPr>
                <w:rFonts w:hint="default" w:ascii="Times New Roman" w:hAnsi="Times New Roman" w:eastAsia="宋体" w:cs="Times New Roman"/>
                <w:color w:val="000000" w:themeColor="text1"/>
                <w:kern w:val="0"/>
                <w:sz w:val="24"/>
                <w14:textFill>
                  <w14:solidFill>
                    <w14:schemeClr w14:val="tx1"/>
                  </w14:solidFill>
                </w14:textFill>
              </w:rPr>
              <w:t>施工结束后还将产生废弃泥浆和钻屑</w:t>
            </w:r>
            <w:r>
              <w:rPr>
                <w:rFonts w:hint="eastAsia" w:ascii="Times New Roman" w:hAnsi="Times New Roman" w:cs="Times New Roman"/>
                <w:color w:val="000000" w:themeColor="text1"/>
                <w:kern w:val="0"/>
                <w:sz w:val="24"/>
                <w:lang w:eastAsia="zh-CN"/>
                <w14:textFill>
                  <w14:solidFill>
                    <w14:schemeClr w14:val="tx1"/>
                  </w14:solidFill>
                </w14:textFill>
              </w:rPr>
              <w:t>。废泥浆采用异地自然干化后覆土掩埋恢复种植；废钻屑用来加筑堤坝或平整场地。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④</w:t>
            </w:r>
            <w:r>
              <w:rPr>
                <w:rFonts w:hint="default" w:ascii="Times New Roman" w:hAnsi="Times New Roman" w:cs="Times New Roman"/>
                <w:color w:val="000000" w:themeColor="text1"/>
                <w:kern w:val="0"/>
                <w:sz w:val="24"/>
                <w:lang w:val="en-US" w:eastAsia="zh-CN"/>
                <w14:textFill>
                  <w14:solidFill>
                    <w14:schemeClr w14:val="tx1"/>
                  </w14:solidFill>
                </w14:textFill>
              </w:rPr>
              <w:t>穿越公路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本项目设计管线共穿越G344国道1次，穿越关山大道1次，穿越公路3次。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000000" w:themeColor="text1"/>
                <w:kern w:val="0"/>
                <w:sz w:val="24"/>
                <w:lang w:val="en-US" w:eastAsia="zh-CN"/>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本次设计穿越道路采用顶管施工，顶管施工开挖较少，不对路面结构造成破坏。为了避免大车、重车过顶碾压，管顶覆土不小于2.5m。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000000" w:themeColor="text1"/>
                <w:kern w:val="0"/>
                <w:sz w:val="24"/>
                <w:lang w:val="en-US" w:eastAsia="zh-CN"/>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在施工现场将钢管套进混凝土管内，采用吊装带绑扎牢固，整体放入管槽内。采用机械下管，速度均匀，回转平稳，下落时低速轻放。吊装前将管节沿沟槽边顺序排列，依次下到沟槽内。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000000" w:themeColor="text1"/>
                <w:kern w:val="0"/>
                <w:sz w:val="24"/>
                <w:lang w:val="en-US" w:eastAsia="zh-CN"/>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管道下槽就位后，开始装管。将单节管子按照设计的高程和位置逐节安装而形成整体管道。在永久性冻土或季节性冻土层，管顶埋深在冰冻层以下。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⑤</w:t>
            </w:r>
            <w:r>
              <w:rPr>
                <w:rFonts w:hint="default" w:ascii="Times New Roman" w:hAnsi="Times New Roman" w:eastAsia="宋体" w:cs="Times New Roman"/>
                <w:color w:val="000000" w:themeColor="text1"/>
                <w:kern w:val="0"/>
                <w:sz w:val="24"/>
                <w14:textFill>
                  <w14:solidFill>
                    <w14:schemeClr w14:val="tx1"/>
                  </w14:solidFill>
                </w14:textFill>
              </w:rPr>
              <w:t>管道试压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管道安装完毕且经检验合格后，进行管道的试压。管道试压在管道两侧及管顶高度500mm回填密实后进行。本</w:t>
            </w:r>
            <w:r>
              <w:rPr>
                <w:rFonts w:hint="default" w:ascii="Times New Roman" w:hAnsi="Times New Roman" w:cs="Times New Roman"/>
                <w:color w:val="000000" w:themeColor="text1"/>
                <w:kern w:val="0"/>
                <w:sz w:val="24"/>
                <w:lang w:val="en-US" w:eastAsia="zh-CN"/>
                <w14:textFill>
                  <w14:solidFill>
                    <w14:schemeClr w14:val="tx1"/>
                  </w14:solidFill>
                </w14:textFill>
              </w:rPr>
              <w:t>项目</w:t>
            </w:r>
            <w:r>
              <w:rPr>
                <w:rFonts w:hint="default" w:ascii="Times New Roman" w:hAnsi="Times New Roman" w:eastAsia="宋体" w:cs="Times New Roman"/>
                <w:color w:val="000000" w:themeColor="text1"/>
                <w:kern w:val="0"/>
                <w:sz w:val="24"/>
                <w14:textFill>
                  <w14:solidFill>
                    <w14:schemeClr w14:val="tx1"/>
                  </w14:solidFill>
                </w14:textFill>
              </w:rPr>
              <w:t>管线最高工作压力小于1.0MPa，因此管道试验压力按规范为1.5MPa。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管道试压时，两只注水孔一只注水打压，另一只为排气孔，用手动试压泵在其中一只孔内打水压，另一只孔将空气排尽，然后用螺栓生料带密封，使之打压至规定的压力值，恒压3</w:t>
            </w:r>
            <w:r>
              <w:rPr>
                <w:rFonts w:hint="default" w:ascii="Times New Roman" w:hAnsi="Times New Roman" w:cs="Times New Roman"/>
                <w:color w:val="000000" w:themeColor="text1"/>
                <w:kern w:val="0"/>
                <w:sz w:val="24"/>
                <w:lang w:val="en-US" w:eastAsia="zh-CN"/>
                <w14:textFill>
                  <w14:solidFill>
                    <w14:schemeClr w14:val="tx1"/>
                  </w14:solidFill>
                </w14:textFill>
              </w:rPr>
              <w:t>min</w:t>
            </w:r>
            <w:r>
              <w:rPr>
                <w:rFonts w:hint="default" w:ascii="Times New Roman" w:hAnsi="Times New Roman" w:eastAsia="宋体" w:cs="Times New Roman"/>
                <w:color w:val="000000" w:themeColor="text1"/>
                <w:kern w:val="0"/>
                <w:sz w:val="24"/>
                <w14:textFill>
                  <w14:solidFill>
                    <w14:schemeClr w14:val="tx1"/>
                  </w14:solidFill>
                </w14:textFill>
              </w:rPr>
              <w:t>，用肉眼观察，接头内外是否渗漏水。</w:t>
            </w:r>
            <w:r>
              <w:rPr>
                <w:rFonts w:hint="default" w:ascii="Times New Roman" w:hAnsi="Times New Roman" w:eastAsia="宋体" w:cs="Times New Roman"/>
                <w:color w:val="000000" w:themeColor="text1"/>
                <w:kern w:val="0"/>
                <w:sz w:val="24"/>
                <w14:textFill>
                  <w14:solidFill>
                    <w14:schemeClr w14:val="tx1"/>
                  </w14:solidFill>
                </w14:textFill>
              </w:rPr>
              <w:br w:type="textWrapping"/>
            </w:r>
            <w:r>
              <w:rPr>
                <w:rFonts w:hint="default" w:ascii="Times New Roman" w:hAnsi="Times New Roman" w:eastAsia="宋体" w:cs="Times New Roman"/>
                <w:color w:val="000000" w:themeColor="text1"/>
                <w:kern w:val="0"/>
                <w:sz w:val="24"/>
                <w14:textFill>
                  <w14:solidFill>
                    <w14:schemeClr w14:val="tx1"/>
                  </w14:solidFill>
                </w14:textFill>
              </w:rPr>
              <w:t>管道试压分段进行，试压长度不超过lkm，安装接头试验后，用1：2.5水泥砂浆或用环氧砂浆将接头内外间隙进行密封。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管道铺设完成后需对管道进行闭水试</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压</w:t>
            </w:r>
            <w:r>
              <w:rPr>
                <w:rFonts w:hint="default" w:ascii="Times New Roman" w:hAnsi="Times New Roman" w:eastAsia="宋体" w:cs="Times New Roman"/>
                <w:color w:val="000000" w:themeColor="text1"/>
                <w:sz w:val="24"/>
                <w:szCs w:val="24"/>
                <w14:textFill>
                  <w14:solidFill>
                    <w14:schemeClr w14:val="tx1"/>
                  </w14:solidFill>
                </w14:textFill>
              </w:rPr>
              <w:t>，试</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压</w:t>
            </w:r>
            <w:r>
              <w:rPr>
                <w:rFonts w:hint="default" w:ascii="Times New Roman" w:hAnsi="Times New Roman" w:eastAsia="宋体" w:cs="Times New Roman"/>
                <w:color w:val="000000" w:themeColor="text1"/>
                <w:sz w:val="24"/>
                <w:szCs w:val="24"/>
                <w14:textFill>
                  <w14:solidFill>
                    <w14:schemeClr w14:val="tx1"/>
                  </w14:solidFill>
                </w14:textFill>
              </w:rPr>
              <w:t>用水为自来水</w:t>
            </w:r>
            <w:r>
              <w:rPr>
                <w:rFonts w:hint="default" w:ascii="Times New Roman" w:hAnsi="Times New Roman" w:cs="Times New Roman"/>
                <w:color w:val="000000" w:themeColor="text1"/>
                <w:sz w:val="24"/>
                <w:szCs w:val="21"/>
                <w:lang w:val="en-US" w:eastAsia="zh-CN"/>
                <w14:textFill>
                  <w14:solidFill>
                    <w14:schemeClr w14:val="tx1"/>
                  </w14:solidFill>
                </w14:textFill>
              </w:rPr>
              <w:t>，分段进行。该过程会产生少量闭水试</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压</w:t>
            </w:r>
            <w:r>
              <w:rPr>
                <w:rFonts w:hint="default" w:ascii="Times New Roman" w:hAnsi="Times New Roman" w:cs="Times New Roman"/>
                <w:color w:val="000000" w:themeColor="text1"/>
                <w:sz w:val="24"/>
                <w:szCs w:val="21"/>
                <w:lang w:val="en-US" w:eastAsia="zh-CN"/>
                <w14:textFill>
                  <w14:solidFill>
                    <w14:schemeClr w14:val="tx1"/>
                  </w14:solidFill>
                </w14:textFill>
              </w:rPr>
              <w:t>废水</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lang w:eastAsia="zh-CN"/>
                <w14:textFill>
                  <w14:solidFill>
                    <w14:schemeClr w14:val="tx1"/>
                  </w14:solidFill>
                </w14:textFill>
              </w:rPr>
              <w:t>经</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临时</w:t>
            </w:r>
            <w:r>
              <w:rPr>
                <w:rFonts w:hint="default" w:ascii="Times New Roman" w:hAnsi="Times New Roman" w:eastAsia="宋体" w:cs="Times New Roman"/>
                <w:color w:val="000000" w:themeColor="text1"/>
                <w:kern w:val="0"/>
                <w:sz w:val="24"/>
                <w:lang w:eastAsia="zh-CN"/>
                <w14:textFill>
                  <w14:solidFill>
                    <w14:schemeClr w14:val="tx1"/>
                  </w14:solidFill>
                </w14:textFill>
              </w:rPr>
              <w:t>沉淀</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池</w:t>
            </w:r>
            <w:r>
              <w:rPr>
                <w:rFonts w:hint="default" w:ascii="Times New Roman" w:hAnsi="Times New Roman" w:eastAsia="宋体" w:cs="Times New Roman"/>
                <w:color w:val="000000" w:themeColor="text1"/>
                <w:kern w:val="0"/>
                <w:sz w:val="24"/>
                <w:lang w:eastAsia="zh-CN"/>
                <w14:textFill>
                  <w14:solidFill>
                    <w14:schemeClr w14:val="tx1"/>
                  </w14:solidFill>
                </w14:textFill>
              </w:rPr>
              <w:t>处理后</w:t>
            </w:r>
            <w:r>
              <w:rPr>
                <w:rFonts w:hint="default" w:ascii="Times New Roman" w:hAnsi="Times New Roman" w:eastAsia="宋体" w:cs="Times New Roman"/>
                <w:color w:val="000000" w:themeColor="text1"/>
                <w:kern w:val="0"/>
                <w:sz w:val="24"/>
                <w14:textFill>
                  <w14:solidFill>
                    <w14:schemeClr w14:val="tx1"/>
                  </w14:solidFill>
                </w14:textFill>
              </w:rPr>
              <w:t>回用于施工及洒水抑尘等，循环使用，不外排</w:t>
            </w:r>
            <w:r>
              <w:rPr>
                <w:rFonts w:hint="default" w:ascii="Times New Roman" w:hAnsi="Times New Roman" w:cs="Times New Roman"/>
                <w:color w:val="000000" w:themeColor="text1"/>
                <w:kern w:val="0"/>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⑤沟槽覆土回填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管道试压合格后及时覆土回填。输水管道管顶覆土厚度不低于1.5m。槽底至管顶以上50cm范围内的回填土不得含有机物、杂物及直径大于50mm的硬块。回填时管道两侧要求同步进行，分层夯实，两侧压实面的高差不超过30cm。管道两侧回填土的压实度为90%，管身下方砂垫层的压实度为85%~90%</w:t>
            </w:r>
            <w:r>
              <w:rPr>
                <w:rFonts w:hint="eastAsia" w:ascii="Times New Roman" w:hAnsi="Times New Roman" w:eastAsia="宋体" w:cs="Times New Roman"/>
                <w:color w:val="000000" w:themeColor="text1"/>
                <w:kern w:val="0"/>
                <w:sz w:val="24"/>
                <w:lang w:eastAsia="zh-CN"/>
                <w14:textFill>
                  <w14:solidFill>
                    <w14:schemeClr w14:val="tx1"/>
                  </w14:solidFill>
                </w14:textFill>
              </w:rPr>
              <w:t>。</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回填过程中会产生无法回填的碎石类硬块，集中收集后运至</w:t>
            </w:r>
            <w:r>
              <w:rPr>
                <w:rFonts w:hint="default" w:ascii="Times New Roman" w:hAnsi="Times New Roman" w:eastAsia="宋体" w:cs="Times New Roman"/>
                <w:color w:val="000000" w:themeColor="text1"/>
                <w:kern w:val="0"/>
                <w:sz w:val="24"/>
                <w:lang w:eastAsia="zh-CN"/>
                <w14:textFill>
                  <w14:solidFill>
                    <w14:schemeClr w14:val="tx1"/>
                  </w14:solidFill>
                </w14:textFill>
              </w:rPr>
              <w:t>当地建筑垃圾填埋场处理</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本</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项目</w:t>
            </w:r>
            <w:r>
              <w:rPr>
                <w:rFonts w:hint="default" w:ascii="Times New Roman" w:hAnsi="Times New Roman" w:eastAsia="宋体" w:cs="Times New Roman"/>
                <w:color w:val="000000" w:themeColor="text1"/>
                <w:kern w:val="0"/>
                <w:sz w:val="24"/>
                <w14:textFill>
                  <w14:solidFill>
                    <w14:schemeClr w14:val="tx1"/>
                  </w14:solidFill>
                </w14:textFill>
              </w:rPr>
              <w:t>挖填平衡，无弃土弃渣，施工采用分段施工，</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采取即挖即填的方式</w:t>
            </w:r>
            <w:r>
              <w:rPr>
                <w:rFonts w:hint="eastAsia" w:ascii="Times New Roman" w:hAnsi="Times New Roman" w:cs="Times New Roman"/>
                <w:color w:val="000000" w:themeColor="text1"/>
                <w:kern w:val="0"/>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河流穿越施工</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时</w:t>
            </w:r>
            <w:r>
              <w:rPr>
                <w:rFonts w:hint="default" w:ascii="Times New Roman" w:hAnsi="Times New Roman" w:eastAsia="宋体" w:cs="Times New Roman"/>
                <w:color w:val="000000" w:themeColor="text1"/>
                <w:kern w:val="0"/>
                <w:sz w:val="24"/>
                <w14:textFill>
                  <w14:solidFill>
                    <w14:schemeClr w14:val="tx1"/>
                  </w14:solidFill>
                </w14:textFill>
              </w:rPr>
              <w:t>序</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kern w:val="0"/>
                <w:sz w:val="24"/>
                <w:lang w:eastAsia="zh-CN"/>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开挖导流明渠——围堰——排水——清淤——开挖（钻孔爆破）——修筑作业带——敷设——管道安装——回填——水工保护——砌两岸护坡体——弃渣——恢复原地貌（包括导流明渠恢复）</w:t>
            </w:r>
            <w:r>
              <w:rPr>
                <w:rFonts w:hint="eastAsia" w:ascii="Times New Roman" w:hAnsi="Times New Roman" w:eastAsia="宋体" w:cs="Times New Roman"/>
                <w:color w:val="000000" w:themeColor="text1"/>
                <w:kern w:val="0"/>
                <w:sz w:val="24"/>
                <w:lang w:eastAsia="zh-CN"/>
                <w14:textFill>
                  <w14:solidFill>
                    <w14:schemeClr w14:val="tx1"/>
                  </w14:solidFill>
                </w14:textFill>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净水厂施工工艺流程</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净水厂施工期工艺流程为：测量定线机械作业、材料运输基础施工（开挖土石、填方碾压）主体工程装饰工程设备安装工程，其施工过程的污染分析见图</w:t>
            </w:r>
            <w:r>
              <w:rPr>
                <w:rFonts w:hint="eastAsia" w:cs="Times New Roman"/>
                <w:color w:val="000000" w:themeColor="text1"/>
                <w:kern w:val="0"/>
                <w:sz w:val="24"/>
                <w:lang w:val="en-US" w:eastAsia="zh-CN"/>
                <w14:textFill>
                  <w14:solidFill>
                    <w14:schemeClr w14:val="tx1"/>
                  </w14:solidFill>
                </w14:textFill>
              </w:rPr>
              <w:t>2-7</w:t>
            </w:r>
            <w:r>
              <w:rPr>
                <w:rFonts w:hint="default" w:ascii="Times New Roman" w:hAnsi="Times New Roman" w:eastAsia="宋体" w:cs="Times New Roman"/>
                <w:color w:val="000000" w:themeColor="text1"/>
                <w:kern w:val="0"/>
                <w:sz w:val="24"/>
                <w14:textFill>
                  <w14:solidFill>
                    <w14:schemeClr w14:val="tx1"/>
                  </w14:solidFill>
                </w14:textFill>
              </w:rPr>
              <w:t>。</w:t>
            </w:r>
          </w:p>
          <w:p>
            <w:pPr>
              <w:spacing w:line="500" w:lineRule="exact"/>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pict>
                <v:shape id="_x0000_s2198" o:spid="_x0000_s2198" o:spt="75" type="#_x0000_t75" style="position:absolute;left:0pt;margin-left:0.2pt;margin-top:1.25pt;height:132.5pt;width:407.8pt;z-index:-251653120;mso-width-relative:page;mso-height-relative:page;" o:ole="t" filled="f" o:preferrelative="t" stroked="f" coordsize="21600,21600">
                  <v:path/>
                  <v:fill on="f" focussize="0,0"/>
                  <v:stroke on="f"/>
                  <v:imagedata r:id="rId18" o:title=""/>
                  <o:lock v:ext="edit" aspectratio="f"/>
                </v:shape>
                <o:OLEObject Type="Embed" ProgID="Visio.Drawing.11" ShapeID="_x0000_s2198" DrawAspect="Content" ObjectID="_1468075728" r:id="rId17">
                  <o:LockedField>false</o:LockedField>
                </o:OLEObject>
              </w:pict>
            </w:r>
          </w:p>
          <w:p>
            <w:pPr>
              <w:spacing w:line="500" w:lineRule="exact"/>
              <w:ind w:firstLine="480" w:firstLineChars="200"/>
              <w:rPr>
                <w:rFonts w:hint="default" w:ascii="Times New Roman" w:hAnsi="Times New Roman" w:cs="Times New Roman"/>
                <w:color w:val="000000" w:themeColor="text1"/>
                <w:sz w:val="24"/>
                <w14:textFill>
                  <w14:solidFill>
                    <w14:schemeClr w14:val="tx1"/>
                  </w14:solidFill>
                </w14:textFill>
              </w:rPr>
            </w:pPr>
          </w:p>
          <w:p>
            <w:pPr>
              <w:spacing w:line="500" w:lineRule="exact"/>
              <w:ind w:firstLine="480" w:firstLineChars="200"/>
              <w:rPr>
                <w:rFonts w:hint="default" w:ascii="Times New Roman" w:hAnsi="Times New Roman" w:cs="Times New Roman"/>
                <w:color w:val="000000" w:themeColor="text1"/>
                <w:sz w:val="24"/>
                <w14:textFill>
                  <w14:solidFill>
                    <w14:schemeClr w14:val="tx1"/>
                  </w14:solidFill>
                </w14:textFill>
              </w:rPr>
            </w:pPr>
          </w:p>
          <w:p>
            <w:pPr>
              <w:spacing w:line="500" w:lineRule="exact"/>
              <w:ind w:firstLine="480" w:firstLineChars="200"/>
              <w:rPr>
                <w:rFonts w:hint="default" w:ascii="Times New Roman" w:hAnsi="Times New Roman" w:cs="Times New Roman"/>
                <w:color w:val="000000" w:themeColor="text1"/>
                <w:sz w:val="24"/>
                <w14:textFill>
                  <w14:solidFill>
                    <w14:schemeClr w14:val="tx1"/>
                  </w14:solidFill>
                </w14:textFill>
              </w:rPr>
            </w:pPr>
          </w:p>
          <w:p>
            <w:pPr>
              <w:spacing w:line="500" w:lineRule="exact"/>
              <w:ind w:firstLine="480" w:firstLineChars="200"/>
              <w:rPr>
                <w:rFonts w:hint="default" w:ascii="Times New Roman" w:hAnsi="Times New Roman" w:cs="Times New Roman"/>
                <w:color w:val="000000" w:themeColor="text1"/>
                <w:sz w:val="24"/>
                <w14:textFill>
                  <w14:solidFill>
                    <w14:schemeClr w14:val="tx1"/>
                  </w14:solidFill>
                </w14:textFill>
              </w:rPr>
            </w:pPr>
          </w:p>
          <w:p>
            <w:pPr>
              <w:spacing w:line="500" w:lineRule="exact"/>
              <w:ind w:firstLine="482" w:firstLineChars="200"/>
              <w:jc w:val="center"/>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图2-</w:t>
            </w:r>
            <w:r>
              <w:rPr>
                <w:rFonts w:hint="eastAsia" w:cs="Times New Roman"/>
                <w:b/>
                <w:bCs/>
                <w:color w:val="000000" w:themeColor="text1"/>
                <w:sz w:val="24"/>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14:textFill>
                  <w14:solidFill>
                    <w14:schemeClr w14:val="tx1"/>
                  </w14:solidFill>
                </w14:textFill>
              </w:rPr>
              <w:t xml:space="preserve">  净水厂工程施工工艺流程及产污位置图</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①</w:t>
            </w:r>
            <w:r>
              <w:rPr>
                <w:rFonts w:hint="default" w:ascii="Times New Roman" w:hAnsi="Times New Roman" w:eastAsia="宋体" w:cs="Times New Roman"/>
                <w:color w:val="000000" w:themeColor="text1"/>
                <w:kern w:val="0"/>
                <w:sz w:val="24"/>
                <w14:textFill>
                  <w14:solidFill>
                    <w14:schemeClr w14:val="tx1"/>
                  </w14:solidFill>
                </w14:textFill>
              </w:rPr>
              <w:t>土方开挖</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lang w:eastAsia="zh-CN"/>
                <w14:textFill>
                  <w14:solidFill>
                    <w14:schemeClr w14:val="tx1"/>
                  </w14:solidFill>
                </w14:textFill>
              </w:rPr>
              <w:t>本项目</w:t>
            </w:r>
            <w:r>
              <w:rPr>
                <w:rFonts w:hint="default" w:ascii="Times New Roman" w:hAnsi="Times New Roman" w:eastAsia="宋体" w:cs="Times New Roman"/>
                <w:color w:val="000000" w:themeColor="text1"/>
                <w:kern w:val="0"/>
                <w:sz w:val="24"/>
                <w14:textFill>
                  <w14:solidFill>
                    <w14:schemeClr w14:val="tx1"/>
                  </w14:solidFill>
                </w14:textFill>
              </w:rPr>
              <w:t>由于开挖工程量较大，战线长，土方开挖主要采用机械开挖，挖出表土用于厂区内低洼出填埋。土方开挖必须与管道敷设密切配合，不出现重复挖、填的现象。并合理安排施工计划，使土方开挖与管道敷设保持一致，避免沟槽开挖后长时间暴露，防止受雨水及地表水的侵蚀。</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沟槽放坡按国家现行标准《给排水工程管道施工及验收规范》</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GB</w:t>
            </w:r>
            <w:r>
              <w:rPr>
                <w:rFonts w:hint="eastAsia" w:cs="Times New Roman"/>
                <w:color w:val="000000" w:themeColor="text1"/>
                <w:kern w:val="0"/>
                <w:sz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kern w:val="0"/>
                <w:sz w:val="24"/>
                <w14:textFill>
                  <w14:solidFill>
                    <w14:schemeClr w14:val="tx1"/>
                  </w14:solidFill>
                </w14:textFill>
              </w:rPr>
              <w:t>50268</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的规定执行。沟底的最小宽度满足《埋地聚乙烯给水管道工程技术规程》，管道敷设按设计的平面位置和高程开挖，无地下水时沟底预留0.05-0.1m。</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②</w:t>
            </w:r>
            <w:r>
              <w:rPr>
                <w:rFonts w:hint="default" w:ascii="Times New Roman" w:hAnsi="Times New Roman" w:eastAsia="宋体" w:cs="Times New Roman"/>
                <w:color w:val="000000" w:themeColor="text1"/>
                <w:kern w:val="0"/>
                <w:sz w:val="24"/>
                <w14:textFill>
                  <w14:solidFill>
                    <w14:schemeClr w14:val="tx1"/>
                  </w14:solidFill>
                </w14:textFill>
              </w:rPr>
              <w:t>石方开挖</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开挖均采用从上至下，分层开挖的程序施工。选用10m</w:t>
            </w:r>
            <w:r>
              <w:rPr>
                <w:rFonts w:hint="default" w:ascii="Times New Roman" w:hAnsi="Times New Roman" w:eastAsia="宋体" w:cs="Times New Roman"/>
                <w:color w:val="000000" w:themeColor="text1"/>
                <w:kern w:val="0"/>
                <w:sz w:val="24"/>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14:textFill>
                  <w14:solidFill>
                    <w14:schemeClr w14:val="tx1"/>
                  </w14:solidFill>
                </w14:textFill>
              </w:rPr>
              <w:t>移动空压机供风，手风钻钻孔，人工集渣、装渣，小四轮拖拉机出渣。局部修边，拣底的石方由人工开挖，弃渣运至乡镇指定渣场堆放。</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③</w:t>
            </w:r>
            <w:r>
              <w:rPr>
                <w:rFonts w:hint="default" w:ascii="Times New Roman" w:hAnsi="Times New Roman" w:eastAsia="宋体" w:cs="Times New Roman"/>
                <w:color w:val="000000" w:themeColor="text1"/>
                <w:kern w:val="0"/>
                <w:sz w:val="24"/>
                <w14:textFill>
                  <w14:solidFill>
                    <w14:schemeClr w14:val="tx1"/>
                  </w14:solidFill>
                </w14:textFill>
              </w:rPr>
              <w:t>土石方回填</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主要开挖弃渣作为建筑物填筑料。填筑量不大的，采用人工方法施工。由人工装料，人力双胶轮车运输，条件差的地方，用人力挑运，分层铺料，分层厚度控制在20cm以内，选用蛙式打夯机压实或人力夯实。</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④</w:t>
            </w:r>
            <w:r>
              <w:rPr>
                <w:rFonts w:hint="default" w:ascii="Times New Roman" w:hAnsi="Times New Roman" w:eastAsia="宋体" w:cs="Times New Roman"/>
                <w:color w:val="000000" w:themeColor="text1"/>
                <w:kern w:val="0"/>
                <w:sz w:val="24"/>
                <w14:textFill>
                  <w14:solidFill>
                    <w14:schemeClr w14:val="tx1"/>
                  </w14:solidFill>
                </w14:textFill>
              </w:rPr>
              <w:t>混凝土浇筑</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A、</w:t>
            </w:r>
            <w:r>
              <w:rPr>
                <w:rFonts w:hint="default" w:ascii="Times New Roman" w:hAnsi="Times New Roman" w:eastAsia="宋体" w:cs="Times New Roman"/>
                <w:color w:val="000000" w:themeColor="text1"/>
                <w:kern w:val="0"/>
                <w:sz w:val="24"/>
                <w14:textFill>
                  <w14:solidFill>
                    <w14:schemeClr w14:val="tx1"/>
                  </w14:solidFill>
                </w14:textFill>
              </w:rPr>
              <w:t>混凝土浇筑前，要对砼保护层厚度控制措施进行检查，</w:t>
            </w:r>
            <w:r>
              <w:rPr>
                <w:rFonts w:hint="default" w:ascii="Times New Roman" w:hAnsi="Times New Roman" w:eastAsia="宋体" w:cs="Times New Roman"/>
                <w:color w:val="000000" w:themeColor="text1"/>
                <w:kern w:val="0"/>
                <w:sz w:val="24"/>
                <w:lang w:eastAsia="zh-CN"/>
                <w14:textFill>
                  <w14:solidFill>
                    <w14:schemeClr w14:val="tx1"/>
                  </w14:solidFill>
                </w14:textFill>
              </w:rPr>
              <w:t>本项目</w:t>
            </w:r>
            <w:r>
              <w:rPr>
                <w:rFonts w:hint="default" w:ascii="Times New Roman" w:hAnsi="Times New Roman" w:eastAsia="宋体" w:cs="Times New Roman"/>
                <w:color w:val="000000" w:themeColor="text1"/>
                <w:kern w:val="0"/>
                <w:sz w:val="24"/>
                <w14:textFill>
                  <w14:solidFill>
                    <w14:schemeClr w14:val="tx1"/>
                  </w14:solidFill>
                </w14:textFill>
              </w:rPr>
              <w:t>采用水泥砂浆垫块垫塞。</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B、</w:t>
            </w:r>
            <w:r>
              <w:rPr>
                <w:rFonts w:hint="default" w:ascii="Times New Roman" w:hAnsi="Times New Roman" w:eastAsia="宋体" w:cs="Times New Roman"/>
                <w:color w:val="000000" w:themeColor="text1"/>
                <w:kern w:val="0"/>
                <w:sz w:val="24"/>
                <w14:textFill>
                  <w14:solidFill>
                    <w14:schemeClr w14:val="tx1"/>
                  </w14:solidFill>
                </w14:textFill>
              </w:rPr>
              <w:t>在浇筑砼前，模板和钢筋上的垃圾、泥土和钢筋下的油污等杂物，必须清除干净，模板浇水湿润。</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C、</w:t>
            </w:r>
            <w:r>
              <w:rPr>
                <w:rFonts w:hint="default" w:ascii="Times New Roman" w:hAnsi="Times New Roman" w:eastAsia="宋体" w:cs="Times New Roman"/>
                <w:color w:val="000000" w:themeColor="text1"/>
                <w:kern w:val="0"/>
                <w:sz w:val="24"/>
                <w14:textFill>
                  <w14:solidFill>
                    <w14:schemeClr w14:val="tx1"/>
                  </w14:solidFill>
                </w14:textFill>
              </w:rPr>
              <w:t>基础混凝土分层连续浇灌完成，每一台阶高度内应整分浇捣层，每浇灌完一台阶应稍停0.5~1h，使初步获得沉实，再浇灌上层，以防止下台阶混凝土溢起，在上台根部出现烂脖子，每一台阶浇完，表面用砂板抹平。施工缝留于基础顶面。</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D、</w:t>
            </w:r>
            <w:r>
              <w:rPr>
                <w:rFonts w:hint="default" w:ascii="Times New Roman" w:hAnsi="Times New Roman" w:eastAsia="宋体" w:cs="Times New Roman"/>
                <w:color w:val="000000" w:themeColor="text1"/>
                <w:kern w:val="0"/>
                <w:sz w:val="24"/>
                <w14:textFill>
                  <w14:solidFill>
                    <w14:schemeClr w14:val="tx1"/>
                  </w14:solidFill>
                </w14:textFill>
              </w:rPr>
              <w:t>墩柱上部混凝土浇筑时，在顶部搭设操作平台，混凝土采用人工吊葫芦拉到操作平台处，用串筒将混凝土送入模板内，下料过程中防止发生离析现象。浇筑过程中，通过敲击墩柱模板辨别砼浇筑的位置，并通过柱身的检查口查看混凝土的浇筑情况，防止发生空柱、狗洞现象。</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E、</w:t>
            </w:r>
            <w:r>
              <w:rPr>
                <w:rFonts w:hint="default" w:ascii="Times New Roman" w:hAnsi="Times New Roman" w:eastAsia="宋体" w:cs="Times New Roman"/>
                <w:color w:val="000000" w:themeColor="text1"/>
                <w:kern w:val="0"/>
                <w:sz w:val="24"/>
                <w14:textFill>
                  <w14:solidFill>
                    <w14:schemeClr w14:val="tx1"/>
                  </w14:solidFill>
                </w14:textFill>
              </w:rPr>
              <w:t>砼浇捣完毕，须在12h内浇水养护，并应考虑温度的因素，采用热水养护及保温措施，使砼强度保持正常增长。分别采取相应措施进行认真养 护。柱梁用麻袋包裹，现浇板用麻袋覆盖，可以取得较好的养护效果。</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F、</w:t>
            </w:r>
            <w:r>
              <w:rPr>
                <w:rFonts w:hint="default" w:ascii="Times New Roman" w:hAnsi="Times New Roman" w:eastAsia="宋体" w:cs="Times New Roman"/>
                <w:color w:val="000000" w:themeColor="text1"/>
                <w:kern w:val="0"/>
                <w:sz w:val="24"/>
                <w14:textFill>
                  <w14:solidFill>
                    <w14:schemeClr w14:val="tx1"/>
                  </w14:solidFill>
                </w14:textFill>
              </w:rPr>
              <w:t>混凝土试块的留置</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混凝土试件在混凝土浇筑地点随机抽取，每100m</w:t>
            </w:r>
            <w:r>
              <w:rPr>
                <w:rFonts w:hint="default" w:ascii="Times New Roman" w:hAnsi="Times New Roman" w:eastAsia="宋体" w:cs="Times New Roman"/>
                <w:color w:val="000000" w:themeColor="text1"/>
                <w:kern w:val="0"/>
                <w:sz w:val="24"/>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14:textFill>
                  <w14:solidFill>
                    <w14:schemeClr w14:val="tx1"/>
                  </w14:solidFill>
                </w14:textFill>
              </w:rPr>
              <w:t>混凝土（或每一工作班）取样不得少于一次；每次取样至少留置一组标准试件，同条件养护试件的留置组数应根据实际需要确定。如使用的原材料、配合比或施工方法有变化 时，均应另行留置试块。</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施工缝留设管桥墩砼分2次浇筑，施工缝留设于基础顶面。在浇筑留设施工缝接头砼前应剔除表面松散砼，浇水湿润并冲洗干净，不得有积水。再在接头部填以50~100mm 厚与砼同标号水泥砂浆，然后分层进行浇筑砼，分层厚度应控制在400mm左右。</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净水厂施工</w:t>
            </w:r>
            <w:r>
              <w:rPr>
                <w:rFonts w:hint="eastAsia" w:cs="Times New Roman"/>
                <w:color w:val="000000" w:themeColor="text1"/>
                <w:kern w:val="0"/>
                <w:sz w:val="24"/>
                <w:lang w:val="en-US" w:eastAsia="zh-CN"/>
                <w14:textFill>
                  <w14:solidFill>
                    <w14:schemeClr w14:val="tx1"/>
                  </w14:solidFill>
                </w14:textFill>
              </w:rPr>
              <w:t>时</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序</w:t>
            </w:r>
            <w:r>
              <w:rPr>
                <w:rFonts w:hint="eastAsia" w:cs="Times New Roman"/>
                <w:color w:val="000000" w:themeColor="text1"/>
                <w:kern w:val="0"/>
                <w:sz w:val="24"/>
                <w:lang w:val="en-US" w:eastAsia="zh-CN"/>
                <w14:textFill>
                  <w14:solidFill>
                    <w14:schemeClr w14:val="tx1"/>
                  </w14:solidFill>
                </w14:textFill>
              </w:rPr>
              <w:t>如下：</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施工部置本着“先主体，后附属”的原则，以清水池、净化间、送水泵房三大主体为轴线，由低到高依次开工，施工中、根据机械、工力情况，穿插进行加药间、加氯间、污泥池等小构筑物的施工。</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整个工程分四施工区：①水厂生产区</w:t>
            </w:r>
            <w:r>
              <w:rPr>
                <w:rFonts w:hint="eastAsia"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②水厂综合管理区</w:t>
            </w:r>
            <w:r>
              <w:rPr>
                <w:rFonts w:hint="eastAsia"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③输水管线</w:t>
            </w:r>
            <w:r>
              <w:rPr>
                <w:rFonts w:hint="eastAsia"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 xml:space="preserve"> ④配水厂。</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在四个施工区中，以水厂生产区为整个施工的重点，只要紧紧抓住此区的 施工进度，整个工程就能按计划完成。</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eastAsia" w:ascii="Times New Roman" w:hAnsi="Times New Roman" w:cs="Times New Roman"/>
                <w:color w:val="000000" w:themeColor="text1"/>
                <w:kern w:val="0"/>
                <w:sz w:val="24"/>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运营期工艺流程分析及产污环节</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eastAsia" w:cs="Times New Roman"/>
                <w:color w:val="000000" w:themeColor="text1"/>
                <w:kern w:val="0"/>
                <w:sz w:val="24"/>
                <w:lang w:eastAsia="zh-CN"/>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pict>
                <v:shape id="_x0000_s2199" o:spid="_x0000_s2199" o:spt="75" type="#_x0000_t75" style="position:absolute;left:0pt;margin-left:0.15pt;margin-top:59.85pt;height:173.95pt;width:407.9pt;z-index:-251653120;mso-width-relative:page;mso-height-relative:page;" o:ole="t" filled="f" o:preferrelative="t" stroked="f" coordsize="21600,21600">
                  <v:path/>
                  <v:fill on="f" focussize="0,0"/>
                  <v:stroke on="f"/>
                  <v:imagedata r:id="rId20" o:title=""/>
                  <o:lock v:ext="edit" aspectratio="f"/>
                </v:shape>
                <o:OLEObject Type="Embed" ProgID="Visio.Drawing.11" ShapeID="_x0000_s2199" DrawAspect="Content" ObjectID="_1468075729" r:id="rId19">
                  <o:LockedField>false</o:LockedField>
                </o:OLEObject>
              </w:pict>
            </w:r>
            <w:r>
              <w:rPr>
                <w:rFonts w:hint="eastAsia" w:cs="Times New Roman"/>
                <w:color w:val="000000" w:themeColor="text1"/>
                <w:kern w:val="0"/>
                <w:sz w:val="24"/>
                <w:lang w:val="en-US" w:eastAsia="zh-CN"/>
                <w14:textFill>
                  <w14:solidFill>
                    <w14:schemeClr w14:val="tx1"/>
                  </w14:solidFill>
                </w14:textFill>
              </w:rPr>
              <w:t>本项目取水口、输配水管线在正常营运过程中没有污染物产生</w:t>
            </w:r>
            <w:r>
              <w:rPr>
                <w:rFonts w:hint="eastAsia" w:cs="Times New Roman"/>
                <w:color w:val="000000" w:themeColor="text1"/>
                <w:kern w:val="0"/>
                <w:sz w:val="24"/>
                <w:lang w:eastAsia="zh-CN"/>
                <w14:textFill>
                  <w14:solidFill>
                    <w14:schemeClr w14:val="tx1"/>
                  </w14:solidFill>
                </w14:textFill>
              </w:rPr>
              <w:t>。</w:t>
            </w:r>
            <w:r>
              <w:rPr>
                <w:rFonts w:hint="eastAsia" w:cs="Times New Roman"/>
                <w:color w:val="000000" w:themeColor="text1"/>
                <w:kern w:val="0"/>
                <w:sz w:val="24"/>
                <w:lang w:val="en-US" w:eastAsia="zh-CN"/>
                <w14:textFill>
                  <w14:solidFill>
                    <w14:schemeClr w14:val="tx1"/>
                  </w14:solidFill>
                </w14:textFill>
              </w:rPr>
              <w:t>本</w:t>
            </w:r>
            <w:r>
              <w:rPr>
                <w:rFonts w:hint="default" w:ascii="Times New Roman" w:hAnsi="Times New Roman" w:eastAsia="宋体" w:cs="Times New Roman"/>
                <w:color w:val="000000" w:themeColor="text1"/>
                <w:kern w:val="0"/>
                <w:sz w:val="24"/>
                <w14:textFill>
                  <w14:solidFill>
                    <w14:schemeClr w14:val="tx1"/>
                  </w14:solidFill>
                </w14:textFill>
              </w:rPr>
              <w:t>项目</w:t>
            </w:r>
            <w:r>
              <w:rPr>
                <w:rFonts w:hint="eastAsia" w:cs="Times New Roman"/>
                <w:color w:val="000000" w:themeColor="text1"/>
                <w:kern w:val="0"/>
                <w:sz w:val="24"/>
                <w:lang w:val="en-US" w:eastAsia="zh-CN"/>
                <w14:textFill>
                  <w14:solidFill>
                    <w14:schemeClr w14:val="tx1"/>
                  </w14:solidFill>
                </w14:textFill>
              </w:rPr>
              <w:t>运营期的环境影响主要来自净水厂</w:t>
            </w:r>
            <w:r>
              <w:rPr>
                <w:rFonts w:hint="eastAsia" w:cs="Times New Roman"/>
                <w:color w:val="000000" w:themeColor="text1"/>
                <w:kern w:val="0"/>
                <w:sz w:val="24"/>
                <w:lang w:eastAsia="zh-CN"/>
                <w14:textFill>
                  <w14:solidFill>
                    <w14:schemeClr w14:val="tx1"/>
                  </w14:solidFill>
                </w14:textFill>
              </w:rPr>
              <w:t>，</w:t>
            </w:r>
            <w:r>
              <w:rPr>
                <w:rFonts w:hint="eastAsia" w:cs="Times New Roman"/>
                <w:color w:val="000000" w:themeColor="text1"/>
                <w:kern w:val="0"/>
                <w:sz w:val="24"/>
                <w:lang w:val="en-US" w:eastAsia="zh-CN"/>
                <w14:textFill>
                  <w14:solidFill>
                    <w14:schemeClr w14:val="tx1"/>
                  </w14:solidFill>
                </w14:textFill>
              </w:rPr>
              <w:t>净水厂营运期</w:t>
            </w:r>
            <w:r>
              <w:rPr>
                <w:rFonts w:hint="default" w:ascii="Times New Roman" w:hAnsi="Times New Roman" w:eastAsia="宋体" w:cs="Times New Roman"/>
                <w:color w:val="000000" w:themeColor="text1"/>
                <w:kern w:val="0"/>
                <w:sz w:val="24"/>
                <w14:textFill>
                  <w14:solidFill>
                    <w14:schemeClr w14:val="tx1"/>
                  </w14:solidFill>
                </w14:textFill>
              </w:rPr>
              <w:t>生产工艺流程及产污环节详见图2-</w:t>
            </w:r>
            <w:r>
              <w:rPr>
                <w:rFonts w:hint="eastAsia" w:cs="Times New Roman"/>
                <w:color w:val="000000" w:themeColor="text1"/>
                <w:kern w:val="0"/>
                <w:sz w:val="24"/>
                <w:lang w:val="en-US" w:eastAsia="zh-CN"/>
                <w14:textFill>
                  <w14:solidFill>
                    <w14:schemeClr w14:val="tx1"/>
                  </w14:solidFill>
                </w14:textFill>
              </w:rPr>
              <w:t>8</w:t>
            </w:r>
            <w:r>
              <w:rPr>
                <w:rFonts w:hint="default" w:ascii="Times New Roman" w:hAnsi="Times New Roman" w:eastAsia="宋体" w:cs="Times New Roman"/>
                <w:color w:val="000000" w:themeColor="text1"/>
                <w:kern w:val="0"/>
                <w:sz w:val="24"/>
                <w14:textFill>
                  <w14:solidFill>
                    <w14:schemeClr w14:val="tx1"/>
                  </w14:solidFill>
                </w14:textFill>
              </w:rPr>
              <w:t>所示</w:t>
            </w:r>
            <w:r>
              <w:rPr>
                <w:rFonts w:hint="eastAsia" w:cs="Times New Roman"/>
                <w:color w:val="000000" w:themeColor="text1"/>
                <w:kern w:val="0"/>
                <w:sz w:val="24"/>
                <w:lang w:eastAsia="zh-CN"/>
                <w14:textFill>
                  <w14:solidFill>
                    <w14:schemeClr w14:val="tx1"/>
                  </w14:solidFill>
                </w14:textFill>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p>
          <w:p>
            <w:pPr>
              <w:spacing w:line="500" w:lineRule="exact"/>
              <w:ind w:firstLine="482" w:firstLineChars="200"/>
              <w:jc w:val="center"/>
              <w:rPr>
                <w:rFonts w:hint="default" w:ascii="Times New Roman" w:hAnsi="Times New Roman" w:eastAsia="宋体" w:cs="Times New Roman"/>
                <w:b/>
                <w:bCs/>
                <w:color w:val="000000" w:themeColor="text1"/>
                <w:sz w:val="24"/>
                <w14:textFill>
                  <w14:solidFill>
                    <w14:schemeClr w14:val="tx1"/>
                  </w14:solidFill>
                </w14:textFill>
              </w:rPr>
            </w:pPr>
          </w:p>
          <w:p>
            <w:pPr>
              <w:spacing w:line="500" w:lineRule="exact"/>
              <w:ind w:firstLine="482" w:firstLineChars="200"/>
              <w:jc w:val="center"/>
              <w:rPr>
                <w:rFonts w:hint="default" w:ascii="Times New Roman" w:hAnsi="Times New Roman" w:eastAsia="宋体" w:cs="Times New Roman"/>
                <w:b/>
                <w:bCs/>
                <w:color w:val="000000" w:themeColor="text1"/>
                <w:sz w:val="24"/>
                <w14:textFill>
                  <w14:solidFill>
                    <w14:schemeClr w14:val="tx1"/>
                  </w14:solidFill>
                </w14:textFill>
              </w:rPr>
            </w:pPr>
          </w:p>
          <w:p>
            <w:pPr>
              <w:spacing w:line="500" w:lineRule="exact"/>
              <w:ind w:firstLine="482" w:firstLineChars="200"/>
              <w:jc w:val="center"/>
              <w:rPr>
                <w:rFonts w:hint="default" w:ascii="Times New Roman" w:hAnsi="Times New Roman" w:eastAsia="宋体" w:cs="Times New Roman"/>
                <w:b/>
                <w:bCs/>
                <w:color w:val="000000" w:themeColor="text1"/>
                <w:sz w:val="24"/>
                <w14:textFill>
                  <w14:solidFill>
                    <w14:schemeClr w14:val="tx1"/>
                  </w14:solidFill>
                </w14:textFill>
              </w:rPr>
            </w:pPr>
          </w:p>
          <w:p>
            <w:pPr>
              <w:spacing w:line="500" w:lineRule="exact"/>
              <w:ind w:firstLine="482" w:firstLineChars="200"/>
              <w:jc w:val="center"/>
              <w:rPr>
                <w:rFonts w:hint="default" w:ascii="Times New Roman" w:hAnsi="Times New Roman" w:eastAsia="宋体" w:cs="Times New Roman"/>
                <w:b/>
                <w:bCs/>
                <w:color w:val="000000" w:themeColor="text1"/>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图2-</w:t>
            </w:r>
            <w:r>
              <w:rPr>
                <w:rFonts w:hint="eastAsia" w:cs="Times New Roman"/>
                <w:b/>
                <w:bCs/>
                <w:color w:val="000000" w:themeColor="text1"/>
                <w:sz w:val="24"/>
                <w:lang w:val="en-US" w:eastAsia="zh-CN"/>
                <w14:textFill>
                  <w14:solidFill>
                    <w14:schemeClr w14:val="tx1"/>
                  </w14:solidFill>
                </w14:textFill>
              </w:rPr>
              <w:t>8</w:t>
            </w:r>
            <w:r>
              <w:rPr>
                <w:rFonts w:hint="default" w:ascii="Times New Roman" w:hAnsi="Times New Roman" w:eastAsia="宋体" w:cs="Times New Roman"/>
                <w:b/>
                <w:bCs/>
                <w:color w:val="000000" w:themeColor="text1"/>
                <w:sz w:val="24"/>
                <w14:textFill>
                  <w14:solidFill>
                    <w14:schemeClr w14:val="tx1"/>
                  </w14:solidFill>
                </w14:textFill>
              </w:rPr>
              <w:t xml:space="preserve">  </w:t>
            </w:r>
            <w:r>
              <w:rPr>
                <w:rFonts w:hint="eastAsia" w:cs="Times New Roman"/>
                <w:b/>
                <w:bCs/>
                <w:color w:val="000000" w:themeColor="text1"/>
                <w:sz w:val="24"/>
                <w:lang w:val="en-US" w:eastAsia="zh-CN"/>
                <w14:textFill>
                  <w14:solidFill>
                    <w14:schemeClr w14:val="tx1"/>
                  </w14:solidFill>
                </w14:textFill>
              </w:rPr>
              <w:t>净水厂营运期生产</w:t>
            </w:r>
            <w:r>
              <w:rPr>
                <w:rFonts w:hint="default" w:ascii="Times New Roman" w:hAnsi="Times New Roman" w:eastAsia="宋体" w:cs="Times New Roman"/>
                <w:b/>
                <w:bCs/>
                <w:color w:val="000000" w:themeColor="text1"/>
                <w:sz w:val="24"/>
                <w14:textFill>
                  <w14:solidFill>
                    <w14:schemeClr w14:val="tx1"/>
                  </w14:solidFill>
                </w14:textFill>
              </w:rPr>
              <w:t>工艺流程</w:t>
            </w:r>
            <w:r>
              <w:rPr>
                <w:rFonts w:hint="eastAsia" w:cs="Times New Roman"/>
                <w:b/>
                <w:bCs/>
                <w:color w:val="000000" w:themeColor="text1"/>
                <w:sz w:val="24"/>
                <w:lang w:val="en-US" w:eastAsia="zh-CN"/>
                <w14:textFill>
                  <w14:solidFill>
                    <w14:schemeClr w14:val="tx1"/>
                  </w14:solidFill>
                </w14:textFill>
              </w:rPr>
              <w:t>及产污环节</w:t>
            </w:r>
            <w:r>
              <w:rPr>
                <w:rFonts w:hint="default" w:ascii="Times New Roman" w:hAnsi="Times New Roman" w:eastAsia="宋体" w:cs="Times New Roman"/>
                <w:b/>
                <w:bCs/>
                <w:color w:val="000000" w:themeColor="text1"/>
                <w:sz w:val="24"/>
                <w14:textFill>
                  <w14:solidFill>
                    <w14:schemeClr w14:val="tx1"/>
                  </w14:solidFill>
                </w14:textFill>
              </w:rPr>
              <w:t>图</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工艺流程说明：</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原水通过管网输送至净水厂配水井，并适量投加次氯酸钠去除原水中的藻类及微生物，原水经配水后进入净化间高密度沉淀池。</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在高密度沉淀池配水区配水后原水依次进入两级混合池、絮凝池、沉淀池， 依次在一级混合池、二级混合池、絮凝池投加PAC、除硬剂、PAM，药剂通过机械搅拌和水力作用充分混合反应，并在絮凝池形成较大颗粒絮体。絮体在沉淀池进行泥水分离，絮体下沉至泥斗内并不断浓缩，清水通过集水槽溢流汇集进入出水渠。</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高密度沉淀池出水自流进入V型滤池进行过滤，进一步去除水中的浊度后出水自流进入清水池；在清水池投加次氯酸钠进行消毒，达到国家《生活饮用水卫生标准》（GB5749-2006）的各项要求后，通过供水管网重力流至各用水点。</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为提高原水利用率，减少水资源浪费，V型滤池的反洗废水重力排入回收水池，经泵提升至配水井，重新进入系统回收利用。</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高密度沉淀池的污泥经泵提升至固液分离流化床反应器，经过机械浓缩后，污泥含水率降为98%以下，然后污泥输送至污泥储池暂存；再经泵提升进入离心脱水机脱水处理，脱水后污泥含水率达到80%外运处置。</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、建设周期</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本项目</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建设周期为45个月</w:t>
            </w:r>
            <w:r>
              <w:rPr>
                <w:rFonts w:hint="eastAsia"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其中，施工期42个月</w:t>
            </w:r>
            <w:r>
              <w:rPr>
                <w:rFonts w:hint="eastAsia" w:cs="Times New Roman"/>
                <w:color w:val="000000" w:themeColor="text1"/>
                <w:kern w:val="0"/>
                <w:sz w:val="24"/>
                <w:lang w:val="en-US" w:eastAsia="zh-CN"/>
                <w14:textFill>
                  <w14:solidFill>
                    <w14:schemeClr w14:val="tx1"/>
                  </w14:solidFill>
                </w14:textFill>
              </w:rPr>
              <w:t>。施工期</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实施计划如下：2022年</w:t>
            </w:r>
            <w:r>
              <w:rPr>
                <w:rFonts w:hint="eastAsia" w:cs="Times New Roman"/>
                <w:color w:val="000000" w:themeColor="text1"/>
                <w:kern w:val="0"/>
                <w:sz w:val="24"/>
                <w:lang w:val="en-US" w:eastAsia="zh-CN"/>
                <w14:textFill>
                  <w14:solidFill>
                    <w14:schemeClr w14:val="tx1"/>
                  </w14:solidFill>
                </w14:textFill>
              </w:rPr>
              <w:t>10</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月~2023年</w:t>
            </w:r>
            <w:r>
              <w:rPr>
                <w:rFonts w:hint="eastAsia" w:cs="Times New Roman"/>
                <w:color w:val="000000" w:themeColor="text1"/>
                <w:kern w:val="0"/>
                <w:sz w:val="24"/>
                <w:lang w:val="en-US" w:eastAsia="zh-CN"/>
                <w14:textFill>
                  <w14:solidFill>
                    <w14:schemeClr w14:val="tx1"/>
                  </w14:solidFill>
                </w14:textFill>
              </w:rPr>
              <w:t>9</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月</w:t>
            </w:r>
            <w:r>
              <w:rPr>
                <w:rFonts w:hint="eastAsia" w:cs="Times New Roman"/>
                <w:color w:val="000000" w:themeColor="text1"/>
                <w:kern w:val="0"/>
                <w:sz w:val="24"/>
                <w:lang w:val="en-US" w:eastAsia="zh-CN"/>
                <w14:textFill>
                  <w14:solidFill>
                    <w14:schemeClr w14:val="tx1"/>
                  </w14:solidFill>
                </w14:textFill>
              </w:rPr>
              <w:t>底</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：净水厂场地平整及基础处理、土建施工、室内装修、设备采购、调试及验收；2023年</w:t>
            </w:r>
            <w:r>
              <w:rPr>
                <w:rFonts w:hint="eastAsia" w:cs="Times New Roman"/>
                <w:color w:val="000000" w:themeColor="text1"/>
                <w:kern w:val="0"/>
                <w:sz w:val="24"/>
                <w:lang w:val="en-US" w:eastAsia="zh-CN"/>
                <w14:textFill>
                  <w14:solidFill>
                    <w14:schemeClr w14:val="tx1"/>
                  </w14:solidFill>
                </w14:textFill>
              </w:rPr>
              <w:t>10</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月</w:t>
            </w:r>
            <w:r>
              <w:rPr>
                <w:rFonts w:hint="default" w:ascii="Times New Roman" w:hAnsi="Times New Roman"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2024年</w:t>
            </w:r>
            <w:r>
              <w:rPr>
                <w:rFonts w:hint="eastAsia" w:cs="Times New Roman"/>
                <w:color w:val="000000" w:themeColor="text1"/>
                <w:kern w:val="0"/>
                <w:sz w:val="24"/>
                <w:lang w:val="en-US" w:eastAsia="zh-CN"/>
                <w14:textFill>
                  <w14:solidFill>
                    <w14:schemeClr w14:val="tx1"/>
                  </w14:solidFill>
                </w14:textFill>
              </w:rPr>
              <w:t>9</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月</w:t>
            </w:r>
            <w:r>
              <w:rPr>
                <w:rFonts w:hint="eastAsia" w:cs="Times New Roman"/>
                <w:color w:val="000000" w:themeColor="text1"/>
                <w:kern w:val="0"/>
                <w:sz w:val="24"/>
                <w:lang w:val="en-US" w:eastAsia="zh-CN"/>
                <w14:textFill>
                  <w14:solidFill>
                    <w14:schemeClr w14:val="tx1"/>
                  </w14:solidFill>
                </w14:textFill>
              </w:rPr>
              <w:t>底</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：输水管线施工</w:t>
            </w:r>
            <w:r>
              <w:rPr>
                <w:rFonts w:hint="eastAsia" w:cs="Times New Roman"/>
                <w:color w:val="000000" w:themeColor="text1"/>
                <w:kern w:val="0"/>
                <w:sz w:val="24"/>
                <w:lang w:val="en-US" w:eastAsia="zh-CN"/>
                <w14:textFill>
                  <w14:solidFill>
                    <w14:schemeClr w14:val="tx1"/>
                  </w14:solidFill>
                </w14:textFill>
              </w:rPr>
              <w:t>，其中开挖采取分段作业方式。常规开挖计划在2022年12月-2024年2月之间进行，各段常规开挖持续时间约10天。大开挖计划在2022年12月进行，各段大开挖持续时间约15天。定向钻计划在2022年12月进行，持续时间约10天</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；2024年</w:t>
            </w:r>
            <w:r>
              <w:rPr>
                <w:rFonts w:hint="eastAsia" w:cs="Times New Roman"/>
                <w:color w:val="000000" w:themeColor="text1"/>
                <w:kern w:val="0"/>
                <w:sz w:val="24"/>
                <w:lang w:val="en-US" w:eastAsia="zh-CN"/>
                <w14:textFill>
                  <w14:solidFill>
                    <w14:schemeClr w14:val="tx1"/>
                  </w14:solidFill>
                </w14:textFill>
              </w:rPr>
              <w:t>10</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月~202</w:t>
            </w:r>
            <w:r>
              <w:rPr>
                <w:rFonts w:hint="eastAsia" w:cs="Times New Roman"/>
                <w:color w:val="000000" w:themeColor="text1"/>
                <w:kern w:val="0"/>
                <w:sz w:val="24"/>
                <w:lang w:val="en-US" w:eastAsia="zh-CN"/>
                <w14:textFill>
                  <w14:solidFill>
                    <w14:schemeClr w14:val="tx1"/>
                  </w14:solidFill>
                </w14:textFill>
              </w:rPr>
              <w:t>6</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年</w:t>
            </w:r>
            <w:r>
              <w:rPr>
                <w:rFonts w:hint="eastAsia" w:cs="Times New Roman"/>
                <w:color w:val="000000" w:themeColor="text1"/>
                <w:kern w:val="0"/>
                <w:sz w:val="24"/>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月</w:t>
            </w:r>
            <w:r>
              <w:rPr>
                <w:rFonts w:hint="eastAsia" w:cs="Times New Roman"/>
                <w:color w:val="000000" w:themeColor="text1"/>
                <w:kern w:val="0"/>
                <w:sz w:val="24"/>
                <w:lang w:val="en-US" w:eastAsia="zh-CN"/>
                <w14:textFill>
                  <w14:solidFill>
                    <w14:schemeClr w14:val="tx1"/>
                  </w14:solidFill>
                </w14:textFill>
              </w:rPr>
              <w:t>底</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：配水管线施工。</w:t>
            </w:r>
            <w:r>
              <w:rPr>
                <w:rFonts w:hint="eastAsia" w:cs="Times New Roman"/>
                <w:color w:val="000000" w:themeColor="text1"/>
                <w:kern w:val="0"/>
                <w:sz w:val="24"/>
                <w:lang w:val="en-US" w:eastAsia="zh-CN"/>
                <w14:textFill>
                  <w14:solidFill>
                    <w14:schemeClr w14:val="tx1"/>
                  </w14:solidFill>
                </w14:textFill>
              </w:rPr>
              <w:t>其中开挖采取分段作业方式。常规开挖计划在2024年11月-2024年1月之间进行，各段常规开挖持续时间约10天。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710" w:type="dxa"/>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其他</w:t>
            </w:r>
          </w:p>
        </w:tc>
        <w:tc>
          <w:tcPr>
            <w:tcW w:w="83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无</w:t>
            </w:r>
          </w:p>
          <w:p>
            <w:pPr>
              <w:pStyle w:val="27"/>
              <w:rPr>
                <w:rFonts w:hint="eastAsia"/>
                <w:color w:val="000000" w:themeColor="text1"/>
                <w:lang w:val="en-US" w:eastAsia="zh-CN"/>
                <w14:textFill>
                  <w14:solidFill>
                    <w14:schemeClr w14:val="tx1"/>
                  </w14:solidFill>
                </w14:textFill>
              </w:rPr>
            </w:pPr>
          </w:p>
          <w:p>
            <w:pPr>
              <w:pStyle w:val="27"/>
              <w:rPr>
                <w:rFonts w:hint="eastAsia"/>
                <w:color w:val="000000" w:themeColor="text1"/>
                <w:lang w:val="en-US" w:eastAsia="zh-CN"/>
                <w14:textFill>
                  <w14:solidFill>
                    <w14:schemeClr w14:val="tx1"/>
                  </w14:solidFill>
                </w14:textFill>
              </w:rPr>
            </w:pPr>
          </w:p>
          <w:p>
            <w:pPr>
              <w:pStyle w:val="27"/>
              <w:rPr>
                <w:rFonts w:hint="eastAsia"/>
                <w:color w:val="000000" w:themeColor="text1"/>
                <w:lang w:val="en-US" w:eastAsia="zh-CN"/>
                <w14:textFill>
                  <w14:solidFill>
                    <w14:schemeClr w14:val="tx1"/>
                  </w14:solidFill>
                </w14:textFill>
              </w:rPr>
            </w:pPr>
          </w:p>
          <w:p>
            <w:pPr>
              <w:pStyle w:val="27"/>
              <w:rPr>
                <w:rFonts w:hint="eastAsia"/>
                <w:color w:val="000000" w:themeColor="text1"/>
                <w:lang w:val="en-US" w:eastAsia="zh-CN"/>
                <w14:textFill>
                  <w14:solidFill>
                    <w14:schemeClr w14:val="tx1"/>
                  </w14:solidFill>
                </w14:textFill>
              </w:rPr>
            </w:pPr>
          </w:p>
          <w:p>
            <w:pPr>
              <w:pStyle w:val="27"/>
              <w:rPr>
                <w:rFonts w:hint="eastAsia"/>
                <w:color w:val="000000" w:themeColor="text1"/>
                <w:lang w:val="en-US" w:eastAsia="zh-CN"/>
                <w14:textFill>
                  <w14:solidFill>
                    <w14:schemeClr w14:val="tx1"/>
                  </w14:solidFill>
                </w14:textFill>
              </w:rPr>
            </w:pPr>
          </w:p>
          <w:p>
            <w:pPr>
              <w:pStyle w:val="4"/>
              <w:rPr>
                <w:rFonts w:hint="eastAsia"/>
                <w:color w:val="000000" w:themeColor="text1"/>
                <w:lang w:val="en-US" w:eastAsia="zh-CN"/>
                <w14:textFill>
                  <w14:solidFill>
                    <w14:schemeClr w14:val="tx1"/>
                  </w14:solidFill>
                </w14:textFill>
              </w:rPr>
            </w:pPr>
          </w:p>
          <w:p>
            <w:pPr>
              <w:pStyle w:val="4"/>
              <w:rPr>
                <w:rFonts w:hint="eastAsia"/>
                <w:color w:val="000000" w:themeColor="text1"/>
                <w:lang w:val="en-US" w:eastAsia="zh-CN"/>
                <w14:textFill>
                  <w14:solidFill>
                    <w14:schemeClr w14:val="tx1"/>
                  </w14:solidFill>
                </w14:textFill>
              </w:rPr>
            </w:pPr>
          </w:p>
          <w:p>
            <w:pPr>
              <w:pStyle w:val="4"/>
              <w:rPr>
                <w:rFonts w:hint="eastAsia"/>
                <w:color w:val="000000" w:themeColor="text1"/>
                <w:lang w:val="en-US" w:eastAsia="zh-CN"/>
                <w14:textFill>
                  <w14:solidFill>
                    <w14:schemeClr w14:val="tx1"/>
                  </w14:solidFill>
                </w14:textFill>
              </w:rPr>
            </w:pPr>
          </w:p>
          <w:p>
            <w:pPr>
              <w:pStyle w:val="4"/>
              <w:rPr>
                <w:rFonts w:hint="eastAsia"/>
                <w:color w:val="000000" w:themeColor="text1"/>
                <w:lang w:val="en-US" w:eastAsia="zh-CN"/>
                <w14:textFill>
                  <w14:solidFill>
                    <w14:schemeClr w14:val="tx1"/>
                  </w14:solidFill>
                </w14:textFill>
              </w:rPr>
            </w:pPr>
          </w:p>
          <w:p>
            <w:pPr>
              <w:pStyle w:val="4"/>
              <w:rPr>
                <w:rFonts w:hint="eastAsia"/>
                <w:color w:val="000000" w:themeColor="text1"/>
                <w:lang w:val="en-US" w:eastAsia="zh-CN"/>
                <w14:textFill>
                  <w14:solidFill>
                    <w14:schemeClr w14:val="tx1"/>
                  </w14:solidFill>
                </w14:textFill>
              </w:rPr>
            </w:pPr>
          </w:p>
          <w:p>
            <w:pPr>
              <w:pStyle w:val="4"/>
              <w:rPr>
                <w:rFonts w:hint="eastAsia"/>
                <w:color w:val="000000" w:themeColor="text1"/>
                <w:lang w:val="en-US" w:eastAsia="zh-CN"/>
                <w14:textFill>
                  <w14:solidFill>
                    <w14:schemeClr w14:val="tx1"/>
                  </w14:solidFill>
                </w14:textFill>
              </w:rPr>
            </w:pPr>
          </w:p>
          <w:p>
            <w:pPr>
              <w:pStyle w:val="4"/>
              <w:rPr>
                <w:rFonts w:hint="eastAsia"/>
                <w:color w:val="000000" w:themeColor="text1"/>
                <w:lang w:val="en-US" w:eastAsia="zh-CN"/>
                <w14:textFill>
                  <w14:solidFill>
                    <w14:schemeClr w14:val="tx1"/>
                  </w14:solidFill>
                </w14:textFill>
              </w:rPr>
            </w:pPr>
          </w:p>
          <w:p>
            <w:pPr>
              <w:pStyle w:val="4"/>
              <w:rPr>
                <w:rFonts w:hint="eastAsia"/>
                <w:color w:val="000000" w:themeColor="text1"/>
                <w:lang w:val="en-US" w:eastAsia="zh-CN"/>
                <w14:textFill>
                  <w14:solidFill>
                    <w14:schemeClr w14:val="tx1"/>
                  </w14:solidFill>
                </w14:textFill>
              </w:rPr>
            </w:pPr>
          </w:p>
          <w:p>
            <w:pPr>
              <w:pStyle w:val="4"/>
              <w:rPr>
                <w:rFonts w:hint="eastAsia"/>
                <w:color w:val="000000" w:themeColor="text1"/>
                <w:lang w:val="en-US" w:eastAsia="zh-CN"/>
                <w14:textFill>
                  <w14:solidFill>
                    <w14:schemeClr w14:val="tx1"/>
                  </w14:solidFill>
                </w14:textFill>
              </w:rPr>
            </w:pPr>
          </w:p>
          <w:p>
            <w:pPr>
              <w:pStyle w:val="4"/>
              <w:rPr>
                <w:rFonts w:hint="eastAsia"/>
                <w:color w:val="000000" w:themeColor="text1"/>
                <w:lang w:val="en-US" w:eastAsia="zh-CN"/>
                <w14:textFill>
                  <w14:solidFill>
                    <w14:schemeClr w14:val="tx1"/>
                  </w14:solidFill>
                </w14:textFill>
              </w:rPr>
            </w:pPr>
          </w:p>
          <w:p>
            <w:pPr>
              <w:pStyle w:val="4"/>
              <w:rPr>
                <w:rFonts w:hint="default"/>
                <w:color w:val="000000" w:themeColor="text1"/>
                <w:lang w:val="en-US" w:eastAsia="zh-CN"/>
                <w14:textFill>
                  <w14:solidFill>
                    <w14:schemeClr w14:val="tx1"/>
                  </w14:solidFill>
                </w14:textFill>
              </w:rPr>
            </w:pPr>
          </w:p>
        </w:tc>
      </w:tr>
    </w:tbl>
    <w:p>
      <w:pPr>
        <w:pStyle w:val="19"/>
        <w:jc w:val="center"/>
        <w:outlineLvl w:val="0"/>
        <w:rPr>
          <w:rFonts w:ascii="黑体" w:hAnsi="黑体" w:eastAsia="黑体"/>
          <w:snapToGrid w:val="0"/>
          <w:color w:val="000000" w:themeColor="text1"/>
          <w:sz w:val="30"/>
          <w:szCs w:val="30"/>
          <w14:textFill>
            <w14:solidFill>
              <w14:schemeClr w14:val="tx1"/>
            </w14:solidFill>
          </w14:textFill>
        </w:rPr>
      </w:pPr>
      <w:r>
        <w:rPr>
          <w:rFonts w:eastAsia="仿宋_GB2312"/>
          <w:b/>
          <w:bCs/>
          <w:color w:val="000000" w:themeColor="text1"/>
          <w14:textFill>
            <w14:solidFill>
              <w14:schemeClr w14:val="tx1"/>
            </w14:solidFill>
          </w14:textFill>
        </w:rPr>
        <w:br w:type="page"/>
      </w:r>
      <w:r>
        <w:rPr>
          <w:rFonts w:hint="eastAsia" w:ascii="黑体" w:hAnsi="黑体" w:eastAsia="宋体"/>
          <w:snapToGrid w:val="0"/>
          <w:color w:val="000000" w:themeColor="text1"/>
          <w:sz w:val="30"/>
          <w:szCs w:val="30"/>
          <w14:textFill>
            <w14:solidFill>
              <w14:schemeClr w14:val="tx1"/>
            </w14:solidFill>
          </w14:textFill>
        </w:rPr>
        <w:t>三、生态环境现状、保护目标及评价标准</w:t>
      </w:r>
    </w:p>
    <w:tbl>
      <w:tblPr>
        <w:tblStyle w:val="22"/>
        <w:tblW w:w="9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4"/>
        <w:gridCol w:w="82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78" w:hRule="atLeast"/>
          <w:jc w:val="center"/>
        </w:trPr>
        <w:tc>
          <w:tcPr>
            <w:tcW w:w="904" w:type="dxa"/>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生态环境现状</w:t>
            </w:r>
          </w:p>
        </w:tc>
        <w:tc>
          <w:tcPr>
            <w:tcW w:w="825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1、主体功能区划和生态功能区划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lang w:eastAsia="zh-CN"/>
                <w14:textFill>
                  <w14:solidFill>
                    <w14:schemeClr w14:val="tx1"/>
                  </w14:solidFill>
                </w14:textFill>
              </w:rPr>
              <w:t>（</w:t>
            </w:r>
            <w:r>
              <w:rPr>
                <w:rFonts w:hint="default" w:ascii="Times New Roman" w:hAnsi="Times New Roman" w:cs="Times New Roman"/>
                <w:color w:val="000000" w:themeColor="text1"/>
                <w:kern w:val="0"/>
                <w:sz w:val="24"/>
                <w:lang w:val="en-US" w:eastAsia="zh-CN"/>
                <w14:textFill>
                  <w14:solidFill>
                    <w14:schemeClr w14:val="tx1"/>
                  </w14:solidFill>
                </w14:textFill>
              </w:rPr>
              <w:t>1</w:t>
            </w:r>
            <w:r>
              <w:rPr>
                <w:rFonts w:hint="default" w:ascii="Times New Roman" w:hAnsi="Times New Roman"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主体功能区划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根据《陕西省主体功能区划》，统筹关中水资源综合利用，加强水利基础设施建设，加大水土保持和水生态修复与环境保护力度；水利部门按要求进行水资源开发利用、防洪减灾等方面的规划。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陇县城乡一体化供水工程是陇县人民政府推出的一项解决居民安全用水的惠民工程，是一项推动陇县发展壮大、促进区域经济发展的系统工程。工程项目的实施，将能满足城乡远期发展对用水量的需求，也可改善县城区及管道沿线居民生活用水水质，对保障陇县城乡居民的生活质量、身体健康具有重要意义，有利于实现陇县经济、社会的持续发展。因此符合陕西省主体功能区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lang w:eastAsia="zh-CN"/>
                <w14:textFill>
                  <w14:solidFill>
                    <w14:schemeClr w14:val="tx1"/>
                  </w14:solidFill>
                </w14:textFill>
              </w:rPr>
              <w:t>（</w:t>
            </w:r>
            <w:r>
              <w:rPr>
                <w:rFonts w:hint="default" w:ascii="Times New Roman" w:hAnsi="Times New Roman" w:cs="Times New Roman"/>
                <w:color w:val="000000" w:themeColor="text1"/>
                <w:kern w:val="0"/>
                <w:sz w:val="24"/>
                <w:lang w:val="en-US" w:eastAsia="zh-CN"/>
                <w14:textFill>
                  <w14:solidFill>
                    <w14:schemeClr w14:val="tx1"/>
                  </w14:solidFill>
                </w14:textFill>
              </w:rPr>
              <w:t>2</w:t>
            </w:r>
            <w:r>
              <w:rPr>
                <w:rFonts w:hint="default" w:ascii="Times New Roman" w:hAnsi="Times New Roman"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生态功能区划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陕西省共划分为4个生态区（一级区），10个生态功能区（二级区），35个社区（三级区）。生态系统服务功能重要性综合空间分布格局表现为，极重要等级分布在陕北黄河沿岸及其一级支流地区，以土壤保持功能最为重要；千河流域，洛河支流铜川的水源区，为土壤保持与水源涵养并重的极重要区；秦岭的大部分、巴山的中高山区为水源涵养与生物维持的极重要区；中等重要区分布于洛河流域，泾河流域，秦岭南坡中部的低山丘陵，巴山北坡的低山丘陵等地。比较重要区见于关中平原，汉江谷地，巴山的喀斯特山地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根据《陕西省生态功能区划》，评价区位于“渭河谷地农业生态区-渭河两侧黄土台原农业生态亚区-麟陇水源涵养与土壤保持区”，详见附图</w:t>
            </w:r>
            <w:r>
              <w:rPr>
                <w:rFonts w:hint="default" w:ascii="Times New Roman" w:hAnsi="Times New Roman" w:cs="Times New Roman"/>
                <w:color w:val="000000" w:themeColor="text1"/>
                <w:kern w:val="0"/>
                <w:sz w:val="24"/>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2、生态环境现状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lang w:eastAsia="zh-CN"/>
                <w14:textFill>
                  <w14:solidFill>
                    <w14:schemeClr w14:val="tx1"/>
                  </w14:solidFill>
                </w14:textFill>
              </w:rPr>
              <w:t>（</w:t>
            </w:r>
            <w:r>
              <w:rPr>
                <w:rFonts w:hint="default" w:ascii="Times New Roman" w:hAnsi="Times New Roman" w:cs="Times New Roman"/>
                <w:color w:val="000000" w:themeColor="text1"/>
                <w:kern w:val="0"/>
                <w:sz w:val="24"/>
                <w:lang w:val="en-US" w:eastAsia="zh-CN"/>
                <w14:textFill>
                  <w14:solidFill>
                    <w14:schemeClr w14:val="tx1"/>
                  </w14:solidFill>
                </w14:textFill>
              </w:rPr>
              <w:t>1</w:t>
            </w:r>
            <w:r>
              <w:rPr>
                <w:rFonts w:hint="default" w:ascii="Times New Roman" w:hAnsi="Times New Roman"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陆生生态现状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①土地利用类型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lang w:eastAsia="zh-CN"/>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本工程引水管线主要包括两大段，第一大段是从取水水源至净水厂，该段长约长</w:t>
            </w:r>
            <w:r>
              <w:rPr>
                <w:rFonts w:hint="eastAsia" w:cs="Times New Roman"/>
                <w:color w:val="000000" w:themeColor="text1"/>
                <w:kern w:val="0"/>
                <w:sz w:val="24"/>
                <w:lang w:val="en-US" w:eastAsia="zh-CN"/>
                <w14:textFill>
                  <w14:solidFill>
                    <w14:schemeClr w14:val="tx1"/>
                  </w14:solidFill>
                </w14:textFill>
              </w:rPr>
              <w:t>8.918</w:t>
            </w:r>
            <w:r>
              <w:rPr>
                <w:rFonts w:hint="default" w:ascii="Times New Roman" w:hAnsi="Times New Roman" w:eastAsia="宋体" w:cs="Times New Roman"/>
                <w:color w:val="000000" w:themeColor="text1"/>
                <w:kern w:val="0"/>
                <w:sz w:val="24"/>
                <w14:textFill>
                  <w14:solidFill>
                    <w14:schemeClr w14:val="tx1"/>
                  </w14:solidFill>
                </w14:textFill>
              </w:rPr>
              <w:t>km，主要沿千河河谷一级阶地布设。第二大段是从净水厂至县城及村镇，该段长约长9.</w:t>
            </w:r>
            <w:r>
              <w:rPr>
                <w:rFonts w:hint="eastAsia" w:cs="Times New Roman"/>
                <w:color w:val="000000" w:themeColor="text1"/>
                <w:kern w:val="0"/>
                <w:sz w:val="24"/>
                <w:lang w:val="en-US" w:eastAsia="zh-CN"/>
                <w14:textFill>
                  <w14:solidFill>
                    <w14:schemeClr w14:val="tx1"/>
                  </w14:solidFill>
                </w14:textFill>
              </w:rPr>
              <w:t>343</w:t>
            </w:r>
            <w:r>
              <w:rPr>
                <w:rFonts w:hint="default" w:ascii="Times New Roman" w:hAnsi="Times New Roman" w:eastAsia="宋体" w:cs="Times New Roman"/>
                <w:color w:val="000000" w:themeColor="text1"/>
                <w:kern w:val="0"/>
                <w:sz w:val="24"/>
                <w14:textFill>
                  <w14:solidFill>
                    <w14:schemeClr w14:val="tx1"/>
                  </w14:solidFill>
                </w14:textFill>
              </w:rPr>
              <w:t>km，主要沿黄土台原前缘布设</w:t>
            </w:r>
            <w:r>
              <w:rPr>
                <w:rFonts w:hint="default" w:ascii="Times New Roman" w:hAnsi="Times New Roman" w:eastAsia="宋体" w:cs="Times New Roman"/>
                <w:color w:val="000000" w:themeColor="text1"/>
                <w:kern w:val="0"/>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本工程建设征地处理范围属于带状供水工程，有永久用地和临时用地等相关区域。土地利用类型统计见表3-1。</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kern w:val="0"/>
                <w:sz w:val="24"/>
                <w:highlight w:val="yellow"/>
                <w14:textFill>
                  <w14:solidFill>
                    <w14:schemeClr w14:val="tx1"/>
                  </w14:solidFill>
                </w14:textFill>
              </w:rPr>
            </w:pPr>
            <w:r>
              <w:rPr>
                <w:rFonts w:hint="default" w:ascii="Times New Roman" w:hAnsi="Times New Roman" w:eastAsia="宋体" w:cs="Times New Roman"/>
                <w:color w:val="000000" w:themeColor="text1"/>
                <w:kern w:val="0"/>
                <w:sz w:val="24"/>
                <w:lang w:eastAsia="zh-CN"/>
                <w14:textFill>
                  <w14:solidFill>
                    <w14:schemeClr w14:val="tx1"/>
                  </w14:solidFill>
                </w14:textFill>
              </w:rPr>
              <w:drawing>
                <wp:anchor distT="0" distB="0" distL="114300" distR="114300" simplePos="0" relativeHeight="251660288" behindDoc="1" locked="0" layoutInCell="1" allowOverlap="1">
                  <wp:simplePos x="0" y="0"/>
                  <wp:positionH relativeFrom="column">
                    <wp:posOffset>11430</wp:posOffset>
                  </wp:positionH>
                  <wp:positionV relativeFrom="paragraph">
                    <wp:posOffset>181610</wp:posOffset>
                  </wp:positionV>
                  <wp:extent cx="5101590" cy="5407660"/>
                  <wp:effectExtent l="0" t="0" r="3810" b="2540"/>
                  <wp:wrapNone/>
                  <wp:docPr id="14" name="图片 14" descr="1661355456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61355456685"/>
                          <pic:cNvPicPr>
                            <a:picLocks noChangeAspect="1"/>
                          </pic:cNvPicPr>
                        </pic:nvPicPr>
                        <pic:blipFill>
                          <a:blip r:embed="rId21"/>
                          <a:stretch>
                            <a:fillRect/>
                          </a:stretch>
                        </pic:blipFill>
                        <pic:spPr>
                          <a:xfrm>
                            <a:off x="0" y="0"/>
                            <a:ext cx="5101590" cy="5407660"/>
                          </a:xfrm>
                          <a:prstGeom prst="rect">
                            <a:avLst/>
                          </a:prstGeom>
                        </pic:spPr>
                      </pic:pic>
                    </a:graphicData>
                  </a:graphic>
                </wp:anchor>
              </w:drawing>
            </w:r>
            <w:r>
              <w:rPr>
                <w:rFonts w:hint="default" w:ascii="Times New Roman" w:hAnsi="Times New Roman" w:eastAsia="宋体" w:cs="Times New Roman"/>
                <w:b/>
                <w:bCs/>
                <w:color w:val="000000" w:themeColor="text1"/>
                <w:kern w:val="0"/>
                <w:sz w:val="24"/>
                <w14:textFill>
                  <w14:solidFill>
                    <w14:schemeClr w14:val="tx1"/>
                  </w14:solidFill>
                </w14:textFill>
              </w:rPr>
              <w:t>表3-1  区域土地利用类型统计表</w:t>
            </w:r>
          </w:p>
          <w:p>
            <w:pPr>
              <w:adjustRightInd w:val="0"/>
              <w:snapToGrid w:val="0"/>
              <w:spacing w:line="500" w:lineRule="exact"/>
              <w:ind w:firstLine="480" w:firstLineChars="200"/>
              <w:jc w:val="left"/>
              <w:rPr>
                <w:rFonts w:hint="default" w:ascii="Times New Roman" w:hAnsi="Times New Roman" w:eastAsia="宋体" w:cs="Times New Roman"/>
                <w:color w:val="000000" w:themeColor="text1"/>
                <w:kern w:val="0"/>
                <w:sz w:val="24"/>
                <w:lang w:eastAsia="zh-CN"/>
                <w14:textFill>
                  <w14:solidFill>
                    <w14:schemeClr w14:val="tx1"/>
                  </w14:solidFill>
                </w14:textFill>
              </w:rPr>
            </w:pPr>
          </w:p>
          <w:p>
            <w:pPr>
              <w:adjustRightInd w:val="0"/>
              <w:snapToGrid w:val="0"/>
              <w:spacing w:line="500" w:lineRule="exact"/>
              <w:ind w:firstLine="480" w:firstLineChars="200"/>
              <w:jc w:val="left"/>
              <w:rPr>
                <w:rFonts w:hint="default" w:ascii="Times New Roman" w:hAnsi="Times New Roman" w:eastAsia="宋体" w:cs="Times New Roman"/>
                <w:color w:val="000000" w:themeColor="text1"/>
                <w:kern w:val="0"/>
                <w:sz w:val="24"/>
                <w14:textFill>
                  <w14:solidFill>
                    <w14:schemeClr w14:val="tx1"/>
                  </w14:solidFill>
                </w14:textFill>
              </w:rPr>
            </w:pPr>
          </w:p>
          <w:p>
            <w:pPr>
              <w:adjustRightInd w:val="0"/>
              <w:snapToGrid w:val="0"/>
              <w:spacing w:line="500" w:lineRule="exact"/>
              <w:ind w:firstLine="480" w:firstLineChars="200"/>
              <w:jc w:val="left"/>
              <w:rPr>
                <w:rFonts w:hint="default" w:ascii="Times New Roman" w:hAnsi="Times New Roman" w:eastAsia="宋体" w:cs="Times New Roman"/>
                <w:color w:val="000000" w:themeColor="text1"/>
                <w:kern w:val="0"/>
                <w:sz w:val="24"/>
                <w14:textFill>
                  <w14:solidFill>
                    <w14:schemeClr w14:val="tx1"/>
                  </w14:solidFill>
                </w14:textFill>
              </w:rPr>
            </w:pPr>
          </w:p>
          <w:p>
            <w:pPr>
              <w:adjustRightInd w:val="0"/>
              <w:snapToGrid w:val="0"/>
              <w:spacing w:line="500" w:lineRule="exact"/>
              <w:ind w:firstLine="480" w:firstLineChars="200"/>
              <w:jc w:val="left"/>
              <w:rPr>
                <w:rFonts w:hint="default" w:ascii="Times New Roman" w:hAnsi="Times New Roman" w:eastAsia="宋体" w:cs="Times New Roman"/>
                <w:color w:val="000000" w:themeColor="text1"/>
                <w:kern w:val="0"/>
                <w:sz w:val="24"/>
                <w14:textFill>
                  <w14:solidFill>
                    <w14:schemeClr w14:val="tx1"/>
                  </w14:solidFill>
                </w14:textFill>
              </w:rPr>
            </w:pPr>
          </w:p>
          <w:p>
            <w:pPr>
              <w:adjustRightInd w:val="0"/>
              <w:snapToGrid w:val="0"/>
              <w:spacing w:line="500" w:lineRule="exact"/>
              <w:ind w:firstLine="480" w:firstLineChars="200"/>
              <w:jc w:val="left"/>
              <w:rPr>
                <w:rFonts w:hint="default" w:ascii="Times New Roman" w:hAnsi="Times New Roman" w:eastAsia="宋体" w:cs="Times New Roman"/>
                <w:color w:val="000000" w:themeColor="text1"/>
                <w:kern w:val="0"/>
                <w:sz w:val="24"/>
                <w14:textFill>
                  <w14:solidFill>
                    <w14:schemeClr w14:val="tx1"/>
                  </w14:solidFill>
                </w14:textFill>
              </w:rPr>
            </w:pPr>
          </w:p>
          <w:p>
            <w:pPr>
              <w:adjustRightInd w:val="0"/>
              <w:snapToGrid w:val="0"/>
              <w:spacing w:line="500" w:lineRule="exact"/>
              <w:ind w:firstLine="480" w:firstLineChars="200"/>
              <w:jc w:val="left"/>
              <w:rPr>
                <w:rFonts w:hint="default" w:ascii="Times New Roman" w:hAnsi="Times New Roman" w:eastAsia="宋体" w:cs="Times New Roman"/>
                <w:color w:val="000000" w:themeColor="text1"/>
                <w:kern w:val="0"/>
                <w:sz w:val="24"/>
                <w14:textFill>
                  <w14:solidFill>
                    <w14:schemeClr w14:val="tx1"/>
                  </w14:solidFill>
                </w14:textFill>
              </w:rPr>
            </w:pPr>
          </w:p>
          <w:p>
            <w:pPr>
              <w:adjustRightInd w:val="0"/>
              <w:snapToGrid w:val="0"/>
              <w:spacing w:line="500" w:lineRule="exact"/>
              <w:ind w:firstLine="480" w:firstLineChars="200"/>
              <w:jc w:val="left"/>
              <w:rPr>
                <w:rFonts w:hint="default" w:ascii="Times New Roman" w:hAnsi="Times New Roman" w:eastAsia="宋体" w:cs="Times New Roman"/>
                <w:color w:val="000000" w:themeColor="text1"/>
                <w:kern w:val="0"/>
                <w:sz w:val="24"/>
                <w14:textFill>
                  <w14:solidFill>
                    <w14:schemeClr w14:val="tx1"/>
                  </w14:solidFill>
                </w14:textFill>
              </w:rPr>
            </w:pPr>
          </w:p>
          <w:p>
            <w:pPr>
              <w:adjustRightInd w:val="0"/>
              <w:snapToGrid w:val="0"/>
              <w:spacing w:line="500" w:lineRule="exact"/>
              <w:ind w:firstLine="480" w:firstLineChars="200"/>
              <w:jc w:val="left"/>
              <w:rPr>
                <w:rFonts w:hint="default" w:ascii="Times New Roman" w:hAnsi="Times New Roman" w:eastAsia="宋体" w:cs="Times New Roman"/>
                <w:color w:val="000000" w:themeColor="text1"/>
                <w:kern w:val="0"/>
                <w:sz w:val="24"/>
                <w14:textFill>
                  <w14:solidFill>
                    <w14:schemeClr w14:val="tx1"/>
                  </w14:solidFill>
                </w14:textFill>
              </w:rPr>
            </w:pPr>
          </w:p>
          <w:p>
            <w:pPr>
              <w:adjustRightInd w:val="0"/>
              <w:snapToGrid w:val="0"/>
              <w:spacing w:line="500" w:lineRule="exact"/>
              <w:ind w:firstLine="480" w:firstLineChars="200"/>
              <w:jc w:val="left"/>
              <w:rPr>
                <w:rFonts w:hint="default" w:ascii="Times New Roman" w:hAnsi="Times New Roman" w:eastAsia="宋体" w:cs="Times New Roman"/>
                <w:color w:val="000000" w:themeColor="text1"/>
                <w:kern w:val="0"/>
                <w:sz w:val="24"/>
                <w14:textFill>
                  <w14:solidFill>
                    <w14:schemeClr w14:val="tx1"/>
                  </w14:solidFill>
                </w14:textFill>
              </w:rPr>
            </w:pPr>
          </w:p>
          <w:p>
            <w:pPr>
              <w:adjustRightInd w:val="0"/>
              <w:snapToGrid w:val="0"/>
              <w:spacing w:line="500" w:lineRule="exact"/>
              <w:ind w:firstLine="480" w:firstLineChars="200"/>
              <w:jc w:val="left"/>
              <w:rPr>
                <w:rFonts w:hint="default" w:ascii="Times New Roman" w:hAnsi="Times New Roman" w:eastAsia="宋体" w:cs="Times New Roman"/>
                <w:color w:val="000000" w:themeColor="text1"/>
                <w:kern w:val="0"/>
                <w:sz w:val="24"/>
                <w14:textFill>
                  <w14:solidFill>
                    <w14:schemeClr w14:val="tx1"/>
                  </w14:solidFill>
                </w14:textFill>
              </w:rPr>
            </w:pPr>
          </w:p>
          <w:p>
            <w:pPr>
              <w:adjustRightInd w:val="0"/>
              <w:snapToGrid w:val="0"/>
              <w:spacing w:line="500" w:lineRule="exact"/>
              <w:ind w:firstLine="480" w:firstLineChars="200"/>
              <w:jc w:val="left"/>
              <w:rPr>
                <w:rFonts w:hint="default" w:ascii="Times New Roman" w:hAnsi="Times New Roman" w:eastAsia="宋体" w:cs="Times New Roman"/>
                <w:color w:val="000000" w:themeColor="text1"/>
                <w:kern w:val="0"/>
                <w:sz w:val="24"/>
                <w14:textFill>
                  <w14:solidFill>
                    <w14:schemeClr w14:val="tx1"/>
                  </w14:solidFill>
                </w14:textFill>
              </w:rPr>
            </w:pPr>
          </w:p>
          <w:p>
            <w:pPr>
              <w:adjustRightInd w:val="0"/>
              <w:snapToGrid w:val="0"/>
              <w:spacing w:line="500" w:lineRule="exact"/>
              <w:ind w:firstLine="480" w:firstLineChars="200"/>
              <w:jc w:val="left"/>
              <w:rPr>
                <w:rFonts w:hint="default" w:ascii="Times New Roman" w:hAnsi="Times New Roman" w:eastAsia="宋体" w:cs="Times New Roman"/>
                <w:color w:val="000000" w:themeColor="text1"/>
                <w:kern w:val="0"/>
                <w:sz w:val="24"/>
                <w14:textFill>
                  <w14:solidFill>
                    <w14:schemeClr w14:val="tx1"/>
                  </w14:solidFill>
                </w14:textFill>
              </w:rPr>
            </w:pPr>
          </w:p>
          <w:p>
            <w:pPr>
              <w:adjustRightInd w:val="0"/>
              <w:snapToGrid w:val="0"/>
              <w:spacing w:line="500" w:lineRule="exact"/>
              <w:ind w:firstLine="480" w:firstLineChars="200"/>
              <w:jc w:val="left"/>
              <w:rPr>
                <w:rFonts w:hint="default" w:ascii="Times New Roman" w:hAnsi="Times New Roman" w:eastAsia="宋体" w:cs="Times New Roman"/>
                <w:color w:val="000000" w:themeColor="text1"/>
                <w:kern w:val="0"/>
                <w:sz w:val="24"/>
                <w14:textFill>
                  <w14:solidFill>
                    <w14:schemeClr w14:val="tx1"/>
                  </w14:solidFill>
                </w14:textFill>
              </w:rPr>
            </w:pPr>
          </w:p>
          <w:p>
            <w:pPr>
              <w:adjustRightInd w:val="0"/>
              <w:snapToGrid w:val="0"/>
              <w:spacing w:line="500" w:lineRule="exact"/>
              <w:ind w:firstLine="480" w:firstLineChars="200"/>
              <w:jc w:val="left"/>
              <w:rPr>
                <w:rFonts w:hint="default" w:ascii="Times New Roman" w:hAnsi="Times New Roman" w:eastAsia="宋体" w:cs="Times New Roman"/>
                <w:color w:val="000000" w:themeColor="text1"/>
                <w:kern w:val="0"/>
                <w:sz w:val="24"/>
                <w14:textFill>
                  <w14:solidFill>
                    <w14:schemeClr w14:val="tx1"/>
                  </w14:solidFill>
                </w14:textFill>
              </w:rPr>
            </w:pPr>
          </w:p>
          <w:p>
            <w:pPr>
              <w:adjustRightInd w:val="0"/>
              <w:snapToGrid w:val="0"/>
              <w:spacing w:line="500" w:lineRule="exact"/>
              <w:ind w:firstLine="480" w:firstLineChars="200"/>
              <w:jc w:val="left"/>
              <w:rPr>
                <w:rFonts w:hint="default" w:ascii="Times New Roman" w:hAnsi="Times New Roman" w:eastAsia="宋体" w:cs="Times New Roman"/>
                <w:color w:val="000000" w:themeColor="text1"/>
                <w:kern w:val="0"/>
                <w:sz w:val="24"/>
                <w14:textFill>
                  <w14:solidFill>
                    <w14:schemeClr w14:val="tx1"/>
                  </w14:solidFill>
                </w14:textFill>
              </w:rPr>
            </w:pPr>
          </w:p>
          <w:p>
            <w:pPr>
              <w:adjustRightInd w:val="0"/>
              <w:snapToGrid w:val="0"/>
              <w:spacing w:line="500" w:lineRule="exact"/>
              <w:ind w:firstLine="480" w:firstLineChars="200"/>
              <w:jc w:val="left"/>
              <w:rPr>
                <w:rFonts w:hint="default" w:ascii="Times New Roman" w:hAnsi="Times New Roman" w:eastAsia="宋体" w:cs="Times New Roman"/>
                <w:color w:val="000000" w:themeColor="text1"/>
                <w:kern w:val="0"/>
                <w:sz w:val="24"/>
                <w14:textFill>
                  <w14:solidFill>
                    <w14:schemeClr w14:val="tx1"/>
                  </w14:solidFill>
                </w14:textFill>
              </w:rPr>
            </w:pPr>
          </w:p>
          <w:p>
            <w:pPr>
              <w:adjustRightInd w:val="0"/>
              <w:snapToGrid w:val="0"/>
              <w:spacing w:line="500" w:lineRule="exact"/>
              <w:ind w:firstLine="480" w:firstLineChars="200"/>
              <w:jc w:val="left"/>
              <w:rPr>
                <w:rFonts w:hint="default" w:ascii="Times New Roman" w:hAnsi="Times New Roman" w:eastAsia="宋体" w:cs="Times New Roman"/>
                <w:color w:val="000000" w:themeColor="text1"/>
                <w:kern w:val="0"/>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②植被类型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本项目所在区域海拔在1000m左右，属于落叶阔叶林带。由于靠近川道和人口密集区，森林植被受人为活动影响较大。仅在部分地区残存有较为成片的天然次生侧柏林，其余均为人工栽培的椿、榆、楸、槐、桐、杨、刺槐、油松、苹果、柿子、花椒等。农作物以冬小麦、玉米、豆类为主，一年一熟或两年三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③陆生动物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由于评价区人类活动频繁，大型、小型陆生野生动物较少，主要以家禽、家畜及常见鸟类为主，常见的野生兽类有草兔、黄鼠、大仓鼠、小家鼠、黄鼬等；常见鸟类有灰斑鸠、杜鹃、楼燕、家燕、喜鹊、麻雀、大山雀等。人工养殖的家禽家畜主要有猪、羊、牛、鸡、兔等。经查阅资料、实地调查并咨询林业主管部门，评价范围内无国家级和省级保护的野生动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lang w:eastAsia="zh-CN"/>
                <w14:textFill>
                  <w14:solidFill>
                    <w14:schemeClr w14:val="tx1"/>
                  </w14:solidFill>
                </w14:textFill>
              </w:rPr>
              <w:t>（</w:t>
            </w:r>
            <w:r>
              <w:rPr>
                <w:rFonts w:hint="default" w:ascii="Times New Roman" w:hAnsi="Times New Roman" w:cs="Times New Roman"/>
                <w:color w:val="000000" w:themeColor="text1"/>
                <w:kern w:val="0"/>
                <w:sz w:val="24"/>
                <w:lang w:val="en-US" w:eastAsia="zh-CN"/>
                <w14:textFill>
                  <w14:solidFill>
                    <w14:schemeClr w14:val="tx1"/>
                  </w14:solidFill>
                </w14:textFill>
              </w:rPr>
              <w:t>2</w:t>
            </w:r>
            <w:r>
              <w:rPr>
                <w:rFonts w:hint="default" w:ascii="Times New Roman" w:hAnsi="Times New Roman"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流域现状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①河流水系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 xml:space="preserve">千河系渭河左岸一级支流，位于北纬 35°02~34°25，东径 106°31'~ </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4"/>
                <w14:textFill>
                  <w14:solidFill>
                    <w14:schemeClr w14:val="tx1"/>
                  </w14:solidFill>
                </w14:textFill>
              </w:rPr>
              <w:t>07°15。发源于甘肃省张家川县的陇山山脉，千山山麓，在唐家河流入陇县，从陇县两界村进入千阳县，至宝鸡市陈仓区冯家嘴汇入渭河。流域地势西北高，南北低，海拔高程700~2428m，区域内山峦重叠，沟纵横，地形复杂，植被较差，河流的含沙量较大。流域面积3493.9km</w:t>
            </w:r>
            <w:r>
              <w:rPr>
                <w:rFonts w:hint="default" w:ascii="Times New Roman" w:hAnsi="Times New Roman" w:eastAsia="宋体" w:cs="Times New Roman"/>
                <w:color w:val="000000" w:themeColor="text1"/>
                <w:kern w:val="0"/>
                <w:sz w:val="24"/>
                <w:vertAlign w:val="superscript"/>
                <w14:textFill>
                  <w14:solidFill>
                    <w14:schemeClr w14:val="tx1"/>
                  </w14:solidFill>
                </w14:textFill>
              </w:rPr>
              <w:t>2</w:t>
            </w:r>
            <w:r>
              <w:rPr>
                <w:rFonts w:hint="default" w:ascii="Times New Roman" w:hAnsi="Times New Roman" w:eastAsia="宋体" w:cs="Times New Roman"/>
                <w:color w:val="000000" w:themeColor="text1"/>
                <w:kern w:val="0"/>
                <w:sz w:val="24"/>
                <w14:textFill>
                  <w14:solidFill>
                    <w14:schemeClr w14:val="tx1"/>
                  </w14:solidFill>
                </w14:textFill>
              </w:rPr>
              <w:t>，千流全长152.6km，河道平均比降5.8%。千河在陇县境内全长68.8km，流域面积1957.93km</w:t>
            </w:r>
            <w:r>
              <w:rPr>
                <w:rFonts w:hint="default" w:ascii="Times New Roman" w:hAnsi="Times New Roman" w:eastAsia="宋体" w:cs="Times New Roman"/>
                <w:color w:val="000000" w:themeColor="text1"/>
                <w:kern w:val="0"/>
                <w:sz w:val="24"/>
                <w:vertAlign w:val="superscript"/>
                <w14:textFill>
                  <w14:solidFill>
                    <w14:schemeClr w14:val="tx1"/>
                  </w14:solidFill>
                </w14:textFill>
              </w:rPr>
              <w:t>2</w:t>
            </w:r>
            <w:r>
              <w:rPr>
                <w:rFonts w:hint="default" w:ascii="Times New Roman" w:hAnsi="Times New Roman" w:eastAsia="宋体" w:cs="Times New Roman"/>
                <w:color w:val="000000" w:themeColor="text1"/>
                <w:kern w:val="0"/>
                <w:sz w:val="24"/>
                <w14:textFill>
                  <w14:solidFill>
                    <w14:schemeClr w14:val="tx1"/>
                  </w14:solidFill>
                </w14:textFill>
              </w:rPr>
              <w:t>，河道平均比降8%。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千河河系发育，支流呈羽型分布，流域面积大于100km</w:t>
            </w:r>
            <w:r>
              <w:rPr>
                <w:rFonts w:hint="default" w:ascii="Times New Roman" w:hAnsi="Times New Roman" w:eastAsia="宋体" w:cs="Times New Roman"/>
                <w:color w:val="000000" w:themeColor="text1"/>
                <w:kern w:val="0"/>
                <w:sz w:val="24"/>
                <w:vertAlign w:val="superscript"/>
                <w14:textFill>
                  <w14:solidFill>
                    <w14:schemeClr w14:val="tx1"/>
                  </w14:solidFill>
                </w14:textFill>
              </w:rPr>
              <w:t>2</w:t>
            </w:r>
            <w:r>
              <w:rPr>
                <w:rFonts w:hint="default" w:ascii="Times New Roman" w:hAnsi="Times New Roman" w:eastAsia="宋体" w:cs="Times New Roman"/>
                <w:color w:val="000000" w:themeColor="text1"/>
                <w:kern w:val="0"/>
                <w:sz w:val="24"/>
                <w14:textFill>
                  <w14:solidFill>
                    <w14:schemeClr w14:val="tx1"/>
                  </w14:solidFill>
                </w14:textFill>
              </w:rPr>
              <w:t>的支流有成宜河、蒲峪河、北河、石灌沟、峡口河、杨河沟、普洛河等。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段家峡水库位于千河上游陇县曹家湾乡段家峡村，</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坝址以上千河长度51km</w:t>
            </w:r>
            <w:r>
              <w:rPr>
                <w:rFonts w:hint="default" w:ascii="Times New Roman" w:hAnsi="Times New Roman" w:eastAsia="宋体" w:cs="Times New Roman"/>
                <w:color w:val="000000" w:themeColor="text1"/>
                <w:kern w:val="0"/>
                <w:sz w:val="24"/>
                <w14:textFill>
                  <w14:solidFill>
                    <w14:schemeClr w14:val="tx1"/>
                  </w14:solidFill>
                </w14:textFill>
              </w:rPr>
              <w:t>，平均比降18.6‰，控制流域面积634km</w:t>
            </w:r>
            <w:r>
              <w:rPr>
                <w:rFonts w:hint="default" w:ascii="Times New Roman" w:hAnsi="Times New Roman" w:eastAsia="宋体" w:cs="Times New Roman"/>
                <w:color w:val="000000" w:themeColor="text1"/>
                <w:kern w:val="0"/>
                <w:sz w:val="24"/>
                <w:vertAlign w:val="superscript"/>
                <w14:textFill>
                  <w14:solidFill>
                    <w14:schemeClr w14:val="tx1"/>
                  </w14:solidFill>
                </w14:textFill>
              </w:rPr>
              <w:t>2</w:t>
            </w:r>
            <w:r>
              <w:rPr>
                <w:rFonts w:hint="default" w:ascii="Times New Roman" w:hAnsi="Times New Roman" w:eastAsia="宋体" w:cs="Times New Roman"/>
                <w:color w:val="000000" w:themeColor="text1"/>
                <w:kern w:val="0"/>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②水生生物现状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sz w:val="24"/>
                <w:szCs w:val="20"/>
                <w14:textFill>
                  <w14:solidFill>
                    <w14:schemeClr w14:val="tx1"/>
                  </w14:solidFill>
                </w14:textFill>
              </w:rPr>
              <w:t>根据现场调查，工程所涉及的</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千</w:t>
            </w:r>
            <w:r>
              <w:rPr>
                <w:rFonts w:hint="default" w:ascii="Times New Roman" w:hAnsi="Times New Roman" w:eastAsia="宋体" w:cs="Times New Roman"/>
                <w:color w:val="000000" w:themeColor="text1"/>
                <w:sz w:val="24"/>
                <w:szCs w:val="20"/>
                <w14:textFill>
                  <w14:solidFill>
                    <w14:schemeClr w14:val="tx1"/>
                  </w14:solidFill>
                </w14:textFill>
              </w:rPr>
              <w:t>河水生生物物种多样性不高，评价范围未发现国家级和省级珍稀鱼类物种分布。根据</w:t>
            </w:r>
            <w:r>
              <w:rPr>
                <w:rFonts w:hint="default" w:ascii="Times New Roman" w:hAnsi="Times New Roman" w:eastAsia="宋体" w:cs="Times New Roman"/>
                <w:color w:val="000000" w:themeColor="text1"/>
                <w:sz w:val="24"/>
                <w:szCs w:val="20"/>
                <w:lang w:eastAsia="zh-CN"/>
                <w14:textFill>
                  <w14:solidFill>
                    <w14:schemeClr w14:val="tx1"/>
                  </w14:solidFill>
                </w14:textFill>
              </w:rPr>
              <w:t>《</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陇</w:t>
            </w:r>
            <w:r>
              <w:rPr>
                <w:rFonts w:hint="default" w:ascii="Times New Roman" w:hAnsi="Times New Roman" w:eastAsia="宋体" w:cs="Times New Roman"/>
                <w:color w:val="000000" w:themeColor="text1"/>
                <w:sz w:val="24"/>
                <w:szCs w:val="20"/>
                <w14:textFill>
                  <w14:solidFill>
                    <w14:schemeClr w14:val="tx1"/>
                  </w14:solidFill>
                </w14:textFill>
              </w:rPr>
              <w:t>县志》，水库内鱼纲动物主要为草鱼、鲢鱼、鲤鱼。两栖纲主要物种为青蛙、蟾蜍等。区域不分布洄游性、半洄游性鱼类，无鱼类产卵场、索饵场、越冬场</w:t>
            </w:r>
            <w:r>
              <w:rPr>
                <w:rFonts w:hint="default" w:ascii="Times New Roman" w:hAnsi="Times New Roman" w:eastAsia="宋体" w:cs="Times New Roman"/>
                <w:color w:val="000000" w:themeColor="text1"/>
                <w:kern w:val="0"/>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3、重点保护动物情况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项目所在地附近区域内野生动物主要为常见种及家畜，未发现国家或地方涉及的珍稀野生动植物。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4、其他环境要素质量现状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lang w:eastAsia="zh-CN"/>
                <w14:textFill>
                  <w14:solidFill>
                    <w14:schemeClr w14:val="tx1"/>
                  </w14:solidFill>
                </w14:textFill>
              </w:rPr>
              <w:t>（</w:t>
            </w:r>
            <w:r>
              <w:rPr>
                <w:rFonts w:hint="default" w:ascii="Times New Roman" w:hAnsi="Times New Roman" w:cs="Times New Roman"/>
                <w:color w:val="000000" w:themeColor="text1"/>
                <w:kern w:val="0"/>
                <w:sz w:val="24"/>
                <w:lang w:val="en-US" w:eastAsia="zh-CN"/>
                <w14:textFill>
                  <w14:solidFill>
                    <w14:schemeClr w14:val="tx1"/>
                  </w14:solidFill>
                </w14:textFill>
              </w:rPr>
              <w:t>1</w:t>
            </w:r>
            <w:r>
              <w:rPr>
                <w:rFonts w:hint="default" w:ascii="Times New Roman" w:hAnsi="Times New Roman"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环境空气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bCs/>
                <w:color w:val="000000" w:themeColor="text1"/>
                <w:sz w:val="24"/>
                <w:szCs w:val="20"/>
                <w14:textFill>
                  <w14:solidFill>
                    <w14:schemeClr w14:val="tx1"/>
                  </w14:solidFill>
                </w14:textFill>
              </w:rPr>
              <w:t>本次大气环境质量现状</w:t>
            </w:r>
            <w:r>
              <w:rPr>
                <w:rFonts w:hint="eastAsia"/>
                <w:bCs/>
                <w:color w:val="000000" w:themeColor="text1"/>
                <w:sz w:val="24"/>
                <w:szCs w:val="20"/>
                <w:lang w:val="en-US" w:eastAsia="zh-CN"/>
                <w14:textFill>
                  <w14:solidFill>
                    <w14:schemeClr w14:val="tx1"/>
                  </w14:solidFill>
                </w14:textFill>
              </w:rPr>
              <w:t>常规</w:t>
            </w:r>
            <w:r>
              <w:rPr>
                <w:bCs/>
                <w:color w:val="000000" w:themeColor="text1"/>
                <w:sz w:val="24"/>
                <w:szCs w:val="20"/>
                <w14:textFill>
                  <w14:solidFill>
                    <w14:schemeClr w14:val="tx1"/>
                  </w14:solidFill>
                </w14:textFill>
              </w:rPr>
              <w:t>污染物引用宝鸡市生态环境局发布的</w:t>
            </w:r>
            <w:r>
              <w:rPr>
                <w:rFonts w:hint="default" w:ascii="Times New Roman" w:hAnsi="Times New Roman" w:cs="Times New Roman"/>
                <w:bCs/>
                <w:color w:val="000000" w:themeColor="text1"/>
                <w:sz w:val="24"/>
                <w:szCs w:val="20"/>
                <w14:textFill>
                  <w14:solidFill>
                    <w14:schemeClr w14:val="tx1"/>
                  </w14:solidFill>
                </w14:textFill>
              </w:rPr>
              <w:t>《202</w:t>
            </w:r>
            <w:r>
              <w:rPr>
                <w:rFonts w:hint="default" w:ascii="Times New Roman" w:hAnsi="Times New Roman" w:cs="Times New Roman"/>
                <w:bCs/>
                <w:color w:val="000000" w:themeColor="text1"/>
                <w:sz w:val="24"/>
                <w:szCs w:val="20"/>
                <w:lang w:val="en-US" w:eastAsia="zh-CN"/>
                <w14:textFill>
                  <w14:solidFill>
                    <w14:schemeClr w14:val="tx1"/>
                  </w14:solidFill>
                </w14:textFill>
              </w:rPr>
              <w:t>1</w:t>
            </w:r>
            <w:r>
              <w:rPr>
                <w:rFonts w:hint="default" w:ascii="Times New Roman" w:hAnsi="Times New Roman" w:cs="Times New Roman"/>
                <w:bCs/>
                <w:color w:val="000000" w:themeColor="text1"/>
                <w:sz w:val="24"/>
                <w:szCs w:val="20"/>
                <w14:textFill>
                  <w14:solidFill>
                    <w14:schemeClr w14:val="tx1"/>
                  </w14:solidFill>
                </w14:textFill>
              </w:rPr>
              <w:t>年宝鸡市环境质量公报》</w:t>
            </w:r>
            <w:r>
              <w:rPr>
                <w:rFonts w:hint="eastAsia" w:ascii="Times New Roman" w:hAnsi="Times New Roman" w:cs="Times New Roman"/>
                <w:bCs/>
                <w:color w:val="000000" w:themeColor="text1"/>
                <w:sz w:val="24"/>
                <w:szCs w:val="20"/>
                <w:lang w:val="en-US" w:eastAsia="zh-CN"/>
                <w14:textFill>
                  <w14:solidFill>
                    <w14:schemeClr w14:val="tx1"/>
                  </w14:solidFill>
                </w14:textFill>
              </w:rPr>
              <w:t>中</w:t>
            </w:r>
            <w:r>
              <w:rPr>
                <w:bCs/>
                <w:color w:val="000000" w:themeColor="text1"/>
                <w:sz w:val="24"/>
                <w:szCs w:val="20"/>
                <w14:textFill>
                  <w14:solidFill>
                    <w14:schemeClr w14:val="tx1"/>
                  </w14:solidFill>
                </w14:textFill>
              </w:rPr>
              <w:t>2021年各区县空气质量状况统计表中</w:t>
            </w:r>
            <w:r>
              <w:rPr>
                <w:rFonts w:hint="eastAsia"/>
                <w:bCs/>
                <w:color w:val="000000" w:themeColor="text1"/>
                <w:sz w:val="24"/>
                <w:szCs w:val="20"/>
                <w14:textFill>
                  <w14:solidFill>
                    <w14:schemeClr w14:val="tx1"/>
                  </w14:solidFill>
                </w14:textFill>
              </w:rPr>
              <w:t>宝鸡市</w:t>
            </w:r>
            <w:r>
              <w:rPr>
                <w:rFonts w:hint="eastAsia"/>
                <w:bCs/>
                <w:color w:val="000000" w:themeColor="text1"/>
                <w:sz w:val="24"/>
                <w:szCs w:val="20"/>
                <w:lang w:val="en-US" w:eastAsia="zh-CN"/>
                <w14:textFill>
                  <w14:solidFill>
                    <w14:schemeClr w14:val="tx1"/>
                  </w14:solidFill>
                </w14:textFill>
              </w:rPr>
              <w:t>陇县</w:t>
            </w:r>
            <w:r>
              <w:rPr>
                <w:bCs/>
                <w:color w:val="000000" w:themeColor="text1"/>
                <w:sz w:val="24"/>
                <w:szCs w:val="20"/>
                <w14:textFill>
                  <w14:solidFill>
                    <w14:schemeClr w14:val="tx1"/>
                  </w14:solidFill>
                </w14:textFill>
              </w:rPr>
              <w:t>空气质量</w:t>
            </w:r>
            <w:r>
              <w:rPr>
                <w:rFonts w:hint="eastAsia"/>
                <w:bCs/>
                <w:color w:val="000000" w:themeColor="text1"/>
                <w:sz w:val="24"/>
                <w:szCs w:val="20"/>
                <w14:textFill>
                  <w14:solidFill>
                    <w14:schemeClr w14:val="tx1"/>
                  </w14:solidFill>
                </w14:textFill>
              </w:rPr>
              <w:t>状况</w:t>
            </w:r>
            <w:r>
              <w:rPr>
                <w:bCs/>
                <w:color w:val="000000" w:themeColor="text1"/>
                <w:sz w:val="24"/>
                <w:szCs w:val="20"/>
                <w14:textFill>
                  <w14:solidFill>
                    <w14:schemeClr w14:val="tx1"/>
                  </w14:solidFill>
                </w14:textFill>
              </w:rPr>
              <w:t>的监测数据。本次引用监测数据的监测时间为202</w:t>
            </w:r>
            <w:r>
              <w:rPr>
                <w:rFonts w:hint="eastAsia"/>
                <w:bCs/>
                <w:color w:val="000000" w:themeColor="text1"/>
                <w:sz w:val="24"/>
                <w:szCs w:val="20"/>
                <w14:textFill>
                  <w14:solidFill>
                    <w14:schemeClr w14:val="tx1"/>
                  </w14:solidFill>
                </w14:textFill>
              </w:rPr>
              <w:t>1</w:t>
            </w:r>
            <w:r>
              <w:rPr>
                <w:bCs/>
                <w:color w:val="000000" w:themeColor="text1"/>
                <w:sz w:val="24"/>
                <w:szCs w:val="20"/>
                <w14:textFill>
                  <w14:solidFill>
                    <w14:schemeClr w14:val="tx1"/>
                  </w14:solidFill>
                </w14:textFill>
              </w:rPr>
              <w:t>年，监测点位于宝鸡市</w:t>
            </w:r>
            <w:r>
              <w:rPr>
                <w:rFonts w:hint="eastAsia"/>
                <w:bCs/>
                <w:color w:val="000000" w:themeColor="text1"/>
                <w:sz w:val="24"/>
                <w:szCs w:val="20"/>
                <w14:textFill>
                  <w14:solidFill>
                    <w14:schemeClr w14:val="tx1"/>
                  </w14:solidFill>
                </w14:textFill>
              </w:rPr>
              <w:t>陇县</w:t>
            </w:r>
            <w:r>
              <w:rPr>
                <w:bCs/>
                <w:color w:val="000000" w:themeColor="text1"/>
                <w:sz w:val="24"/>
                <w:szCs w:val="20"/>
                <w14:textFill>
                  <w14:solidFill>
                    <w14:schemeClr w14:val="tx1"/>
                  </w14:solidFill>
                </w14:textFill>
              </w:rPr>
              <w:t>空气自动监测点</w:t>
            </w:r>
            <w:r>
              <w:rPr>
                <w:color w:val="000000" w:themeColor="text1"/>
                <w:sz w:val="24"/>
                <w14:textFill>
                  <w14:solidFill>
                    <w14:schemeClr w14:val="tx1"/>
                  </w14:solidFill>
                </w14:textFill>
              </w:rPr>
              <w:t>，引用数据</w:t>
            </w:r>
            <w:r>
              <w:rPr>
                <w:color w:val="000000" w:themeColor="text1"/>
                <w:kern w:val="0"/>
                <w:sz w:val="24"/>
                <w:szCs w:val="28"/>
                <w14:textFill>
                  <w14:solidFill>
                    <w14:schemeClr w14:val="tx1"/>
                  </w14:solidFill>
                </w14:textFill>
              </w:rPr>
              <w:t>具有一定的</w:t>
            </w:r>
            <w:r>
              <w:rPr>
                <w:color w:val="000000" w:themeColor="text1"/>
                <w:sz w:val="24"/>
                <w14:textFill>
                  <w14:solidFill>
                    <w14:schemeClr w14:val="tx1"/>
                  </w14:solidFill>
                </w14:textFill>
              </w:rPr>
              <w:t>代表性、有效性</w:t>
            </w:r>
            <w:r>
              <w:rPr>
                <w:bCs/>
                <w:color w:val="000000" w:themeColor="text1"/>
                <w:sz w:val="24"/>
                <w:szCs w:val="20"/>
                <w14:textFill>
                  <w14:solidFill>
                    <w14:schemeClr w14:val="tx1"/>
                  </w14:solidFill>
                </w14:textFill>
              </w:rPr>
              <w:t>。大气环境质量统计数据见表3-</w:t>
            </w:r>
            <w:r>
              <w:rPr>
                <w:rFonts w:hint="eastAsia"/>
                <w:bCs/>
                <w:color w:val="000000" w:themeColor="text1"/>
                <w:sz w:val="24"/>
                <w:szCs w:val="20"/>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14:textFill>
                  <w14:solidFill>
                    <w14:schemeClr w14:val="tx1"/>
                  </w14:solidFill>
                </w14:textFill>
              </w:rPr>
              <w:t>表3-</w:t>
            </w:r>
            <w:r>
              <w:rPr>
                <w:rFonts w:hint="default" w:ascii="Times New Roman" w:hAnsi="Times New Roman" w:eastAsia="宋体" w:cs="Times New Roman"/>
                <w:b/>
                <w:bCs/>
                <w:color w:val="000000" w:themeColor="text1"/>
                <w:kern w:val="0"/>
                <w:sz w:val="24"/>
                <w:szCs w:val="24"/>
                <w:lang w:val="en-US" w:eastAsia="zh-CN"/>
                <w14:textFill>
                  <w14:solidFill>
                    <w14:schemeClr w14:val="tx1"/>
                  </w14:solidFill>
                </w14:textFill>
              </w:rPr>
              <w:t>2</w:t>
            </w:r>
            <w:r>
              <w:rPr>
                <w:rFonts w:hint="eastAsia" w:ascii="Times New Roman" w:hAnsi="Times New Roman" w:eastAsia="宋体" w:cs="Times New Roman"/>
                <w:b/>
                <w:bCs/>
                <w:color w:val="000000" w:themeColor="text1"/>
                <w:kern w:val="0"/>
                <w:sz w:val="24"/>
                <w:szCs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szCs w:val="24"/>
                <w14:textFill>
                  <w14:solidFill>
                    <w14:schemeClr w14:val="tx1"/>
                  </w14:solidFill>
                </w14:textFill>
              </w:rPr>
              <w:t>本项目区域环境空气质量监测数据</w:t>
            </w:r>
          </w:p>
          <w:tbl>
            <w:tblPr>
              <w:tblStyle w:val="22"/>
              <w:tblW w:w="4996"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1247"/>
              <w:gridCol w:w="883"/>
              <w:gridCol w:w="861"/>
              <w:gridCol w:w="861"/>
              <w:gridCol w:w="896"/>
              <w:gridCol w:w="1104"/>
              <w:gridCol w:w="108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vMerge w:val="restart"/>
                  <w:tcBorders>
                    <w:tl2br w:val="single" w:color="auto" w:sz="2" w:space="0"/>
                  </w:tcBorders>
                  <w:noWrap w:val="0"/>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 xml:space="preserve">   监测</w:t>
                  </w:r>
                </w:p>
                <w:p>
                  <w:pPr>
                    <w:rPr>
                      <w:color w:val="000000" w:themeColor="text1"/>
                      <w14:textFill>
                        <w14:solidFill>
                          <w14:schemeClr w14:val="tx1"/>
                        </w14:solidFill>
                      </w14:textFill>
                    </w:rPr>
                  </w:pPr>
                  <w:r>
                    <w:rPr>
                      <w:color w:val="000000" w:themeColor="text1"/>
                      <w14:textFill>
                        <w14:solidFill>
                          <w14:schemeClr w14:val="tx1"/>
                        </w14:solidFill>
                      </w14:textFill>
                    </w:rPr>
                    <w:t>点位</w:t>
                  </w:r>
                </w:p>
              </w:tc>
              <w:tc>
                <w:tcPr>
                  <w:tcW w:w="1238" w:type="dxa"/>
                  <w:vMerge w:val="restart"/>
                  <w:noWrap w:val="0"/>
                  <w:vAlign w:val="center"/>
                </w:tcPr>
                <w:p>
                  <w:pPr>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年评价</w:t>
                  </w:r>
                </w:p>
                <w:p>
                  <w:pPr>
                    <w:jc w:val="center"/>
                    <w:rPr>
                      <w:color w:val="000000" w:themeColor="text1"/>
                      <w14:textFill>
                        <w14:solidFill>
                          <w14:schemeClr w14:val="tx1"/>
                        </w14:solidFill>
                      </w14:textFill>
                    </w:rPr>
                  </w:pPr>
                  <w:r>
                    <w:rPr>
                      <w:color w:val="000000" w:themeColor="text1"/>
                      <w14:textFill>
                        <w14:solidFill>
                          <w14:schemeClr w14:val="tx1"/>
                        </w14:solidFill>
                      </w14:textFill>
                    </w:rPr>
                    <w:t>指标</w:t>
                  </w:r>
                </w:p>
              </w:tc>
              <w:tc>
                <w:tcPr>
                  <w:tcW w:w="876" w:type="dxa"/>
                  <w:noWrap w:val="0"/>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p>
              </w:tc>
              <w:tc>
                <w:tcPr>
                  <w:tcW w:w="854" w:type="dxa"/>
                  <w:noWrap w:val="0"/>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p>
              </w:tc>
              <w:tc>
                <w:tcPr>
                  <w:tcW w:w="854" w:type="dxa"/>
                  <w:noWrap w:val="0"/>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10</w:t>
                  </w:r>
                </w:p>
              </w:tc>
              <w:tc>
                <w:tcPr>
                  <w:tcW w:w="889" w:type="dxa"/>
                  <w:noWrap w:val="0"/>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p>
              </w:tc>
              <w:tc>
                <w:tcPr>
                  <w:tcW w:w="1096" w:type="dxa"/>
                  <w:noWrap w:val="0"/>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CO（-95per）</w:t>
                  </w:r>
                </w:p>
              </w:tc>
              <w:tc>
                <w:tcPr>
                  <w:tcW w:w="1081" w:type="dxa"/>
                  <w:noWrap w:val="0"/>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3-8H</w:t>
                  </w:r>
                  <w:r>
                    <w:rPr>
                      <w:color w:val="000000" w:themeColor="text1"/>
                      <w14:textFill>
                        <w14:solidFill>
                          <w14:schemeClr w14:val="tx1"/>
                        </w14:solidFill>
                      </w14:textFill>
                    </w:rPr>
                    <w:t>（-90per）</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vMerge w:val="continue"/>
                  <w:noWrap w:val="0"/>
                  <w:vAlign w:val="center"/>
                </w:tcPr>
                <w:p>
                  <w:pPr>
                    <w:jc w:val="center"/>
                    <w:rPr>
                      <w:color w:val="000000" w:themeColor="text1"/>
                      <w14:textFill>
                        <w14:solidFill>
                          <w14:schemeClr w14:val="tx1"/>
                        </w14:solidFill>
                      </w14:textFill>
                    </w:rPr>
                  </w:pPr>
                </w:p>
              </w:tc>
              <w:tc>
                <w:tcPr>
                  <w:tcW w:w="1238" w:type="dxa"/>
                  <w:vMerge w:val="continue"/>
                  <w:noWrap w:val="0"/>
                  <w:vAlign w:val="center"/>
                </w:tcPr>
                <w:p>
                  <w:pPr>
                    <w:jc w:val="center"/>
                    <w:rPr>
                      <w:color w:val="000000" w:themeColor="text1"/>
                      <w14:textFill>
                        <w14:solidFill>
                          <w14:schemeClr w14:val="tx1"/>
                        </w14:solidFill>
                      </w14:textFill>
                    </w:rPr>
                  </w:pPr>
                </w:p>
              </w:tc>
              <w:tc>
                <w:tcPr>
                  <w:tcW w:w="876" w:type="dxa"/>
                  <w:noWrap w:val="0"/>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年均值</w:t>
                  </w:r>
                </w:p>
              </w:tc>
              <w:tc>
                <w:tcPr>
                  <w:tcW w:w="854" w:type="dxa"/>
                  <w:noWrap w:val="0"/>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年均值</w:t>
                  </w:r>
                </w:p>
              </w:tc>
              <w:tc>
                <w:tcPr>
                  <w:tcW w:w="854" w:type="dxa"/>
                  <w:noWrap w:val="0"/>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年均值</w:t>
                  </w:r>
                </w:p>
              </w:tc>
              <w:tc>
                <w:tcPr>
                  <w:tcW w:w="889" w:type="dxa"/>
                  <w:noWrap w:val="0"/>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年均值</w:t>
                  </w:r>
                </w:p>
              </w:tc>
              <w:tc>
                <w:tcPr>
                  <w:tcW w:w="1096" w:type="dxa"/>
                  <w:noWrap w:val="0"/>
                  <w:vAlign w:val="center"/>
                </w:tcPr>
                <w:p>
                  <w:pPr>
                    <w:rPr>
                      <w:color w:val="000000" w:themeColor="text1"/>
                      <w14:textFill>
                        <w14:solidFill>
                          <w14:schemeClr w14:val="tx1"/>
                        </w14:solidFill>
                      </w14:textFill>
                    </w:rPr>
                  </w:pPr>
                  <w:r>
                    <w:rPr>
                      <w:color w:val="000000" w:themeColor="text1"/>
                      <w14:textFill>
                        <w14:solidFill>
                          <w14:schemeClr w14:val="tx1"/>
                        </w14:solidFill>
                      </w14:textFill>
                    </w:rPr>
                    <w:t>24小时平均第95百分位浓度</w:t>
                  </w:r>
                </w:p>
              </w:tc>
              <w:tc>
                <w:tcPr>
                  <w:tcW w:w="1081" w:type="dxa"/>
                  <w:noWrap w:val="0"/>
                  <w:vAlign w:val="center"/>
                </w:tcPr>
                <w:p>
                  <w:pPr>
                    <w:rPr>
                      <w:color w:val="000000" w:themeColor="text1"/>
                      <w14:textFill>
                        <w14:solidFill>
                          <w14:schemeClr w14:val="tx1"/>
                        </w14:solidFill>
                      </w14:textFill>
                    </w:rPr>
                  </w:pPr>
                  <w:r>
                    <w:rPr>
                      <w:color w:val="000000" w:themeColor="text1"/>
                      <w14:textFill>
                        <w14:solidFill>
                          <w14:schemeClr w14:val="tx1"/>
                        </w14:solidFill>
                      </w14:textFill>
                    </w:rPr>
                    <w:t>日最大8 小时平均第90百分位浓度</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vMerge w:val="restart"/>
                  <w:noWrap w:val="0"/>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陇县</w:t>
                  </w:r>
                  <w:r>
                    <w:rPr>
                      <w:color w:val="000000" w:themeColor="text1"/>
                      <w14:textFill>
                        <w14:solidFill>
                          <w14:schemeClr w14:val="tx1"/>
                        </w14:solidFill>
                      </w14:textFill>
                    </w:rPr>
                    <w:t>空气自动监测</w:t>
                  </w:r>
                </w:p>
              </w:tc>
              <w:tc>
                <w:tcPr>
                  <w:tcW w:w="1238" w:type="dxa"/>
                  <w:noWrap w:val="0"/>
                  <w:vAlign w:val="center"/>
                </w:tcPr>
                <w:p>
                  <w:pPr>
                    <w:jc w:val="center"/>
                    <w:rPr>
                      <w:rFonts w:hint="eastAsia" w:eastAsia="宋体"/>
                      <w:b w:val="0"/>
                      <w:bCs w:val="0"/>
                      <w:color w:val="000000" w:themeColor="text1"/>
                      <w:sz w:val="21"/>
                      <w:szCs w:val="21"/>
                      <w:lang w:eastAsia="zh-CN"/>
                      <w14:textFill>
                        <w14:solidFill>
                          <w14:schemeClr w14:val="tx1"/>
                        </w14:solidFill>
                      </w14:textFill>
                    </w:rPr>
                  </w:pPr>
                  <w:r>
                    <w:rPr>
                      <w:b w:val="0"/>
                      <w:bCs w:val="0"/>
                      <w:color w:val="000000" w:themeColor="text1"/>
                      <w:sz w:val="21"/>
                      <w:szCs w:val="21"/>
                      <w14:textFill>
                        <w14:solidFill>
                          <w14:schemeClr w14:val="tx1"/>
                        </w14:solidFill>
                      </w14:textFill>
                    </w:rPr>
                    <w:t>监测值</w:t>
                  </w:r>
                  <w:r>
                    <w:rPr>
                      <w:rFonts w:hint="eastAsia"/>
                      <w:b w:val="0"/>
                      <w:bCs w:val="0"/>
                      <w:color w:val="000000" w:themeColor="text1"/>
                      <w:sz w:val="21"/>
                      <w:szCs w:val="21"/>
                      <w:lang w:eastAsia="zh-CN"/>
                      <w14:textFill>
                        <w14:solidFill>
                          <w14:schemeClr w14:val="tx1"/>
                        </w14:solidFill>
                      </w14:textFill>
                    </w:rPr>
                    <w:t>（</w:t>
                  </w:r>
                  <w:r>
                    <w:rPr>
                      <w:b w:val="0"/>
                      <w:bCs w:val="0"/>
                      <w:color w:val="000000" w:themeColor="text1"/>
                      <w:sz w:val="21"/>
                      <w:szCs w:val="21"/>
                      <w14:textFill>
                        <w14:solidFill>
                          <w14:schemeClr w14:val="tx1"/>
                        </w14:solidFill>
                      </w14:textFill>
                    </w:rPr>
                    <w:t>μg/m</w:t>
                  </w:r>
                  <w:r>
                    <w:rPr>
                      <w:b w:val="0"/>
                      <w:bCs w:val="0"/>
                      <w:color w:val="000000" w:themeColor="text1"/>
                      <w:sz w:val="21"/>
                      <w:szCs w:val="21"/>
                      <w:vertAlign w:val="superscript"/>
                      <w14:textFill>
                        <w14:solidFill>
                          <w14:schemeClr w14:val="tx1"/>
                        </w14:solidFill>
                      </w14:textFill>
                    </w:rPr>
                    <w:t>3</w:t>
                  </w:r>
                  <w:r>
                    <w:rPr>
                      <w:rFonts w:hint="eastAsia"/>
                      <w:b w:val="0"/>
                      <w:bCs w:val="0"/>
                      <w:color w:val="000000" w:themeColor="text1"/>
                      <w:sz w:val="21"/>
                      <w:szCs w:val="21"/>
                      <w:lang w:eastAsia="zh-CN"/>
                      <w14:textFill>
                        <w14:solidFill>
                          <w14:schemeClr w14:val="tx1"/>
                        </w14:solidFill>
                      </w14:textFill>
                    </w:rPr>
                    <w:t>）</w:t>
                  </w:r>
                </w:p>
              </w:tc>
              <w:tc>
                <w:tcPr>
                  <w:tcW w:w="876" w:type="dxa"/>
                  <w:noWrap w:val="0"/>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w:t>
                  </w:r>
                </w:p>
              </w:tc>
              <w:tc>
                <w:tcPr>
                  <w:tcW w:w="854" w:type="dxa"/>
                  <w:noWrap w:val="0"/>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18</w:t>
                  </w:r>
                </w:p>
              </w:tc>
              <w:tc>
                <w:tcPr>
                  <w:tcW w:w="854" w:type="dxa"/>
                  <w:noWrap w:val="0"/>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62</w:t>
                  </w:r>
                </w:p>
              </w:tc>
              <w:tc>
                <w:tcPr>
                  <w:tcW w:w="889" w:type="dxa"/>
                  <w:noWrap w:val="0"/>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30</w:t>
                  </w:r>
                </w:p>
              </w:tc>
              <w:tc>
                <w:tcPr>
                  <w:tcW w:w="1096" w:type="dxa"/>
                  <w:noWrap w:val="0"/>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1100</w:t>
                  </w:r>
                </w:p>
              </w:tc>
              <w:tc>
                <w:tcPr>
                  <w:tcW w:w="1081" w:type="dxa"/>
                  <w:noWrap w:val="0"/>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131</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vMerge w:val="continue"/>
                  <w:noWrap w:val="0"/>
                  <w:vAlign w:val="center"/>
                </w:tcPr>
                <w:p>
                  <w:pPr>
                    <w:jc w:val="center"/>
                    <w:rPr>
                      <w:color w:val="000000" w:themeColor="text1"/>
                      <w14:textFill>
                        <w14:solidFill>
                          <w14:schemeClr w14:val="tx1"/>
                        </w14:solidFill>
                      </w14:textFill>
                    </w:rPr>
                  </w:pPr>
                </w:p>
              </w:tc>
              <w:tc>
                <w:tcPr>
                  <w:tcW w:w="1238" w:type="dxa"/>
                  <w:noWrap w:val="0"/>
                  <w:vAlign w:val="center"/>
                </w:tcPr>
                <w:p>
                  <w:pPr>
                    <w:jc w:val="center"/>
                    <w:rPr>
                      <w:rFonts w:hint="eastAsia" w:eastAsia="宋体"/>
                      <w:b w:val="0"/>
                      <w:bCs w:val="0"/>
                      <w:color w:val="000000" w:themeColor="text1"/>
                      <w:sz w:val="21"/>
                      <w:szCs w:val="21"/>
                      <w:lang w:eastAsia="zh-CN"/>
                      <w14:textFill>
                        <w14:solidFill>
                          <w14:schemeClr w14:val="tx1"/>
                        </w14:solidFill>
                      </w14:textFill>
                    </w:rPr>
                  </w:pPr>
                  <w:r>
                    <w:rPr>
                      <w:b w:val="0"/>
                      <w:bCs w:val="0"/>
                      <w:color w:val="000000" w:themeColor="text1"/>
                      <w:sz w:val="21"/>
                      <w:szCs w:val="21"/>
                      <w14:textFill>
                        <w14:solidFill>
                          <w14:schemeClr w14:val="tx1"/>
                        </w14:solidFill>
                      </w14:textFill>
                    </w:rPr>
                    <w:t>标准值</w:t>
                  </w:r>
                  <w:r>
                    <w:rPr>
                      <w:rFonts w:hint="eastAsia"/>
                      <w:b w:val="0"/>
                      <w:bCs w:val="0"/>
                      <w:color w:val="000000" w:themeColor="text1"/>
                      <w:sz w:val="21"/>
                      <w:szCs w:val="21"/>
                      <w:lang w:eastAsia="zh-CN"/>
                      <w14:textFill>
                        <w14:solidFill>
                          <w14:schemeClr w14:val="tx1"/>
                        </w14:solidFill>
                      </w14:textFill>
                    </w:rPr>
                    <w:t>（</w:t>
                  </w:r>
                  <w:r>
                    <w:rPr>
                      <w:b w:val="0"/>
                      <w:bCs w:val="0"/>
                      <w:color w:val="000000" w:themeColor="text1"/>
                      <w:sz w:val="21"/>
                      <w:szCs w:val="21"/>
                      <w14:textFill>
                        <w14:solidFill>
                          <w14:schemeClr w14:val="tx1"/>
                        </w14:solidFill>
                      </w14:textFill>
                    </w:rPr>
                    <w:t>μg/m</w:t>
                  </w:r>
                  <w:r>
                    <w:rPr>
                      <w:b w:val="0"/>
                      <w:bCs w:val="0"/>
                      <w:color w:val="000000" w:themeColor="text1"/>
                      <w:sz w:val="21"/>
                      <w:szCs w:val="21"/>
                      <w:vertAlign w:val="superscript"/>
                      <w14:textFill>
                        <w14:solidFill>
                          <w14:schemeClr w14:val="tx1"/>
                        </w14:solidFill>
                      </w14:textFill>
                    </w:rPr>
                    <w:t>3</w:t>
                  </w:r>
                  <w:r>
                    <w:rPr>
                      <w:rFonts w:hint="eastAsia"/>
                      <w:b w:val="0"/>
                      <w:bCs w:val="0"/>
                      <w:color w:val="000000" w:themeColor="text1"/>
                      <w:sz w:val="21"/>
                      <w:szCs w:val="21"/>
                      <w:lang w:eastAsia="zh-CN"/>
                      <w14:textFill>
                        <w14:solidFill>
                          <w14:schemeClr w14:val="tx1"/>
                        </w14:solidFill>
                      </w14:textFill>
                    </w:rPr>
                    <w:t>）</w:t>
                  </w:r>
                </w:p>
              </w:tc>
              <w:tc>
                <w:tcPr>
                  <w:tcW w:w="876" w:type="dxa"/>
                  <w:noWrap w:val="0"/>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0</w:t>
                  </w:r>
                </w:p>
              </w:tc>
              <w:tc>
                <w:tcPr>
                  <w:tcW w:w="854" w:type="dxa"/>
                  <w:noWrap w:val="0"/>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40</w:t>
                  </w:r>
                </w:p>
              </w:tc>
              <w:tc>
                <w:tcPr>
                  <w:tcW w:w="854" w:type="dxa"/>
                  <w:noWrap w:val="0"/>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70</w:t>
                  </w:r>
                </w:p>
              </w:tc>
              <w:tc>
                <w:tcPr>
                  <w:tcW w:w="889" w:type="dxa"/>
                  <w:noWrap w:val="0"/>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35</w:t>
                  </w:r>
                </w:p>
              </w:tc>
              <w:tc>
                <w:tcPr>
                  <w:tcW w:w="1096" w:type="dxa"/>
                  <w:noWrap w:val="0"/>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4000</w:t>
                  </w:r>
                </w:p>
              </w:tc>
              <w:tc>
                <w:tcPr>
                  <w:tcW w:w="1081" w:type="dxa"/>
                  <w:noWrap w:val="0"/>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160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vMerge w:val="continue"/>
                  <w:noWrap w:val="0"/>
                  <w:vAlign w:val="center"/>
                </w:tcPr>
                <w:p>
                  <w:pPr>
                    <w:jc w:val="center"/>
                    <w:rPr>
                      <w:color w:val="000000" w:themeColor="text1"/>
                      <w14:textFill>
                        <w14:solidFill>
                          <w14:schemeClr w14:val="tx1"/>
                        </w14:solidFill>
                      </w14:textFill>
                    </w:rPr>
                  </w:pPr>
                </w:p>
              </w:tc>
              <w:tc>
                <w:tcPr>
                  <w:tcW w:w="1238" w:type="dxa"/>
                  <w:noWrap w:val="0"/>
                  <w:vAlign w:val="center"/>
                </w:tcPr>
                <w:p>
                  <w:pPr>
                    <w:jc w:val="center"/>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最大</w:t>
                  </w:r>
                </w:p>
                <w:p>
                  <w:pPr>
                    <w:jc w:val="center"/>
                    <w:rPr>
                      <w:rFonts w:hint="eastAsia" w:eastAsia="宋体"/>
                      <w:b w:val="0"/>
                      <w:bCs w:val="0"/>
                      <w:color w:val="000000" w:themeColor="text1"/>
                      <w:sz w:val="21"/>
                      <w:szCs w:val="21"/>
                      <w:lang w:eastAsia="zh-CN"/>
                      <w14:textFill>
                        <w14:solidFill>
                          <w14:schemeClr w14:val="tx1"/>
                        </w14:solidFill>
                      </w14:textFill>
                    </w:rPr>
                  </w:pPr>
                  <w:r>
                    <w:rPr>
                      <w:b w:val="0"/>
                      <w:bCs w:val="0"/>
                      <w:color w:val="000000" w:themeColor="text1"/>
                      <w:sz w:val="21"/>
                      <w:szCs w:val="21"/>
                      <w14:textFill>
                        <w14:solidFill>
                          <w14:schemeClr w14:val="tx1"/>
                        </w14:solidFill>
                      </w14:textFill>
                    </w:rPr>
                    <w:t>占标率</w:t>
                  </w:r>
                  <w:r>
                    <w:rPr>
                      <w:rFonts w:hint="eastAsia"/>
                      <w:b w:val="0"/>
                      <w:bCs w:val="0"/>
                      <w:color w:val="000000" w:themeColor="text1"/>
                      <w:sz w:val="21"/>
                      <w:szCs w:val="21"/>
                      <w:lang w:eastAsia="zh-CN"/>
                      <w14:textFill>
                        <w14:solidFill>
                          <w14:schemeClr w14:val="tx1"/>
                        </w14:solidFill>
                      </w14:textFill>
                    </w:rPr>
                    <w:t>（</w:t>
                  </w:r>
                  <w:r>
                    <w:rPr>
                      <w:rFonts w:hint="eastAsia"/>
                      <w:b w:val="0"/>
                      <w:bCs w:val="0"/>
                      <w:color w:val="000000" w:themeColor="text1"/>
                      <w:sz w:val="21"/>
                      <w:szCs w:val="21"/>
                      <w:lang w:val="en-US" w:eastAsia="zh-CN"/>
                      <w14:textFill>
                        <w14:solidFill>
                          <w14:schemeClr w14:val="tx1"/>
                        </w14:solidFill>
                      </w14:textFill>
                    </w:rPr>
                    <w:t>%</w:t>
                  </w:r>
                  <w:r>
                    <w:rPr>
                      <w:rFonts w:hint="eastAsia"/>
                      <w:b w:val="0"/>
                      <w:bCs w:val="0"/>
                      <w:color w:val="000000" w:themeColor="text1"/>
                      <w:sz w:val="21"/>
                      <w:szCs w:val="21"/>
                      <w:lang w:eastAsia="zh-CN"/>
                      <w14:textFill>
                        <w14:solidFill>
                          <w14:schemeClr w14:val="tx1"/>
                        </w14:solidFill>
                      </w14:textFill>
                    </w:rPr>
                    <w:t>）</w:t>
                  </w:r>
                </w:p>
              </w:tc>
              <w:tc>
                <w:tcPr>
                  <w:tcW w:w="876" w:type="dxa"/>
                  <w:noWrap w:val="0"/>
                  <w:vAlign w:val="center"/>
                </w:tcPr>
                <w:p>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854" w:type="dxa"/>
                  <w:noWrap w:val="0"/>
                  <w:vAlign w:val="center"/>
                </w:tcPr>
                <w:p>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854" w:type="dxa"/>
                  <w:noWrap w:val="0"/>
                  <w:vAlign w:val="center"/>
                </w:tcPr>
                <w:p>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889" w:type="dxa"/>
                  <w:noWrap w:val="0"/>
                  <w:vAlign w:val="center"/>
                </w:tcPr>
                <w:p>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1096" w:type="dxa"/>
                  <w:noWrap w:val="0"/>
                  <w:vAlign w:val="center"/>
                </w:tcPr>
                <w:p>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1081" w:type="dxa"/>
                  <w:noWrap w:val="0"/>
                  <w:vAlign w:val="center"/>
                </w:tcPr>
                <w:p>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vMerge w:val="continue"/>
                  <w:noWrap w:val="0"/>
                  <w:vAlign w:val="center"/>
                </w:tcPr>
                <w:p>
                  <w:pPr>
                    <w:jc w:val="center"/>
                    <w:rPr>
                      <w:color w:val="000000" w:themeColor="text1"/>
                      <w14:textFill>
                        <w14:solidFill>
                          <w14:schemeClr w14:val="tx1"/>
                        </w14:solidFill>
                      </w14:textFill>
                    </w:rPr>
                  </w:pPr>
                </w:p>
              </w:tc>
              <w:tc>
                <w:tcPr>
                  <w:tcW w:w="1238" w:type="dxa"/>
                  <w:noWrap w:val="0"/>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达标情况</w:t>
                  </w:r>
                </w:p>
              </w:tc>
              <w:tc>
                <w:tcPr>
                  <w:tcW w:w="876" w:type="dxa"/>
                  <w:noWrap w:val="0"/>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达标</w:t>
                  </w:r>
                </w:p>
              </w:tc>
              <w:tc>
                <w:tcPr>
                  <w:tcW w:w="854" w:type="dxa"/>
                  <w:noWrap w:val="0"/>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达标</w:t>
                  </w:r>
                </w:p>
              </w:tc>
              <w:tc>
                <w:tcPr>
                  <w:tcW w:w="854" w:type="dxa"/>
                  <w:noWrap w:val="0"/>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达标</w:t>
                  </w:r>
                </w:p>
              </w:tc>
              <w:tc>
                <w:tcPr>
                  <w:tcW w:w="889" w:type="dxa"/>
                  <w:noWrap w:val="0"/>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达标</w:t>
                  </w:r>
                </w:p>
              </w:tc>
              <w:tc>
                <w:tcPr>
                  <w:tcW w:w="1096" w:type="dxa"/>
                  <w:noWrap w:val="0"/>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达标</w:t>
                  </w:r>
                </w:p>
              </w:tc>
              <w:tc>
                <w:tcPr>
                  <w:tcW w:w="1081" w:type="dxa"/>
                  <w:noWrap w:val="0"/>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达标</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由表</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3-2</w:t>
            </w:r>
            <w:r>
              <w:rPr>
                <w:rFonts w:hint="default" w:ascii="Times New Roman" w:hAnsi="Times New Roman" w:eastAsia="宋体" w:cs="Times New Roman"/>
                <w:color w:val="000000" w:themeColor="text1"/>
                <w:kern w:val="0"/>
                <w:sz w:val="24"/>
                <w14:textFill>
                  <w14:solidFill>
                    <w14:schemeClr w14:val="tx1"/>
                  </w14:solidFill>
                </w14:textFill>
              </w:rPr>
              <w:t>可知</w:t>
            </w:r>
            <w:r>
              <w:rPr>
                <w:rFonts w:hint="default" w:ascii="Times New Roman" w:hAnsi="Times New Roman" w:cs="Times New Roman"/>
                <w:bCs/>
                <w:color w:val="000000" w:themeColor="text1"/>
                <w:sz w:val="24"/>
                <w:szCs w:val="20"/>
                <w14:textFill>
                  <w14:solidFill>
                    <w14:schemeClr w14:val="tx1"/>
                  </w14:solidFill>
                </w14:textFill>
              </w:rPr>
              <w:t>本项目所在区域监测因子SO</w:t>
            </w:r>
            <w:r>
              <w:rPr>
                <w:rFonts w:hint="default" w:ascii="Times New Roman" w:hAnsi="Times New Roman" w:cs="Times New Roman"/>
                <w:bCs/>
                <w:color w:val="000000" w:themeColor="text1"/>
                <w:sz w:val="24"/>
                <w:szCs w:val="20"/>
                <w:vertAlign w:val="subscript"/>
                <w14:textFill>
                  <w14:solidFill>
                    <w14:schemeClr w14:val="tx1"/>
                  </w14:solidFill>
                </w14:textFill>
              </w:rPr>
              <w:t>2</w:t>
            </w:r>
            <w:r>
              <w:rPr>
                <w:rFonts w:hint="default" w:ascii="Times New Roman" w:hAnsi="Times New Roman" w:cs="Times New Roman"/>
                <w:bCs/>
                <w:color w:val="000000" w:themeColor="text1"/>
                <w:sz w:val="24"/>
                <w:szCs w:val="20"/>
                <w14:textFill>
                  <w14:solidFill>
                    <w14:schemeClr w14:val="tx1"/>
                  </w14:solidFill>
                </w14:textFill>
              </w:rPr>
              <w:t>、NO</w:t>
            </w:r>
            <w:r>
              <w:rPr>
                <w:rFonts w:hint="default" w:ascii="Times New Roman" w:hAnsi="Times New Roman" w:cs="Times New Roman"/>
                <w:bCs/>
                <w:color w:val="000000" w:themeColor="text1"/>
                <w:sz w:val="24"/>
                <w:szCs w:val="20"/>
                <w:vertAlign w:val="subscript"/>
                <w14:textFill>
                  <w14:solidFill>
                    <w14:schemeClr w14:val="tx1"/>
                  </w14:solidFill>
                </w14:textFill>
              </w:rPr>
              <w:t>2</w:t>
            </w:r>
            <w:r>
              <w:rPr>
                <w:rFonts w:hint="default" w:ascii="Times New Roman" w:hAnsi="Times New Roman" w:cs="Times New Roman"/>
                <w:bCs/>
                <w:color w:val="000000" w:themeColor="text1"/>
                <w:sz w:val="24"/>
                <w:szCs w:val="20"/>
                <w14:textFill>
                  <w14:solidFill>
                    <w14:schemeClr w14:val="tx1"/>
                  </w14:solidFill>
                </w14:textFill>
              </w:rPr>
              <w:t>、PM</w:t>
            </w:r>
            <w:r>
              <w:rPr>
                <w:rFonts w:hint="default" w:ascii="Times New Roman" w:hAnsi="Times New Roman" w:cs="Times New Roman"/>
                <w:bCs/>
                <w:color w:val="000000" w:themeColor="text1"/>
                <w:sz w:val="24"/>
                <w:szCs w:val="20"/>
                <w:vertAlign w:val="subscript"/>
                <w14:textFill>
                  <w14:solidFill>
                    <w14:schemeClr w14:val="tx1"/>
                  </w14:solidFill>
                </w14:textFill>
              </w:rPr>
              <w:t>2.5</w:t>
            </w:r>
            <w:r>
              <w:rPr>
                <w:rFonts w:hint="default" w:ascii="Times New Roman" w:hAnsi="Times New Roman" w:cs="Times New Roman"/>
                <w:bCs/>
                <w:color w:val="000000" w:themeColor="text1"/>
                <w:sz w:val="24"/>
                <w:szCs w:val="20"/>
                <w14:textFill>
                  <w14:solidFill>
                    <w14:schemeClr w14:val="tx1"/>
                  </w14:solidFill>
                </w14:textFill>
              </w:rPr>
              <w:t>、PM</w:t>
            </w:r>
            <w:r>
              <w:rPr>
                <w:rFonts w:hint="default" w:ascii="Times New Roman" w:hAnsi="Times New Roman" w:cs="Times New Roman"/>
                <w:bCs/>
                <w:color w:val="000000" w:themeColor="text1"/>
                <w:sz w:val="24"/>
                <w:szCs w:val="20"/>
                <w:vertAlign w:val="subscript"/>
                <w14:textFill>
                  <w14:solidFill>
                    <w14:schemeClr w14:val="tx1"/>
                  </w14:solidFill>
                </w14:textFill>
              </w:rPr>
              <w:t>10</w:t>
            </w:r>
            <w:r>
              <w:rPr>
                <w:rFonts w:hint="default" w:ascii="Times New Roman" w:hAnsi="Times New Roman" w:cs="Times New Roman"/>
                <w:bCs/>
                <w:color w:val="000000" w:themeColor="text1"/>
                <w:sz w:val="24"/>
                <w:szCs w:val="20"/>
                <w14:textFill>
                  <w14:solidFill>
                    <w14:schemeClr w14:val="tx1"/>
                  </w14:solidFill>
                </w14:textFill>
              </w:rPr>
              <w:t>、C</w:t>
            </w:r>
            <w:r>
              <w:rPr>
                <w:rFonts w:hint="default" w:ascii="Times New Roman" w:hAnsi="Times New Roman" w:cs="Times New Roman"/>
                <w:bCs/>
                <w:color w:val="000000" w:themeColor="text1"/>
                <w:sz w:val="24"/>
                <w14:textFill>
                  <w14:solidFill>
                    <w14:schemeClr w14:val="tx1"/>
                  </w14:solidFill>
                </w14:textFill>
              </w:rPr>
              <w:t>O、</w:t>
            </w:r>
            <w:r>
              <w:rPr>
                <w:rFonts w:hint="default" w:ascii="Times New Roman" w:hAnsi="Times New Roman" w:cs="Times New Roman"/>
                <w:color w:val="000000" w:themeColor="text1"/>
                <w:sz w:val="24"/>
                <w14:textFill>
                  <w14:solidFill>
                    <w14:schemeClr w14:val="tx1"/>
                  </w14:solidFill>
                </w14:textFill>
              </w:rPr>
              <w:t>O</w:t>
            </w:r>
            <w:r>
              <w:rPr>
                <w:rFonts w:hint="default" w:ascii="Times New Roman" w:hAnsi="Times New Roman" w:cs="Times New Roman"/>
                <w:color w:val="000000" w:themeColor="text1"/>
                <w:sz w:val="24"/>
                <w:vertAlign w:val="subscript"/>
                <w14:textFill>
                  <w14:solidFill>
                    <w14:schemeClr w14:val="tx1"/>
                  </w14:solidFill>
                </w14:textFill>
              </w:rPr>
              <w:t>3</w:t>
            </w:r>
            <w:r>
              <w:rPr>
                <w:rFonts w:hint="default" w:ascii="Times New Roman" w:hAnsi="Times New Roman" w:cs="Times New Roman"/>
                <w:bCs/>
                <w:color w:val="000000" w:themeColor="text1"/>
                <w:sz w:val="24"/>
                <w:szCs w:val="20"/>
                <w14:textFill>
                  <w14:solidFill>
                    <w14:schemeClr w14:val="tx1"/>
                  </w14:solidFill>
                </w14:textFill>
              </w:rPr>
              <w:t>年评价指标满足《环境空气质量标准》（GB 3095-2012）二级标准要求</w:t>
            </w:r>
            <w:r>
              <w:rPr>
                <w:rFonts w:hint="default" w:ascii="Times New Roman" w:hAnsi="Times New Roman" w:cs="Times New Roman"/>
                <w:bCs/>
                <w:color w:val="000000" w:themeColor="text1"/>
                <w:sz w:val="24"/>
                <w:szCs w:val="20"/>
                <w:lang w:eastAsia="zh-CN"/>
                <w14:textFill>
                  <w14:solidFill>
                    <w14:schemeClr w14:val="tx1"/>
                  </w14:solidFill>
                </w14:textFill>
              </w:rPr>
              <w:t>，</w:t>
            </w:r>
            <w:r>
              <w:rPr>
                <w:rFonts w:hint="default" w:ascii="Times New Roman" w:hAnsi="Times New Roman" w:cs="Times New Roman"/>
                <w:bCs/>
                <w:color w:val="000000" w:themeColor="text1"/>
                <w:sz w:val="24"/>
                <w:szCs w:val="20"/>
                <w:lang w:val="en-US" w:eastAsia="zh-CN"/>
                <w14:textFill>
                  <w14:solidFill>
                    <w14:schemeClr w14:val="tx1"/>
                  </w14:solidFill>
                </w14:textFill>
              </w:rPr>
              <w:t>属于达标区</w:t>
            </w:r>
            <w:r>
              <w:rPr>
                <w:rFonts w:hint="default" w:ascii="Times New Roman" w:hAnsi="Times New Roman" w:eastAsia="宋体" w:cs="Times New Roman"/>
                <w:color w:val="000000" w:themeColor="text1"/>
                <w:kern w:val="0"/>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lang w:eastAsia="zh-CN"/>
                <w14:textFill>
                  <w14:solidFill>
                    <w14:schemeClr w14:val="tx1"/>
                  </w14:solidFill>
                </w14:textFill>
              </w:rPr>
              <w:t>（</w:t>
            </w:r>
            <w:r>
              <w:rPr>
                <w:rFonts w:hint="default" w:ascii="Times New Roman" w:hAnsi="Times New Roman" w:cs="Times New Roman"/>
                <w:color w:val="000000" w:themeColor="text1"/>
                <w:kern w:val="0"/>
                <w:sz w:val="24"/>
                <w:lang w:val="en-US" w:eastAsia="zh-CN"/>
                <w14:textFill>
                  <w14:solidFill>
                    <w14:schemeClr w14:val="tx1"/>
                  </w14:solidFill>
                </w14:textFill>
              </w:rPr>
              <w:t>2</w:t>
            </w:r>
            <w:r>
              <w:rPr>
                <w:rFonts w:hint="default" w:ascii="Times New Roman" w:hAnsi="Times New Roman"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水环境</w:t>
            </w:r>
          </w:p>
          <w:p>
            <w:pPr>
              <w:keepNext w:val="0"/>
              <w:keepLines w:val="0"/>
              <w:pageBreakBefore w:val="0"/>
              <w:widowControl w:val="0"/>
              <w:tabs>
                <w:tab w:val="left" w:pos="4057"/>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000000" w:themeColor="text1"/>
                <w:sz w:val="24"/>
                <w:szCs w:val="20"/>
                <w14:textFill>
                  <w14:solidFill>
                    <w14:schemeClr w14:val="tx1"/>
                  </w14:solidFill>
                </w14:textFill>
              </w:rPr>
            </w:pPr>
            <w:r>
              <w:rPr>
                <w:rFonts w:hint="default" w:ascii="Times New Roman" w:hAnsi="Times New Roman" w:cs="Times New Roman"/>
                <w:bCs/>
                <w:color w:val="000000" w:themeColor="text1"/>
                <w:sz w:val="24"/>
                <w:szCs w:val="20"/>
                <w14:textFill>
                  <w14:solidFill>
                    <w14:schemeClr w14:val="tx1"/>
                  </w14:solidFill>
                </w14:textFill>
              </w:rPr>
              <w:t>本项目</w:t>
            </w:r>
            <w:r>
              <w:rPr>
                <w:rFonts w:hint="default" w:ascii="Times New Roman" w:hAnsi="Times New Roman" w:cs="Times New Roman"/>
                <w:bCs/>
                <w:color w:val="000000" w:themeColor="text1"/>
                <w:sz w:val="24"/>
                <w:szCs w:val="20"/>
                <w:lang w:val="en-US" w:eastAsia="zh-CN"/>
                <w14:textFill>
                  <w14:solidFill>
                    <w14:schemeClr w14:val="tx1"/>
                  </w14:solidFill>
                </w14:textFill>
              </w:rPr>
              <w:t>所在区域</w:t>
            </w:r>
            <w:r>
              <w:rPr>
                <w:rFonts w:hint="default" w:ascii="Times New Roman" w:hAnsi="Times New Roman" w:eastAsia="宋体" w:cs="Times New Roman"/>
                <w:color w:val="000000" w:themeColor="text1"/>
                <w:kern w:val="0"/>
                <w:sz w:val="24"/>
                <w14:textFill>
                  <w14:solidFill>
                    <w14:schemeClr w14:val="tx1"/>
                  </w14:solidFill>
                </w14:textFill>
              </w:rPr>
              <w:t>的地表水流域</w:t>
            </w:r>
            <w:r>
              <w:rPr>
                <w:rFonts w:hint="default" w:ascii="Times New Roman" w:hAnsi="Times New Roman" w:cs="Times New Roman"/>
                <w:color w:val="000000" w:themeColor="text1"/>
                <w:kern w:val="0"/>
                <w:sz w:val="24"/>
                <w:lang w:val="en-US" w:eastAsia="zh-CN"/>
                <w14:textFill>
                  <w14:solidFill>
                    <w14:schemeClr w14:val="tx1"/>
                  </w14:solidFill>
                </w14:textFill>
              </w:rPr>
              <w:t>主要为千</w:t>
            </w:r>
            <w:r>
              <w:rPr>
                <w:rFonts w:hint="default" w:ascii="Times New Roman" w:hAnsi="Times New Roman" w:eastAsia="宋体" w:cs="Times New Roman"/>
                <w:bCs/>
                <w:color w:val="000000" w:themeColor="text1"/>
                <w:sz w:val="24"/>
                <w:szCs w:val="20"/>
                <w14:textFill>
                  <w14:solidFill>
                    <w14:schemeClr w14:val="tx1"/>
                  </w14:solidFill>
                </w14:textFill>
              </w:rPr>
              <w:t>河。</w:t>
            </w:r>
            <w:r>
              <w:rPr>
                <w:bCs/>
                <w:color w:val="000000" w:themeColor="text1"/>
                <w:sz w:val="24"/>
                <w:szCs w:val="20"/>
                <w14:textFill>
                  <w14:solidFill>
                    <w14:schemeClr w14:val="tx1"/>
                  </w14:solidFill>
                </w14:textFill>
              </w:rPr>
              <w:t>本次评价引用宝鸡市生态环境局发布的</w:t>
            </w:r>
            <w:r>
              <w:rPr>
                <w:rFonts w:hint="default" w:ascii="Times New Roman" w:hAnsi="Times New Roman" w:cs="Times New Roman"/>
                <w:bCs/>
                <w:color w:val="000000" w:themeColor="text1"/>
                <w:sz w:val="24"/>
                <w:szCs w:val="20"/>
                <w14:textFill>
                  <w14:solidFill>
                    <w14:schemeClr w14:val="tx1"/>
                  </w14:solidFill>
                </w14:textFill>
              </w:rPr>
              <w:t>《202</w:t>
            </w:r>
            <w:r>
              <w:rPr>
                <w:rFonts w:hint="default" w:ascii="Times New Roman" w:hAnsi="Times New Roman" w:cs="Times New Roman"/>
                <w:bCs/>
                <w:color w:val="000000" w:themeColor="text1"/>
                <w:sz w:val="24"/>
                <w:szCs w:val="20"/>
                <w:lang w:val="en-US" w:eastAsia="zh-CN"/>
                <w14:textFill>
                  <w14:solidFill>
                    <w14:schemeClr w14:val="tx1"/>
                  </w14:solidFill>
                </w14:textFill>
              </w:rPr>
              <w:t>1</w:t>
            </w:r>
            <w:r>
              <w:rPr>
                <w:rFonts w:hint="default" w:ascii="Times New Roman" w:hAnsi="Times New Roman" w:cs="Times New Roman"/>
                <w:bCs/>
                <w:color w:val="000000" w:themeColor="text1"/>
                <w:sz w:val="24"/>
                <w:szCs w:val="20"/>
                <w14:textFill>
                  <w14:solidFill>
                    <w14:schemeClr w14:val="tx1"/>
                  </w14:solidFill>
                </w14:textFill>
              </w:rPr>
              <w:t>年宝鸡市环境质量公报》</w:t>
            </w:r>
            <w:r>
              <w:rPr>
                <w:bCs/>
                <w:color w:val="000000" w:themeColor="text1"/>
                <w:sz w:val="24"/>
                <w:szCs w:val="20"/>
                <w14:textFill>
                  <w14:solidFill>
                    <w14:schemeClr w14:val="tx1"/>
                  </w14:solidFill>
                </w14:textFill>
              </w:rPr>
              <w:t>中</w:t>
            </w:r>
            <w:r>
              <w:rPr>
                <w:rFonts w:hint="eastAsia"/>
                <w:bCs/>
                <w:color w:val="000000" w:themeColor="text1"/>
                <w:sz w:val="24"/>
                <w14:textFill>
                  <w14:solidFill>
                    <w14:schemeClr w14:val="tx1"/>
                  </w14:solidFill>
                </w14:textFill>
              </w:rPr>
              <w:t>千陇交界（水沟桥）</w:t>
            </w:r>
            <w:r>
              <w:rPr>
                <w:bCs/>
                <w:color w:val="000000" w:themeColor="text1"/>
                <w:sz w:val="24"/>
                <w:szCs w:val="20"/>
                <w14:textFill>
                  <w14:solidFill>
                    <w14:schemeClr w14:val="tx1"/>
                  </w14:solidFill>
                </w14:textFill>
              </w:rPr>
              <w:t>断面</w:t>
            </w:r>
            <w:r>
              <w:rPr>
                <w:rFonts w:hint="eastAsia"/>
                <w:bCs/>
                <w:color w:val="000000" w:themeColor="text1"/>
                <w:sz w:val="24"/>
                <w:szCs w:val="20"/>
                <w:lang w:val="en-US" w:eastAsia="zh-CN"/>
                <w14:textFill>
                  <w14:solidFill>
                    <w14:schemeClr w14:val="tx1"/>
                  </w14:solidFill>
                </w14:textFill>
              </w:rPr>
              <w:t>和千湖（冯家山水库）</w:t>
            </w:r>
            <w:r>
              <w:rPr>
                <w:bCs/>
                <w:color w:val="000000" w:themeColor="text1"/>
                <w:sz w:val="24"/>
                <w:szCs w:val="20"/>
                <w14:textFill>
                  <w14:solidFill>
                    <w14:schemeClr w14:val="tx1"/>
                  </w14:solidFill>
                </w14:textFill>
              </w:rPr>
              <w:t>的监测数据</w:t>
            </w:r>
            <w:r>
              <w:rPr>
                <w:rFonts w:hint="default" w:ascii="Times New Roman" w:hAnsi="Times New Roman" w:cs="Times New Roman"/>
                <w:bCs/>
                <w:color w:val="000000" w:themeColor="text1"/>
                <w:sz w:val="24"/>
                <w:szCs w:val="20"/>
                <w14:textFill>
                  <w14:solidFill>
                    <w14:schemeClr w14:val="tx1"/>
                  </w14:solidFill>
                </w14:textFill>
              </w:rPr>
              <w:t>。</w:t>
            </w:r>
            <w:r>
              <w:rPr>
                <w:bCs/>
                <w:color w:val="000000" w:themeColor="text1"/>
                <w:sz w:val="24"/>
                <w:szCs w:val="20"/>
                <w14:textFill>
                  <w14:solidFill>
                    <w14:schemeClr w14:val="tx1"/>
                  </w14:solidFill>
                </w14:textFill>
              </w:rPr>
              <w:t>本次引用监测数据的监测时间为202</w:t>
            </w:r>
            <w:r>
              <w:rPr>
                <w:rFonts w:hint="eastAsia"/>
                <w:bCs/>
                <w:color w:val="000000" w:themeColor="text1"/>
                <w:sz w:val="24"/>
                <w:szCs w:val="20"/>
                <w:lang w:val="en-US" w:eastAsia="zh-CN"/>
                <w14:textFill>
                  <w14:solidFill>
                    <w14:schemeClr w14:val="tx1"/>
                  </w14:solidFill>
                </w14:textFill>
              </w:rPr>
              <w:t>1</w:t>
            </w:r>
            <w:r>
              <w:rPr>
                <w:bCs/>
                <w:color w:val="000000" w:themeColor="text1"/>
                <w:sz w:val="24"/>
                <w:szCs w:val="20"/>
                <w14:textFill>
                  <w14:solidFill>
                    <w14:schemeClr w14:val="tx1"/>
                  </w14:solidFill>
                </w14:textFill>
              </w:rPr>
              <w:t>年，监测期至今没有重大污染源排放导致水体水质变化，因此本项目引用数据具有一定的代表性、有效性</w:t>
            </w:r>
            <w:r>
              <w:rPr>
                <w:rFonts w:hint="default" w:ascii="Times New Roman" w:hAnsi="Times New Roman" w:cs="Times New Roman"/>
                <w:bCs/>
                <w:color w:val="000000" w:themeColor="text1"/>
                <w:sz w:val="24"/>
                <w:szCs w:val="20"/>
                <w14:textFill>
                  <w14:solidFill>
                    <w14:schemeClr w14:val="tx1"/>
                  </w14:solidFill>
                </w14:textFill>
              </w:rPr>
              <w:t>。监测结果见表</w:t>
            </w:r>
            <w:r>
              <w:rPr>
                <w:rFonts w:hint="default" w:ascii="Times New Roman" w:hAnsi="Times New Roman" w:cs="Times New Roman"/>
                <w:bCs/>
                <w:color w:val="000000" w:themeColor="text1"/>
                <w:sz w:val="24"/>
                <w:szCs w:val="20"/>
                <w:lang w:val="en-US" w:eastAsia="zh-CN"/>
                <w14:textFill>
                  <w14:solidFill>
                    <w14:schemeClr w14:val="tx1"/>
                  </w14:solidFill>
                </w14:textFill>
              </w:rPr>
              <w:t>3</w:t>
            </w:r>
            <w:r>
              <w:rPr>
                <w:rFonts w:hint="default" w:ascii="Times New Roman" w:hAnsi="Times New Roman" w:cs="Times New Roman"/>
                <w:bCs/>
                <w:color w:val="000000" w:themeColor="text1"/>
                <w:sz w:val="24"/>
                <w:szCs w:val="20"/>
                <w14:textFill>
                  <w14:solidFill>
                    <w14:schemeClr w14:val="tx1"/>
                  </w14:solidFill>
                </w14:textFill>
              </w:rPr>
              <w:t>-</w:t>
            </w:r>
            <w:r>
              <w:rPr>
                <w:rFonts w:hint="eastAsia" w:cs="Times New Roman"/>
                <w:bCs/>
                <w:color w:val="000000" w:themeColor="text1"/>
                <w:sz w:val="24"/>
                <w:szCs w:val="20"/>
                <w:lang w:val="en-US" w:eastAsia="zh-CN"/>
                <w14:textFill>
                  <w14:solidFill>
                    <w14:schemeClr w14:val="tx1"/>
                  </w14:solidFill>
                </w14:textFill>
              </w:rPr>
              <w:t>3</w:t>
            </w:r>
            <w:r>
              <w:rPr>
                <w:rFonts w:hint="default" w:ascii="Times New Roman" w:hAnsi="Times New Roman" w:cs="Times New Roman"/>
                <w:bCs/>
                <w:color w:val="000000" w:themeColor="text1"/>
                <w:sz w:val="24"/>
                <w:szCs w:val="20"/>
                <w14:textFill>
                  <w14:solidFill>
                    <w14:schemeClr w14:val="tx1"/>
                  </w14:solidFill>
                </w14:textFill>
              </w:rPr>
              <w:t>。</w:t>
            </w:r>
          </w:p>
          <w:p>
            <w:pPr>
              <w:jc w:val="center"/>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表</w:t>
            </w:r>
            <w:r>
              <w:rPr>
                <w:rFonts w:hint="default" w:ascii="Times New Roman" w:hAnsi="Times New Roman" w:cs="Times New Roman"/>
                <w:b/>
                <w:bCs/>
                <w:color w:val="000000" w:themeColor="text1"/>
                <w:sz w:val="24"/>
                <w:lang w:val="en-US" w:eastAsia="zh-CN"/>
                <w14:textFill>
                  <w14:solidFill>
                    <w14:schemeClr w14:val="tx1"/>
                  </w14:solidFill>
                </w14:textFill>
              </w:rPr>
              <w:t>3</w:t>
            </w:r>
            <w:r>
              <w:rPr>
                <w:rFonts w:hint="default" w:ascii="Times New Roman" w:hAnsi="Times New Roman" w:cs="Times New Roman"/>
                <w:b/>
                <w:bCs/>
                <w:color w:val="000000" w:themeColor="text1"/>
                <w:sz w:val="24"/>
                <w14:textFill>
                  <w14:solidFill>
                    <w14:schemeClr w14:val="tx1"/>
                  </w14:solidFill>
                </w14:textFill>
              </w:rPr>
              <w:t>-</w:t>
            </w:r>
            <w:r>
              <w:rPr>
                <w:rFonts w:hint="eastAsia" w:cs="Times New Roman"/>
                <w:b/>
                <w:bCs/>
                <w:color w:val="000000" w:themeColor="text1"/>
                <w:sz w:val="24"/>
                <w:lang w:val="en-US" w:eastAsia="zh-CN"/>
                <w14:textFill>
                  <w14:solidFill>
                    <w14:schemeClr w14:val="tx1"/>
                  </w14:solidFill>
                </w14:textFill>
              </w:rPr>
              <w:t>3</w:t>
            </w:r>
            <w:r>
              <w:rPr>
                <w:rFonts w:hint="default" w:ascii="Times New Roman" w:hAnsi="Times New Roman" w:cs="Times New Roman"/>
                <w:b/>
                <w:bCs/>
                <w:color w:val="000000" w:themeColor="text1"/>
                <w:sz w:val="24"/>
                <w14:textFill>
                  <w14:solidFill>
                    <w14:schemeClr w14:val="tx1"/>
                  </w14:solidFill>
                </w14:textFill>
              </w:rPr>
              <w:t xml:space="preserve">  地表水水质监测结果统计表 </w:t>
            </w:r>
            <w:r>
              <w:rPr>
                <w:rFonts w:hint="default" w:ascii="Times New Roman" w:hAnsi="Times New Roman" w:cs="Times New Roman"/>
                <w:b/>
                <w:bCs/>
                <w:color w:val="000000" w:themeColor="text1"/>
                <w:szCs w:val="21"/>
                <w14:textFill>
                  <w14:solidFill>
                    <w14:schemeClr w14:val="tx1"/>
                  </w14:solidFill>
                </w14:textFill>
              </w:rPr>
              <w:t xml:space="preserve"> 单位：mg/L（除pH、大肠菌群外）</w:t>
            </w:r>
          </w:p>
          <w:tbl>
            <w:tblPr>
              <w:tblStyle w:val="22"/>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66"/>
              <w:gridCol w:w="727"/>
              <w:gridCol w:w="891"/>
              <w:gridCol w:w="891"/>
              <w:gridCol w:w="891"/>
              <w:gridCol w:w="891"/>
              <w:gridCol w:w="891"/>
              <w:gridCol w:w="891"/>
              <w:gridCol w:w="89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blHeader/>
                <w:jc w:val="center"/>
              </w:trPr>
              <w:tc>
                <w:tcPr>
                  <w:tcW w:w="1067" w:type="dxa"/>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Cs w:val="21"/>
                      <w:lang w:bidi="ar"/>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断面名称</w:t>
                  </w:r>
                </w:p>
              </w:tc>
              <w:tc>
                <w:tcPr>
                  <w:tcW w:w="72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Cs w:val="21"/>
                      <w:lang w:bidi="ar"/>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断面类别</w:t>
                  </w:r>
                </w:p>
              </w:tc>
              <w:tc>
                <w:tcPr>
                  <w:tcW w:w="891" w:type="dxa"/>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Cs w:val="21"/>
                      <w:lang w:bidi="ar"/>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COD</w:t>
                  </w:r>
                </w:p>
              </w:tc>
              <w:tc>
                <w:tcPr>
                  <w:tcW w:w="891" w:type="dxa"/>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Cs w:val="21"/>
                      <w:lang w:bidi="ar"/>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BOD</w:t>
                  </w:r>
                  <w:r>
                    <w:rPr>
                      <w:rFonts w:hint="default" w:ascii="Times New Roman" w:hAnsi="Times New Roman" w:cs="Times New Roman"/>
                      <w:color w:val="000000" w:themeColor="text1"/>
                      <w:szCs w:val="21"/>
                      <w:vertAlign w:val="subscript"/>
                      <w:lang w:bidi="ar"/>
                      <w14:textFill>
                        <w14:solidFill>
                          <w14:schemeClr w14:val="tx1"/>
                        </w14:solidFill>
                      </w14:textFill>
                    </w:rPr>
                    <w:t>5</w:t>
                  </w:r>
                </w:p>
              </w:tc>
              <w:tc>
                <w:tcPr>
                  <w:tcW w:w="891" w:type="dxa"/>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Cs w:val="21"/>
                      <w:lang w:bidi="ar"/>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氨氮</w:t>
                  </w:r>
                </w:p>
              </w:tc>
              <w:tc>
                <w:tcPr>
                  <w:tcW w:w="891" w:type="dxa"/>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Cs w:val="21"/>
                      <w:lang w:bidi="ar"/>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总磷</w:t>
                  </w:r>
                </w:p>
              </w:tc>
              <w:tc>
                <w:tcPr>
                  <w:tcW w:w="891" w:type="dxa"/>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Cs w:val="21"/>
                      <w:lang w:bidi="ar"/>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氟化物</w:t>
                  </w:r>
                </w:p>
              </w:tc>
              <w:tc>
                <w:tcPr>
                  <w:tcW w:w="891" w:type="dxa"/>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Cs w:val="21"/>
                      <w:lang w:bidi="ar"/>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溶解氧</w:t>
                  </w:r>
                </w:p>
              </w:tc>
              <w:tc>
                <w:tcPr>
                  <w:tcW w:w="891" w:type="dxa"/>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Cs w:val="21"/>
                      <w:lang w:bidi="ar"/>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高锰酸盐指数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67" w:type="dxa"/>
                  <w:noWrap w:val="0"/>
                  <w:vAlign w:val="center"/>
                </w:tcPr>
                <w:p>
                  <w:pPr>
                    <w:adjustRightInd w:val="0"/>
                    <w:snapToGrid w:val="0"/>
                    <w:ind w:left="-105" w:leftChars="-50" w:right="-105" w:rightChars="-50"/>
                    <w:jc w:val="center"/>
                    <w:rPr>
                      <w:rFonts w:hint="default" w:ascii="Times New Roman" w:hAnsi="Times New Roman" w:cs="Times New Roman"/>
                      <w:color w:val="000000" w:themeColor="text1"/>
                      <w:szCs w:val="21"/>
                      <w:lang w:bidi="ar"/>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千陇交界</w:t>
                  </w:r>
                </w:p>
                <w:p>
                  <w:pPr>
                    <w:adjustRightInd w:val="0"/>
                    <w:snapToGrid w:val="0"/>
                    <w:ind w:left="-105" w:leftChars="-50" w:right="-105" w:rightChars="-50"/>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（水沟桥）</w:t>
                  </w:r>
                </w:p>
              </w:tc>
              <w:tc>
                <w:tcPr>
                  <w:tcW w:w="728" w:type="dxa"/>
                  <w:noWrap w:val="0"/>
                  <w:vAlign w:val="center"/>
                </w:tcPr>
                <w:p>
                  <w:pPr>
                    <w:adjustRightInd w:val="0"/>
                    <w:snapToGrid w:val="0"/>
                    <w:ind w:left="-105" w:leftChars="-50" w:right="-105" w:rightChars="-50"/>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cs="Times New Roman"/>
                      <w:color w:val="000000" w:themeColor="text1"/>
                      <w:szCs w:val="21"/>
                      <w:lang w:val="en-US" w:eastAsia="zh-CN" w:bidi="ar"/>
                      <w14:textFill>
                        <w14:solidFill>
                          <w14:schemeClr w14:val="tx1"/>
                        </w14:solidFill>
                      </w14:textFill>
                    </w:rPr>
                    <w:t>Ⅱ</w:t>
                  </w:r>
                  <w:r>
                    <w:rPr>
                      <w:rFonts w:hint="default" w:ascii="Times New Roman" w:hAnsi="Times New Roman" w:cs="Times New Roman"/>
                      <w:color w:val="000000" w:themeColor="text1"/>
                      <w:szCs w:val="21"/>
                      <w:lang w:bidi="ar"/>
                      <w14:textFill>
                        <w14:solidFill>
                          <w14:schemeClr w14:val="tx1"/>
                        </w14:solidFill>
                      </w14:textFill>
                    </w:rPr>
                    <w:t>类</w:t>
                  </w:r>
                </w:p>
              </w:tc>
              <w:tc>
                <w:tcPr>
                  <w:tcW w:w="891" w:type="dxa"/>
                  <w:noWrap w:val="0"/>
                  <w:vAlign w:val="center"/>
                </w:tcPr>
                <w:p>
                  <w:pPr>
                    <w:adjustRightInd w:val="0"/>
                    <w:snapToGrid w:val="0"/>
                    <w:ind w:left="-105" w:leftChars="-50" w:right="-105" w:rightChars="-50"/>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
                      <w14:textFill>
                        <w14:solidFill>
                          <w14:schemeClr w14:val="tx1"/>
                        </w14:solidFill>
                      </w14:textFill>
                    </w:rPr>
                    <w:t>8.1</w:t>
                  </w:r>
                </w:p>
              </w:tc>
              <w:tc>
                <w:tcPr>
                  <w:tcW w:w="891" w:type="dxa"/>
                  <w:noWrap w:val="0"/>
                  <w:vAlign w:val="center"/>
                </w:tcPr>
                <w:p>
                  <w:pPr>
                    <w:adjustRightInd w:val="0"/>
                    <w:snapToGrid w:val="0"/>
                    <w:ind w:left="-105" w:leftChars="-50" w:right="-105" w:rightChars="-50"/>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
                      <w14:textFill>
                        <w14:solidFill>
                          <w14:schemeClr w14:val="tx1"/>
                        </w14:solidFill>
                      </w14:textFill>
                    </w:rPr>
                    <w:t>1.4</w:t>
                  </w:r>
                </w:p>
              </w:tc>
              <w:tc>
                <w:tcPr>
                  <w:tcW w:w="891" w:type="dxa"/>
                  <w:noWrap w:val="0"/>
                  <w:vAlign w:val="center"/>
                </w:tcPr>
                <w:p>
                  <w:pPr>
                    <w:adjustRightInd w:val="0"/>
                    <w:snapToGrid w:val="0"/>
                    <w:ind w:left="-105" w:leftChars="-50" w:right="-105" w:rightChars="-50"/>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
                      <w14:textFill>
                        <w14:solidFill>
                          <w14:schemeClr w14:val="tx1"/>
                        </w14:solidFill>
                      </w14:textFill>
                    </w:rPr>
                    <w:t>0.26</w:t>
                  </w:r>
                </w:p>
              </w:tc>
              <w:tc>
                <w:tcPr>
                  <w:tcW w:w="891" w:type="dxa"/>
                  <w:noWrap w:val="0"/>
                  <w:vAlign w:val="center"/>
                </w:tcPr>
                <w:p>
                  <w:pPr>
                    <w:adjustRightInd w:val="0"/>
                    <w:snapToGrid w:val="0"/>
                    <w:ind w:left="-105" w:leftChars="-50" w:right="-105" w:rightChars="-50"/>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
                      <w14:textFill>
                        <w14:solidFill>
                          <w14:schemeClr w14:val="tx1"/>
                        </w14:solidFill>
                      </w14:textFill>
                    </w:rPr>
                    <w:t>0.031</w:t>
                  </w:r>
                </w:p>
              </w:tc>
              <w:tc>
                <w:tcPr>
                  <w:tcW w:w="891" w:type="dxa"/>
                  <w:noWrap w:val="0"/>
                  <w:vAlign w:val="center"/>
                </w:tcPr>
                <w:p>
                  <w:pPr>
                    <w:adjustRightInd w:val="0"/>
                    <w:snapToGrid w:val="0"/>
                    <w:ind w:left="-105" w:leftChars="-50" w:right="-105" w:rightChars="-50"/>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
                      <w14:textFill>
                        <w14:solidFill>
                          <w14:schemeClr w14:val="tx1"/>
                        </w14:solidFill>
                      </w14:textFill>
                    </w:rPr>
                    <w:t>0.255</w:t>
                  </w:r>
                </w:p>
              </w:tc>
              <w:tc>
                <w:tcPr>
                  <w:tcW w:w="891" w:type="dxa"/>
                  <w:noWrap w:val="0"/>
                  <w:vAlign w:val="center"/>
                </w:tcPr>
                <w:p>
                  <w:pPr>
                    <w:adjustRightInd w:val="0"/>
                    <w:snapToGrid w:val="0"/>
                    <w:ind w:left="-105" w:leftChars="-50" w:right="-105" w:rightChars="-50"/>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
                      <w14:textFill>
                        <w14:solidFill>
                          <w14:schemeClr w14:val="tx1"/>
                        </w14:solidFill>
                      </w14:textFill>
                    </w:rPr>
                    <w:t>9.8</w:t>
                  </w:r>
                </w:p>
              </w:tc>
              <w:tc>
                <w:tcPr>
                  <w:tcW w:w="891" w:type="dxa"/>
                  <w:noWrap w:val="0"/>
                  <w:vAlign w:val="center"/>
                </w:tcPr>
                <w:p>
                  <w:pPr>
                    <w:adjustRightInd w:val="0"/>
                    <w:snapToGrid w:val="0"/>
                    <w:ind w:left="-105" w:leftChars="-50" w:right="-105" w:rightChars="-50"/>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
                      <w14:textFill>
                        <w14:solidFill>
                          <w14:schemeClr w14:val="tx1"/>
                        </w14:solidFill>
                      </w14:textFill>
                    </w:rPr>
                    <w:t>1.9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795" w:type="dxa"/>
                  <w:gridSpan w:val="2"/>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Cs w:val="21"/>
                      <w:lang w:bidi="ar"/>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最大超标倍数</w:t>
                  </w:r>
                </w:p>
              </w:tc>
              <w:tc>
                <w:tcPr>
                  <w:tcW w:w="891" w:type="dxa"/>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Cs w:val="21"/>
                      <w:lang w:bidi="ar"/>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0</w:t>
                  </w:r>
                </w:p>
              </w:tc>
              <w:tc>
                <w:tcPr>
                  <w:tcW w:w="891" w:type="dxa"/>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Cs w:val="21"/>
                      <w:lang w:bidi="ar"/>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0</w:t>
                  </w:r>
                </w:p>
              </w:tc>
              <w:tc>
                <w:tcPr>
                  <w:tcW w:w="891" w:type="dxa"/>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Cs w:val="21"/>
                      <w:lang w:bidi="ar"/>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0</w:t>
                  </w:r>
                </w:p>
              </w:tc>
              <w:tc>
                <w:tcPr>
                  <w:tcW w:w="891" w:type="dxa"/>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Cs w:val="21"/>
                      <w:lang w:val="en-US" w:eastAsia="zh-CN" w:bidi="ar"/>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0</w:t>
                  </w:r>
                </w:p>
              </w:tc>
              <w:tc>
                <w:tcPr>
                  <w:tcW w:w="891" w:type="dxa"/>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Cs w:val="21"/>
                      <w:lang w:bidi="ar"/>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0</w:t>
                  </w:r>
                </w:p>
              </w:tc>
              <w:tc>
                <w:tcPr>
                  <w:tcW w:w="891" w:type="dxa"/>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Cs w:val="21"/>
                      <w:lang w:bidi="ar"/>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0</w:t>
                  </w:r>
                </w:p>
              </w:tc>
              <w:tc>
                <w:tcPr>
                  <w:tcW w:w="891" w:type="dxa"/>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Cs w:val="21"/>
                      <w:lang w:bidi="ar"/>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67" w:type="dxa"/>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Cs w:val="21"/>
                      <w:lang w:bidi="ar"/>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评价标准</w:t>
                  </w:r>
                </w:p>
              </w:tc>
              <w:tc>
                <w:tcPr>
                  <w:tcW w:w="728" w:type="dxa"/>
                  <w:noWrap w:val="0"/>
                  <w:vAlign w:val="center"/>
                </w:tcPr>
                <w:p>
                  <w:pPr>
                    <w:adjustRightInd w:val="0"/>
                    <w:snapToGrid w:val="0"/>
                    <w:ind w:left="-107" w:leftChars="-51" w:right="-36" w:rightChars="-17"/>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bidi="ar"/>
                      <w14:textFill>
                        <w14:solidFill>
                          <w14:schemeClr w14:val="tx1"/>
                        </w14:solidFill>
                      </w14:textFill>
                    </w:rPr>
                    <w:t>Ⅱ</w:t>
                  </w:r>
                  <w:r>
                    <w:rPr>
                      <w:rFonts w:hint="default" w:ascii="Times New Roman" w:hAnsi="Times New Roman" w:cs="Times New Roman"/>
                      <w:color w:val="000000" w:themeColor="text1"/>
                      <w:kern w:val="0"/>
                      <w:szCs w:val="21"/>
                      <w:lang w:bidi="ar"/>
                      <w14:textFill>
                        <w14:solidFill>
                          <w14:schemeClr w14:val="tx1"/>
                        </w14:solidFill>
                      </w14:textFill>
                    </w:rPr>
                    <w:t>类</w:t>
                  </w:r>
                </w:p>
              </w:tc>
              <w:tc>
                <w:tcPr>
                  <w:tcW w:w="891" w:type="dxa"/>
                  <w:noWrap w:val="0"/>
                  <w:vAlign w:val="center"/>
                </w:tcPr>
                <w:p>
                  <w:pPr>
                    <w:adjustRightInd w:val="0"/>
                    <w:snapToGrid w:val="0"/>
                    <w:ind w:left="-107" w:leftChars="-51" w:right="-141" w:rightChars="-67"/>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w:t>
                  </w:r>
                  <w:r>
                    <w:rPr>
                      <w:rFonts w:hint="eastAsia" w:cs="Times New Roman"/>
                      <w:color w:val="000000" w:themeColor="text1"/>
                      <w:szCs w:val="21"/>
                      <w:lang w:val="en-US" w:eastAsia="zh-CN" w:bidi="ar"/>
                      <w14:textFill>
                        <w14:solidFill>
                          <w14:schemeClr w14:val="tx1"/>
                        </w14:solidFill>
                      </w14:textFill>
                    </w:rPr>
                    <w:t>15</w:t>
                  </w:r>
                </w:p>
              </w:tc>
              <w:tc>
                <w:tcPr>
                  <w:tcW w:w="891" w:type="dxa"/>
                  <w:noWrap w:val="0"/>
                  <w:vAlign w:val="center"/>
                </w:tcPr>
                <w:p>
                  <w:pPr>
                    <w:adjustRightInd w:val="0"/>
                    <w:snapToGrid w:val="0"/>
                    <w:ind w:left="-107" w:leftChars="-51" w:right="-141" w:rightChars="-67"/>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w:t>
                  </w:r>
                  <w:r>
                    <w:rPr>
                      <w:rFonts w:hint="eastAsia" w:cs="Times New Roman"/>
                      <w:color w:val="000000" w:themeColor="text1"/>
                      <w:szCs w:val="21"/>
                      <w:lang w:val="en-US" w:eastAsia="zh-CN" w:bidi="ar"/>
                      <w14:textFill>
                        <w14:solidFill>
                          <w14:schemeClr w14:val="tx1"/>
                        </w14:solidFill>
                      </w14:textFill>
                    </w:rPr>
                    <w:t>3</w:t>
                  </w:r>
                </w:p>
              </w:tc>
              <w:tc>
                <w:tcPr>
                  <w:tcW w:w="891" w:type="dxa"/>
                  <w:noWrap w:val="0"/>
                  <w:vAlign w:val="center"/>
                </w:tcPr>
                <w:p>
                  <w:pPr>
                    <w:adjustRightInd w:val="0"/>
                    <w:snapToGrid w:val="0"/>
                    <w:ind w:left="-107" w:leftChars="-51" w:right="-141" w:rightChars="-67"/>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w:t>
                  </w:r>
                  <w:r>
                    <w:rPr>
                      <w:rFonts w:hint="eastAsia" w:cs="Times New Roman"/>
                      <w:color w:val="000000" w:themeColor="text1"/>
                      <w:szCs w:val="21"/>
                      <w:lang w:val="en-US" w:eastAsia="zh-CN" w:bidi="ar"/>
                      <w14:textFill>
                        <w14:solidFill>
                          <w14:schemeClr w14:val="tx1"/>
                        </w14:solidFill>
                      </w14:textFill>
                    </w:rPr>
                    <w:t>0.5</w:t>
                  </w:r>
                </w:p>
              </w:tc>
              <w:tc>
                <w:tcPr>
                  <w:tcW w:w="891" w:type="dxa"/>
                  <w:noWrap w:val="0"/>
                  <w:vAlign w:val="center"/>
                </w:tcPr>
                <w:p>
                  <w:pPr>
                    <w:adjustRightInd w:val="0"/>
                    <w:snapToGrid w:val="0"/>
                    <w:ind w:left="-107" w:leftChars="-51" w:right="-141" w:rightChars="-67"/>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w:t>
                  </w:r>
                  <w:r>
                    <w:rPr>
                      <w:rFonts w:hint="eastAsia" w:cs="Times New Roman"/>
                      <w:color w:val="000000" w:themeColor="text1"/>
                      <w:szCs w:val="21"/>
                      <w:lang w:val="en-US" w:eastAsia="zh-CN" w:bidi="ar"/>
                      <w14:textFill>
                        <w14:solidFill>
                          <w14:schemeClr w14:val="tx1"/>
                        </w14:solidFill>
                      </w14:textFill>
                    </w:rPr>
                    <w:t>0.1</w:t>
                  </w:r>
                </w:p>
              </w:tc>
              <w:tc>
                <w:tcPr>
                  <w:tcW w:w="891" w:type="dxa"/>
                  <w:noWrap w:val="0"/>
                  <w:vAlign w:val="center"/>
                </w:tcPr>
                <w:p>
                  <w:pPr>
                    <w:adjustRightInd w:val="0"/>
                    <w:snapToGrid w:val="0"/>
                    <w:ind w:left="-107" w:leftChars="-51" w:right="-141" w:rightChars="-67"/>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w:t>
                  </w:r>
                  <w:r>
                    <w:rPr>
                      <w:rFonts w:hint="eastAsia" w:cs="Times New Roman"/>
                      <w:color w:val="000000" w:themeColor="text1"/>
                      <w:szCs w:val="21"/>
                      <w:lang w:val="en-US" w:eastAsia="zh-CN" w:bidi="ar"/>
                      <w14:textFill>
                        <w14:solidFill>
                          <w14:schemeClr w14:val="tx1"/>
                        </w14:solidFill>
                      </w14:textFill>
                    </w:rPr>
                    <w:t>1.0</w:t>
                  </w:r>
                </w:p>
              </w:tc>
              <w:tc>
                <w:tcPr>
                  <w:tcW w:w="891" w:type="dxa"/>
                  <w:noWrap w:val="0"/>
                  <w:vAlign w:val="center"/>
                </w:tcPr>
                <w:p>
                  <w:pPr>
                    <w:adjustRightInd w:val="0"/>
                    <w:snapToGrid w:val="0"/>
                    <w:ind w:left="-107" w:leftChars="-51" w:right="-141" w:rightChars="-67"/>
                    <w:jc w:val="cente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w:t>
                  </w:r>
                  <w:r>
                    <w:rPr>
                      <w:rFonts w:hint="eastAsia" w:cs="Times New Roman"/>
                      <w:color w:val="000000" w:themeColor="text1"/>
                      <w:szCs w:val="21"/>
                      <w:lang w:val="en-US" w:eastAsia="zh-CN" w:bidi="ar"/>
                      <w14:textFill>
                        <w14:solidFill>
                          <w14:schemeClr w14:val="tx1"/>
                        </w14:solidFill>
                      </w14:textFill>
                    </w:rPr>
                    <w:t>6</w:t>
                  </w:r>
                </w:p>
              </w:tc>
              <w:tc>
                <w:tcPr>
                  <w:tcW w:w="891" w:type="dxa"/>
                  <w:noWrap w:val="0"/>
                  <w:vAlign w:val="center"/>
                </w:tcPr>
                <w:p>
                  <w:pPr>
                    <w:adjustRightInd w:val="0"/>
                    <w:snapToGrid w:val="0"/>
                    <w:ind w:left="-107" w:leftChars="-51" w:right="-141" w:rightChars="-67"/>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w:t>
                  </w:r>
                  <w:r>
                    <w:rPr>
                      <w:rFonts w:hint="eastAsia" w:cs="Times New Roman"/>
                      <w:color w:val="000000" w:themeColor="text1"/>
                      <w:szCs w:val="21"/>
                      <w:lang w:val="en-US" w:eastAsia="zh-CN" w:bidi="ar"/>
                      <w14:textFill>
                        <w14:solidFill>
                          <w14:schemeClr w14:val="tx1"/>
                        </w14:solidFill>
                      </w14:textFill>
                    </w:rPr>
                    <w:t>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67" w:type="dxa"/>
                  <w:noWrap w:val="0"/>
                  <w:vAlign w:val="center"/>
                </w:tcPr>
                <w:p>
                  <w:pPr>
                    <w:adjustRightInd w:val="0"/>
                    <w:snapToGrid w:val="0"/>
                    <w:ind w:left="-105" w:leftChars="-50" w:right="-105" w:rightChars="-50"/>
                    <w:jc w:val="center"/>
                    <w:rPr>
                      <w:rFonts w:hint="default" w:ascii="Times New Roman" w:hAnsi="Times New Roman" w:eastAsia="宋体" w:cs="Times New Roman"/>
                      <w:color w:val="000000" w:themeColor="text1"/>
                      <w:szCs w:val="21"/>
                      <w:lang w:bidi="ar"/>
                      <w14:textFill>
                        <w14:solidFill>
                          <w14:schemeClr w14:val="tx1"/>
                        </w14:solidFill>
                      </w14:textFill>
                    </w:rPr>
                  </w:pPr>
                  <w:r>
                    <w:rPr>
                      <w:rFonts w:hint="eastAsia" w:ascii="Times New Roman" w:hAnsi="Times New Roman" w:eastAsia="宋体" w:cs="Times New Roman"/>
                      <w:color w:val="000000" w:themeColor="text1"/>
                      <w:szCs w:val="21"/>
                      <w:lang w:val="en-US" w:eastAsia="zh-CN" w:bidi="ar"/>
                      <w14:textFill>
                        <w14:solidFill>
                          <w14:schemeClr w14:val="tx1"/>
                        </w14:solidFill>
                      </w14:textFill>
                    </w:rPr>
                    <w:t>千湖（冯家山水库）</w:t>
                  </w:r>
                </w:p>
              </w:tc>
              <w:tc>
                <w:tcPr>
                  <w:tcW w:w="728" w:type="dxa"/>
                  <w:noWrap w:val="0"/>
                  <w:vAlign w:val="center"/>
                </w:tcPr>
                <w:p>
                  <w:pPr>
                    <w:adjustRightInd w:val="0"/>
                    <w:snapToGrid w:val="0"/>
                    <w:ind w:left="-105" w:leftChars="-50" w:right="-105" w:rightChars="-50"/>
                    <w:jc w:val="center"/>
                    <w:rPr>
                      <w:rFonts w:hint="default" w:ascii="Times New Roman" w:hAnsi="Times New Roman" w:eastAsia="宋体" w:cs="Times New Roman"/>
                      <w:color w:val="000000" w:themeColor="text1"/>
                      <w:szCs w:val="21"/>
                      <w:lang w:bidi="ar"/>
                      <w14:textFill>
                        <w14:solidFill>
                          <w14:schemeClr w14:val="tx1"/>
                        </w14:solidFill>
                      </w14:textFill>
                    </w:rPr>
                  </w:pPr>
                  <w:r>
                    <w:rPr>
                      <w:rFonts w:hint="default" w:ascii="Times New Roman" w:hAnsi="Times New Roman" w:eastAsia="宋体" w:cs="Times New Roman"/>
                      <w:color w:val="000000" w:themeColor="text1"/>
                      <w:szCs w:val="21"/>
                      <w:lang w:val="en-US" w:eastAsia="zh-CN" w:bidi="ar"/>
                      <w14:textFill>
                        <w14:solidFill>
                          <w14:schemeClr w14:val="tx1"/>
                        </w14:solidFill>
                      </w14:textFill>
                    </w:rPr>
                    <w:t>Ⅱ</w:t>
                  </w:r>
                  <w:r>
                    <w:rPr>
                      <w:rFonts w:hint="default" w:ascii="Times New Roman" w:hAnsi="Times New Roman" w:eastAsia="宋体" w:cs="Times New Roman"/>
                      <w:color w:val="000000" w:themeColor="text1"/>
                      <w:szCs w:val="21"/>
                      <w:lang w:bidi="ar"/>
                      <w14:textFill>
                        <w14:solidFill>
                          <w14:schemeClr w14:val="tx1"/>
                        </w14:solidFill>
                      </w14:textFill>
                    </w:rPr>
                    <w:t>类</w:t>
                  </w:r>
                </w:p>
              </w:tc>
              <w:tc>
                <w:tcPr>
                  <w:tcW w:w="891" w:type="dxa"/>
                  <w:noWrap w:val="0"/>
                  <w:vAlign w:val="center"/>
                </w:tcPr>
                <w:p>
                  <w:pPr>
                    <w:adjustRightInd w:val="0"/>
                    <w:snapToGrid w:val="0"/>
                    <w:ind w:left="-107" w:leftChars="-51" w:right="-141" w:rightChars="-67"/>
                    <w:jc w:val="center"/>
                    <w:rPr>
                      <w:rFonts w:hint="default" w:ascii="Times New Roman" w:hAnsi="Times New Roman" w:eastAsia="宋体" w:cs="Times New Roman"/>
                      <w:color w:val="000000" w:themeColor="text1"/>
                      <w:szCs w:val="21"/>
                      <w:lang w:val="en-US" w:eastAsia="zh-CN" w:bidi="ar"/>
                      <w14:textFill>
                        <w14:solidFill>
                          <w14:schemeClr w14:val="tx1"/>
                        </w14:solidFill>
                      </w14:textFill>
                    </w:rPr>
                  </w:pPr>
                  <w:r>
                    <w:rPr>
                      <w:rFonts w:hint="eastAsia" w:ascii="Times New Roman" w:hAnsi="Times New Roman" w:cs="Times New Roman"/>
                      <w:color w:val="000000" w:themeColor="text1"/>
                      <w:szCs w:val="21"/>
                      <w:lang w:val="en-US" w:eastAsia="zh-CN" w:bidi="ar"/>
                      <w14:textFill>
                        <w14:solidFill>
                          <w14:schemeClr w14:val="tx1"/>
                        </w14:solidFill>
                      </w14:textFill>
                    </w:rPr>
                    <w:t>8.7</w:t>
                  </w:r>
                </w:p>
              </w:tc>
              <w:tc>
                <w:tcPr>
                  <w:tcW w:w="891" w:type="dxa"/>
                  <w:noWrap w:val="0"/>
                  <w:vAlign w:val="center"/>
                </w:tcPr>
                <w:p>
                  <w:pPr>
                    <w:adjustRightInd w:val="0"/>
                    <w:snapToGrid w:val="0"/>
                    <w:ind w:left="-107" w:leftChars="-51" w:right="-141" w:rightChars="-67"/>
                    <w:jc w:val="center"/>
                    <w:rPr>
                      <w:rFonts w:hint="default" w:ascii="Times New Roman" w:hAnsi="Times New Roman" w:eastAsia="宋体" w:cs="Times New Roman"/>
                      <w:color w:val="000000" w:themeColor="text1"/>
                      <w:szCs w:val="21"/>
                      <w:lang w:val="en-US" w:eastAsia="zh-CN" w:bidi="ar"/>
                      <w14:textFill>
                        <w14:solidFill>
                          <w14:schemeClr w14:val="tx1"/>
                        </w14:solidFill>
                      </w14:textFill>
                    </w:rPr>
                  </w:pPr>
                  <w:r>
                    <w:rPr>
                      <w:rFonts w:hint="eastAsia" w:ascii="Times New Roman" w:hAnsi="Times New Roman" w:cs="Times New Roman"/>
                      <w:color w:val="000000" w:themeColor="text1"/>
                      <w:szCs w:val="21"/>
                      <w:lang w:val="en-US" w:eastAsia="zh-CN" w:bidi="ar"/>
                      <w14:textFill>
                        <w14:solidFill>
                          <w14:schemeClr w14:val="tx1"/>
                        </w14:solidFill>
                      </w14:textFill>
                    </w:rPr>
                    <w:t>0.8</w:t>
                  </w:r>
                </w:p>
              </w:tc>
              <w:tc>
                <w:tcPr>
                  <w:tcW w:w="891" w:type="dxa"/>
                  <w:noWrap w:val="0"/>
                  <w:vAlign w:val="center"/>
                </w:tcPr>
                <w:p>
                  <w:pPr>
                    <w:adjustRightInd w:val="0"/>
                    <w:snapToGrid w:val="0"/>
                    <w:ind w:left="-107" w:leftChars="-51" w:right="-141" w:rightChars="-67"/>
                    <w:jc w:val="center"/>
                    <w:rPr>
                      <w:rFonts w:hint="default" w:ascii="Times New Roman" w:hAnsi="Times New Roman" w:eastAsia="宋体" w:cs="Times New Roman"/>
                      <w:color w:val="000000" w:themeColor="text1"/>
                      <w:szCs w:val="21"/>
                      <w:lang w:val="en-US" w:eastAsia="zh-CN" w:bidi="ar"/>
                      <w14:textFill>
                        <w14:solidFill>
                          <w14:schemeClr w14:val="tx1"/>
                        </w14:solidFill>
                      </w14:textFill>
                    </w:rPr>
                  </w:pPr>
                  <w:r>
                    <w:rPr>
                      <w:rFonts w:hint="eastAsia" w:ascii="Times New Roman" w:hAnsi="Times New Roman" w:cs="Times New Roman"/>
                      <w:color w:val="000000" w:themeColor="text1"/>
                      <w:szCs w:val="21"/>
                      <w:lang w:val="en-US" w:eastAsia="zh-CN" w:bidi="ar"/>
                      <w14:textFill>
                        <w14:solidFill>
                          <w14:schemeClr w14:val="tx1"/>
                        </w14:solidFill>
                      </w14:textFill>
                    </w:rPr>
                    <w:t>0.14</w:t>
                  </w:r>
                </w:p>
              </w:tc>
              <w:tc>
                <w:tcPr>
                  <w:tcW w:w="891" w:type="dxa"/>
                  <w:noWrap w:val="0"/>
                  <w:vAlign w:val="center"/>
                </w:tcPr>
                <w:p>
                  <w:pPr>
                    <w:adjustRightInd w:val="0"/>
                    <w:snapToGrid w:val="0"/>
                    <w:ind w:left="-107" w:leftChars="-51" w:right="-141" w:rightChars="-67"/>
                    <w:jc w:val="center"/>
                    <w:rPr>
                      <w:rFonts w:hint="default" w:ascii="Times New Roman" w:hAnsi="Times New Roman" w:eastAsia="宋体" w:cs="Times New Roman"/>
                      <w:color w:val="000000" w:themeColor="text1"/>
                      <w:szCs w:val="21"/>
                      <w:lang w:val="en-US" w:eastAsia="zh-CN" w:bidi="ar"/>
                      <w14:textFill>
                        <w14:solidFill>
                          <w14:schemeClr w14:val="tx1"/>
                        </w14:solidFill>
                      </w14:textFill>
                    </w:rPr>
                  </w:pPr>
                  <w:r>
                    <w:rPr>
                      <w:rFonts w:hint="eastAsia" w:ascii="Times New Roman" w:hAnsi="Times New Roman" w:cs="Times New Roman"/>
                      <w:color w:val="000000" w:themeColor="text1"/>
                      <w:szCs w:val="21"/>
                      <w:lang w:val="en-US" w:eastAsia="zh-CN" w:bidi="ar"/>
                      <w14:textFill>
                        <w14:solidFill>
                          <w14:schemeClr w14:val="tx1"/>
                        </w14:solidFill>
                      </w14:textFill>
                    </w:rPr>
                    <w:t>0.01L</w:t>
                  </w:r>
                </w:p>
              </w:tc>
              <w:tc>
                <w:tcPr>
                  <w:tcW w:w="891" w:type="dxa"/>
                  <w:noWrap w:val="0"/>
                  <w:vAlign w:val="center"/>
                </w:tcPr>
                <w:p>
                  <w:pPr>
                    <w:adjustRightInd w:val="0"/>
                    <w:snapToGrid w:val="0"/>
                    <w:ind w:left="-107" w:leftChars="-51" w:right="-141" w:rightChars="-67"/>
                    <w:jc w:val="center"/>
                    <w:rPr>
                      <w:rFonts w:hint="default" w:ascii="Times New Roman" w:hAnsi="Times New Roman" w:eastAsia="宋体" w:cs="Times New Roman"/>
                      <w:color w:val="000000" w:themeColor="text1"/>
                      <w:szCs w:val="21"/>
                      <w:lang w:val="en-US" w:eastAsia="zh-CN" w:bidi="ar"/>
                      <w14:textFill>
                        <w14:solidFill>
                          <w14:schemeClr w14:val="tx1"/>
                        </w14:solidFill>
                      </w14:textFill>
                    </w:rPr>
                  </w:pPr>
                  <w:r>
                    <w:rPr>
                      <w:rFonts w:hint="eastAsia" w:ascii="Times New Roman" w:hAnsi="Times New Roman" w:cs="Times New Roman"/>
                      <w:color w:val="000000" w:themeColor="text1"/>
                      <w:szCs w:val="21"/>
                      <w:lang w:val="en-US" w:eastAsia="zh-CN" w:bidi="ar"/>
                      <w14:textFill>
                        <w14:solidFill>
                          <w14:schemeClr w14:val="tx1"/>
                        </w14:solidFill>
                      </w14:textFill>
                    </w:rPr>
                    <w:t>0.249</w:t>
                  </w:r>
                </w:p>
              </w:tc>
              <w:tc>
                <w:tcPr>
                  <w:tcW w:w="891" w:type="dxa"/>
                  <w:noWrap w:val="0"/>
                  <w:vAlign w:val="center"/>
                </w:tcPr>
                <w:p>
                  <w:pPr>
                    <w:adjustRightInd w:val="0"/>
                    <w:snapToGrid w:val="0"/>
                    <w:ind w:left="-107" w:leftChars="-51" w:right="-141" w:rightChars="-67"/>
                    <w:jc w:val="center"/>
                    <w:rPr>
                      <w:rFonts w:hint="default" w:ascii="Times New Roman" w:hAnsi="Times New Roman" w:eastAsia="宋体" w:cs="Times New Roman"/>
                      <w:color w:val="000000" w:themeColor="text1"/>
                      <w:szCs w:val="21"/>
                      <w:lang w:val="en-US" w:eastAsia="zh-CN" w:bidi="ar"/>
                      <w14:textFill>
                        <w14:solidFill>
                          <w14:schemeClr w14:val="tx1"/>
                        </w14:solidFill>
                      </w14:textFill>
                    </w:rPr>
                  </w:pPr>
                  <w:r>
                    <w:rPr>
                      <w:rFonts w:hint="eastAsia" w:ascii="Times New Roman" w:hAnsi="Times New Roman" w:cs="Times New Roman"/>
                      <w:color w:val="000000" w:themeColor="text1"/>
                      <w:szCs w:val="21"/>
                      <w:lang w:val="en-US" w:eastAsia="zh-CN" w:bidi="ar"/>
                      <w14:textFill>
                        <w14:solidFill>
                          <w14:schemeClr w14:val="tx1"/>
                        </w14:solidFill>
                      </w14:textFill>
                    </w:rPr>
                    <w:t>8.9</w:t>
                  </w:r>
                </w:p>
              </w:tc>
              <w:tc>
                <w:tcPr>
                  <w:tcW w:w="891" w:type="dxa"/>
                  <w:noWrap w:val="0"/>
                  <w:vAlign w:val="center"/>
                </w:tcPr>
                <w:p>
                  <w:pPr>
                    <w:adjustRightInd w:val="0"/>
                    <w:snapToGrid w:val="0"/>
                    <w:ind w:left="-107" w:leftChars="-51" w:right="-141" w:rightChars="-67"/>
                    <w:jc w:val="center"/>
                    <w:rPr>
                      <w:rFonts w:hint="default" w:ascii="Times New Roman" w:hAnsi="Times New Roman" w:eastAsia="宋体" w:cs="Times New Roman"/>
                      <w:color w:val="000000" w:themeColor="text1"/>
                      <w:szCs w:val="21"/>
                      <w:lang w:val="en-US" w:eastAsia="zh-CN" w:bidi="ar"/>
                      <w14:textFill>
                        <w14:solidFill>
                          <w14:schemeClr w14:val="tx1"/>
                        </w14:solidFill>
                      </w14:textFill>
                    </w:rPr>
                  </w:pPr>
                  <w:r>
                    <w:rPr>
                      <w:rFonts w:hint="eastAsia" w:ascii="Times New Roman" w:hAnsi="Times New Roman" w:cs="Times New Roman"/>
                      <w:color w:val="000000" w:themeColor="text1"/>
                      <w:szCs w:val="21"/>
                      <w:lang w:val="en-US" w:eastAsia="zh-CN" w:bidi="ar"/>
                      <w14:textFill>
                        <w14:solidFill>
                          <w14:schemeClr w14:val="tx1"/>
                        </w14:solidFill>
                      </w14:textFill>
                    </w:rPr>
                    <w:t>1.8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795" w:type="dxa"/>
                  <w:gridSpan w:val="2"/>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Cs w:val="21"/>
                      <w:lang w:bidi="ar"/>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最大超标倍数</w:t>
                  </w:r>
                </w:p>
              </w:tc>
              <w:tc>
                <w:tcPr>
                  <w:tcW w:w="891" w:type="dxa"/>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Cs w:val="21"/>
                      <w:lang w:bidi="ar"/>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0</w:t>
                  </w:r>
                </w:p>
              </w:tc>
              <w:tc>
                <w:tcPr>
                  <w:tcW w:w="891" w:type="dxa"/>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Cs w:val="21"/>
                      <w:lang w:bidi="ar"/>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0</w:t>
                  </w:r>
                </w:p>
              </w:tc>
              <w:tc>
                <w:tcPr>
                  <w:tcW w:w="891" w:type="dxa"/>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Cs w:val="21"/>
                      <w:lang w:bidi="ar"/>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0</w:t>
                  </w:r>
                </w:p>
              </w:tc>
              <w:tc>
                <w:tcPr>
                  <w:tcW w:w="891" w:type="dxa"/>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Cs w:val="21"/>
                      <w:lang w:bidi="ar"/>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0</w:t>
                  </w:r>
                </w:p>
              </w:tc>
              <w:tc>
                <w:tcPr>
                  <w:tcW w:w="891" w:type="dxa"/>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Cs w:val="21"/>
                      <w:lang w:bidi="ar"/>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0</w:t>
                  </w:r>
                </w:p>
              </w:tc>
              <w:tc>
                <w:tcPr>
                  <w:tcW w:w="891" w:type="dxa"/>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Cs w:val="21"/>
                      <w:lang w:bidi="ar"/>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0</w:t>
                  </w:r>
                </w:p>
              </w:tc>
              <w:tc>
                <w:tcPr>
                  <w:tcW w:w="891" w:type="dxa"/>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Cs w:val="21"/>
                      <w:lang w:bidi="ar"/>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67"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评价标准</w:t>
                  </w:r>
                </w:p>
              </w:tc>
              <w:tc>
                <w:tcPr>
                  <w:tcW w:w="72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lang w:val="en-US" w:eastAsia="zh-CN" w:bidi="ar"/>
                      <w14:textFill>
                        <w14:solidFill>
                          <w14:schemeClr w14:val="tx1"/>
                        </w14:solidFill>
                      </w14:textFill>
                    </w:rPr>
                    <w:t>Ⅱ</w:t>
                  </w:r>
                  <w:r>
                    <w:rPr>
                      <w:rFonts w:hint="default" w:ascii="Times New Roman" w:hAnsi="Times New Roman" w:cs="Times New Roman"/>
                      <w:color w:val="000000" w:themeColor="text1"/>
                      <w:kern w:val="0"/>
                      <w:szCs w:val="21"/>
                      <w:lang w:bidi="ar"/>
                      <w14:textFill>
                        <w14:solidFill>
                          <w14:schemeClr w14:val="tx1"/>
                        </w14:solidFill>
                      </w14:textFill>
                    </w:rPr>
                    <w:t>类</w:t>
                  </w:r>
                </w:p>
              </w:tc>
              <w:tc>
                <w:tcPr>
                  <w:tcW w:w="891" w:type="dxa"/>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w:t>
                  </w:r>
                  <w:r>
                    <w:rPr>
                      <w:rFonts w:hint="eastAsia" w:cs="Times New Roman"/>
                      <w:color w:val="000000" w:themeColor="text1"/>
                      <w:szCs w:val="21"/>
                      <w:lang w:val="en-US" w:eastAsia="zh-CN" w:bidi="ar"/>
                      <w14:textFill>
                        <w14:solidFill>
                          <w14:schemeClr w14:val="tx1"/>
                        </w14:solidFill>
                      </w14:textFill>
                    </w:rPr>
                    <w:t>15</w:t>
                  </w:r>
                </w:p>
              </w:tc>
              <w:tc>
                <w:tcPr>
                  <w:tcW w:w="891" w:type="dxa"/>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w:t>
                  </w:r>
                  <w:r>
                    <w:rPr>
                      <w:rFonts w:hint="eastAsia" w:cs="Times New Roman"/>
                      <w:color w:val="000000" w:themeColor="text1"/>
                      <w:szCs w:val="21"/>
                      <w:lang w:val="en-US" w:eastAsia="zh-CN" w:bidi="ar"/>
                      <w14:textFill>
                        <w14:solidFill>
                          <w14:schemeClr w14:val="tx1"/>
                        </w14:solidFill>
                      </w14:textFill>
                    </w:rPr>
                    <w:t>3</w:t>
                  </w:r>
                </w:p>
              </w:tc>
              <w:tc>
                <w:tcPr>
                  <w:tcW w:w="891" w:type="dxa"/>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w:t>
                  </w:r>
                  <w:r>
                    <w:rPr>
                      <w:rFonts w:hint="eastAsia" w:cs="Times New Roman"/>
                      <w:color w:val="000000" w:themeColor="text1"/>
                      <w:szCs w:val="21"/>
                      <w:lang w:val="en-US" w:eastAsia="zh-CN" w:bidi="ar"/>
                      <w14:textFill>
                        <w14:solidFill>
                          <w14:schemeClr w14:val="tx1"/>
                        </w14:solidFill>
                      </w14:textFill>
                    </w:rPr>
                    <w:t>0.5</w:t>
                  </w:r>
                </w:p>
              </w:tc>
              <w:tc>
                <w:tcPr>
                  <w:tcW w:w="891" w:type="dxa"/>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w:t>
                  </w:r>
                  <w:r>
                    <w:rPr>
                      <w:rFonts w:hint="eastAsia" w:cs="Times New Roman"/>
                      <w:color w:val="000000" w:themeColor="text1"/>
                      <w:szCs w:val="21"/>
                      <w:lang w:val="en-US" w:eastAsia="zh-CN" w:bidi="ar"/>
                      <w14:textFill>
                        <w14:solidFill>
                          <w14:schemeClr w14:val="tx1"/>
                        </w14:solidFill>
                      </w14:textFill>
                    </w:rPr>
                    <w:t>0.1</w:t>
                  </w:r>
                </w:p>
              </w:tc>
              <w:tc>
                <w:tcPr>
                  <w:tcW w:w="891" w:type="dxa"/>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Cs w:val="21"/>
                      <w:lang w:bidi="ar"/>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w:t>
                  </w:r>
                  <w:r>
                    <w:rPr>
                      <w:rFonts w:hint="eastAsia" w:cs="Times New Roman"/>
                      <w:color w:val="000000" w:themeColor="text1"/>
                      <w:szCs w:val="21"/>
                      <w:lang w:val="en-US" w:eastAsia="zh-CN" w:bidi="ar"/>
                      <w14:textFill>
                        <w14:solidFill>
                          <w14:schemeClr w14:val="tx1"/>
                        </w14:solidFill>
                      </w14:textFill>
                    </w:rPr>
                    <w:t>1.0</w:t>
                  </w:r>
                </w:p>
              </w:tc>
              <w:tc>
                <w:tcPr>
                  <w:tcW w:w="891" w:type="dxa"/>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color w:val="000000" w:themeColor="text1"/>
                      <w:szCs w:val="21"/>
                      <w:lang w:val="en-US" w:eastAsia="zh-CN" w:bidi="ar"/>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w:t>
                  </w:r>
                  <w:r>
                    <w:rPr>
                      <w:rFonts w:hint="eastAsia" w:cs="Times New Roman"/>
                      <w:color w:val="000000" w:themeColor="text1"/>
                      <w:szCs w:val="21"/>
                      <w:lang w:val="en-US" w:eastAsia="zh-CN" w:bidi="ar"/>
                      <w14:textFill>
                        <w14:solidFill>
                          <w14:schemeClr w14:val="tx1"/>
                        </w14:solidFill>
                      </w14:textFill>
                    </w:rPr>
                    <w:t>6</w:t>
                  </w:r>
                </w:p>
              </w:tc>
              <w:tc>
                <w:tcPr>
                  <w:tcW w:w="891" w:type="dxa"/>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w:t>
                  </w:r>
                  <w:r>
                    <w:rPr>
                      <w:rFonts w:hint="eastAsia" w:cs="Times New Roman"/>
                      <w:color w:val="000000" w:themeColor="text1"/>
                      <w:szCs w:val="21"/>
                      <w:lang w:val="en-US" w:eastAsia="zh-CN" w:bidi="ar"/>
                      <w14:textFill>
                        <w14:solidFill>
                          <w14:schemeClr w14:val="tx1"/>
                        </w14:solidFill>
                      </w14:textFill>
                    </w:rPr>
                    <w:t>4</w:t>
                  </w:r>
                </w:p>
              </w:tc>
            </w:tr>
          </w:tbl>
          <w:p>
            <w:pPr>
              <w:keepNext w:val="0"/>
              <w:keepLines w:val="0"/>
              <w:pageBreakBefore w:val="0"/>
              <w:widowControl w:val="0"/>
              <w:tabs>
                <w:tab w:val="left" w:pos="4057"/>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000000" w:themeColor="text1"/>
                <w:sz w:val="24"/>
                <w:szCs w:val="20"/>
                <w14:textFill>
                  <w14:solidFill>
                    <w14:schemeClr w14:val="tx1"/>
                  </w14:solidFill>
                </w14:textFill>
              </w:rPr>
            </w:pPr>
            <w:r>
              <w:rPr>
                <w:rFonts w:hint="default" w:ascii="Times New Roman" w:hAnsi="Times New Roman" w:eastAsia="宋体" w:cs="Times New Roman"/>
                <w:bCs/>
                <w:color w:val="000000" w:themeColor="text1"/>
                <w:sz w:val="24"/>
                <w:szCs w:val="20"/>
                <w14:textFill>
                  <w14:solidFill>
                    <w14:schemeClr w14:val="tx1"/>
                  </w14:solidFill>
                </w14:textFill>
              </w:rPr>
              <w:t>由表</w:t>
            </w:r>
            <w:r>
              <w:rPr>
                <w:rFonts w:hint="default" w:ascii="Times New Roman" w:hAnsi="Times New Roman" w:eastAsia="宋体" w:cs="Times New Roman"/>
                <w:bCs/>
                <w:color w:val="000000" w:themeColor="text1"/>
                <w:sz w:val="24"/>
                <w:szCs w:val="20"/>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0"/>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0"/>
                <w14:textFill>
                  <w14:solidFill>
                    <w14:schemeClr w14:val="tx1"/>
                  </w14:solidFill>
                </w14:textFill>
              </w:rPr>
              <w:t>可知，</w:t>
            </w:r>
            <w:r>
              <w:rPr>
                <w:rFonts w:hint="eastAsia" w:ascii="Times New Roman" w:hAnsi="Times New Roman" w:eastAsia="宋体" w:cs="Times New Roman"/>
                <w:bCs/>
                <w:color w:val="000000" w:themeColor="text1"/>
                <w:sz w:val="24"/>
                <w:szCs w:val="20"/>
                <w14:textFill>
                  <w14:solidFill>
                    <w14:schemeClr w14:val="tx1"/>
                  </w14:solidFill>
                </w14:textFill>
              </w:rPr>
              <w:t>千陇交界</w:t>
            </w:r>
            <w:r>
              <w:rPr>
                <w:rFonts w:hint="eastAsia"/>
                <w:bCs/>
                <w:color w:val="000000" w:themeColor="text1"/>
                <w:sz w:val="24"/>
                <w14:textFill>
                  <w14:solidFill>
                    <w14:schemeClr w14:val="tx1"/>
                  </w14:solidFill>
                </w14:textFill>
              </w:rPr>
              <w:t>（水沟桥）</w:t>
            </w:r>
            <w:r>
              <w:rPr>
                <w:bCs/>
                <w:color w:val="000000" w:themeColor="text1"/>
                <w:sz w:val="24"/>
                <w:szCs w:val="20"/>
                <w14:textFill>
                  <w14:solidFill>
                    <w14:schemeClr w14:val="tx1"/>
                  </w14:solidFill>
                </w14:textFill>
              </w:rPr>
              <w:t>断面</w:t>
            </w:r>
            <w:r>
              <w:rPr>
                <w:rFonts w:hint="eastAsia"/>
                <w:bCs/>
                <w:color w:val="000000" w:themeColor="text1"/>
                <w:sz w:val="24"/>
                <w:szCs w:val="20"/>
                <w:lang w:val="en-US" w:eastAsia="zh-CN"/>
                <w14:textFill>
                  <w14:solidFill>
                    <w14:schemeClr w14:val="tx1"/>
                  </w14:solidFill>
                </w14:textFill>
              </w:rPr>
              <w:t>和千湖（冯家山水库）断面</w:t>
            </w:r>
            <w:r>
              <w:rPr>
                <w:rFonts w:hint="default" w:ascii="Times New Roman" w:hAnsi="Times New Roman" w:cs="Times New Roman"/>
                <w:bCs/>
                <w:color w:val="000000" w:themeColor="text1"/>
                <w:sz w:val="24"/>
                <w:szCs w:val="20"/>
                <w14:textFill>
                  <w14:solidFill>
                    <w14:schemeClr w14:val="tx1"/>
                  </w14:solidFill>
                </w14:textFill>
              </w:rPr>
              <w:t>水质指标COD、BOD</w:t>
            </w:r>
            <w:r>
              <w:rPr>
                <w:rFonts w:hint="default" w:ascii="Times New Roman" w:hAnsi="Times New Roman" w:cs="Times New Roman"/>
                <w:bCs/>
                <w:color w:val="000000" w:themeColor="text1"/>
                <w:sz w:val="24"/>
                <w:szCs w:val="20"/>
                <w:vertAlign w:val="subscript"/>
                <w14:textFill>
                  <w14:solidFill>
                    <w14:schemeClr w14:val="tx1"/>
                  </w14:solidFill>
                </w14:textFill>
              </w:rPr>
              <w:t>5</w:t>
            </w:r>
            <w:r>
              <w:rPr>
                <w:rFonts w:hint="default" w:ascii="Times New Roman" w:hAnsi="Times New Roman" w:cs="Times New Roman"/>
                <w:bCs/>
                <w:color w:val="000000" w:themeColor="text1"/>
                <w:sz w:val="24"/>
                <w:szCs w:val="20"/>
                <w14:textFill>
                  <w14:solidFill>
                    <w14:schemeClr w14:val="tx1"/>
                  </w14:solidFill>
                </w14:textFill>
              </w:rPr>
              <w:t>、氨氮、总磷、氟化物、溶解氧、高锰酸盐指数</w:t>
            </w:r>
            <w:r>
              <w:rPr>
                <w:rFonts w:hint="default" w:ascii="Times New Roman" w:hAnsi="Times New Roman" w:cs="Times New Roman"/>
                <w:bCs/>
                <w:color w:val="000000" w:themeColor="text1"/>
                <w:sz w:val="24"/>
                <w:szCs w:val="20"/>
                <w:lang w:val="en-US" w:eastAsia="zh-CN"/>
                <w14:textFill>
                  <w14:solidFill>
                    <w14:schemeClr w14:val="tx1"/>
                  </w14:solidFill>
                </w14:textFill>
              </w:rPr>
              <w:t>分别</w:t>
            </w:r>
            <w:r>
              <w:rPr>
                <w:rFonts w:hint="default" w:ascii="Times New Roman" w:hAnsi="Times New Roman" w:cs="Times New Roman"/>
                <w:bCs/>
                <w:color w:val="000000" w:themeColor="text1"/>
                <w:sz w:val="24"/>
                <w:szCs w:val="20"/>
                <w14:textFill>
                  <w14:solidFill>
                    <w14:schemeClr w14:val="tx1"/>
                  </w14:solidFill>
                </w14:textFill>
              </w:rPr>
              <w:t>能</w:t>
            </w:r>
            <w:r>
              <w:rPr>
                <w:rFonts w:hint="default" w:ascii="Times New Roman" w:hAnsi="Times New Roman" w:eastAsia="宋体" w:cs="Times New Roman"/>
                <w:bCs/>
                <w:color w:val="000000" w:themeColor="text1"/>
                <w:sz w:val="24"/>
                <w:szCs w:val="20"/>
                <w14:textFill>
                  <w14:solidFill>
                    <w14:schemeClr w14:val="tx1"/>
                  </w14:solidFill>
                </w14:textFill>
              </w:rPr>
              <w:t>达到所在区域《地表水环境质量标准》（GB 3838-2002）</w:t>
            </w:r>
            <w:r>
              <w:rPr>
                <w:rFonts w:hint="eastAsia" w:cs="Times New Roman"/>
                <w:bCs/>
                <w:color w:val="000000" w:themeColor="text1"/>
                <w:sz w:val="24"/>
                <w:szCs w:val="20"/>
                <w:lang w:val="en-US" w:eastAsia="zh-CN"/>
                <w14:textFill>
                  <w14:solidFill>
                    <w14:schemeClr w14:val="tx1"/>
                  </w14:solidFill>
                </w14:textFill>
              </w:rPr>
              <w:t>Ⅱ</w:t>
            </w:r>
            <w:r>
              <w:rPr>
                <w:rFonts w:hint="default" w:ascii="Times New Roman" w:hAnsi="Times New Roman" w:eastAsia="宋体" w:cs="Times New Roman"/>
                <w:bCs/>
                <w:color w:val="000000" w:themeColor="text1"/>
                <w:sz w:val="24"/>
                <w:szCs w:val="20"/>
                <w14:textFill>
                  <w14:solidFill>
                    <w14:schemeClr w14:val="tx1"/>
                  </w14:solidFill>
                </w14:textFill>
              </w:rPr>
              <w:t>类标准要求。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kern w:val="0"/>
                <w:sz w:val="24"/>
                <w:lang w:eastAsia="zh-CN"/>
                <w14:textFill>
                  <w14:solidFill>
                    <w14:schemeClr w14:val="tx1"/>
                  </w14:solidFill>
                </w14:textFill>
              </w:rPr>
            </w:pPr>
            <w:r>
              <w:rPr>
                <w:rFonts w:hint="eastAsia" w:ascii="Times New Roman" w:hAnsi="Times New Roman" w:cs="Times New Roman"/>
                <w:color w:val="000000" w:themeColor="text1"/>
                <w:kern w:val="0"/>
                <w:sz w:val="24"/>
                <w:lang w:val="en-US" w:eastAsia="zh-CN"/>
                <w14:textFill>
                  <w14:solidFill>
                    <w14:schemeClr w14:val="tx1"/>
                  </w14:solidFill>
                </w14:textFill>
              </w:rPr>
              <w:t>此外，</w:t>
            </w:r>
            <w:r>
              <w:rPr>
                <w:rFonts w:hint="default" w:ascii="Times New Roman" w:hAnsi="Times New Roman" w:cs="Times New Roman"/>
                <w:color w:val="000000" w:themeColor="text1"/>
                <w:kern w:val="0"/>
                <w:sz w:val="24"/>
                <w:lang w:val="en-US" w:eastAsia="zh-CN"/>
                <w14:textFill>
                  <w14:solidFill>
                    <w14:schemeClr w14:val="tx1"/>
                  </w14:solidFill>
                </w14:textFill>
              </w:rPr>
              <w:t>陇县自来水公司委托陕西科仪阳光检测技术服务有限公司对段家峡水库水进行水质检测（见附件6），从检测结论可知，段家峡水库水质符合《生活饮用水卫生标准》（GB 5749-2006）要求，可以作为生活饮用水水源</w:t>
            </w:r>
            <w:r>
              <w:rPr>
                <w:rFonts w:hint="default" w:ascii="Times New Roman" w:hAnsi="Times New Roman" w:cs="Times New Roman"/>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lang w:eastAsia="zh-CN"/>
                <w14:textFill>
                  <w14:solidFill>
                    <w14:schemeClr w14:val="tx1"/>
                  </w14:solidFill>
                </w14:textFill>
              </w:rPr>
              <w:t>（</w:t>
            </w:r>
            <w:r>
              <w:rPr>
                <w:rFonts w:hint="default" w:ascii="Times New Roman" w:hAnsi="Times New Roman" w:cs="Times New Roman"/>
                <w:color w:val="000000" w:themeColor="text1"/>
                <w:kern w:val="0"/>
                <w:sz w:val="24"/>
                <w:lang w:val="en-US" w:eastAsia="zh-CN"/>
                <w14:textFill>
                  <w14:solidFill>
                    <w14:schemeClr w14:val="tx1"/>
                  </w14:solidFill>
                </w14:textFill>
              </w:rPr>
              <w:t>3</w:t>
            </w:r>
            <w:r>
              <w:rPr>
                <w:rFonts w:hint="default" w:ascii="Times New Roman" w:hAnsi="Times New Roman"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声环境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距离本</w:t>
            </w:r>
            <w:r>
              <w:rPr>
                <w:rFonts w:hint="default" w:ascii="Times New Roman" w:hAnsi="Times New Roman" w:eastAsia="宋体" w:cs="Times New Roman"/>
                <w:color w:val="000000" w:themeColor="text1"/>
                <w:kern w:val="0"/>
                <w:sz w:val="24"/>
                <w14:textFill>
                  <w14:solidFill>
                    <w14:schemeClr w14:val="tx1"/>
                  </w14:solidFill>
                </w14:textFill>
              </w:rPr>
              <w:t>项目厂界</w:t>
            </w:r>
            <w:r>
              <w:rPr>
                <w:rFonts w:hint="eastAsia" w:cs="Times New Roman"/>
                <w:color w:val="000000" w:themeColor="text1"/>
                <w:kern w:val="0"/>
                <w:sz w:val="24"/>
                <w:lang w:val="en-US" w:eastAsia="zh-CN"/>
                <w14:textFill>
                  <w14:solidFill>
                    <w14:schemeClr w14:val="tx1"/>
                  </w14:solidFill>
                </w14:textFill>
              </w:rPr>
              <w:t>最近的</w:t>
            </w:r>
            <w:r>
              <w:rPr>
                <w:rFonts w:hint="default" w:ascii="Times New Roman" w:hAnsi="Times New Roman" w:eastAsia="宋体" w:cs="Times New Roman"/>
                <w:color w:val="000000" w:themeColor="text1"/>
                <w:sz w:val="24"/>
                <w14:textFill>
                  <w14:solidFill>
                    <w14:schemeClr w14:val="tx1"/>
                  </w14:solidFill>
                </w14:textFill>
              </w:rPr>
              <w:t>声</w:t>
            </w:r>
            <w:r>
              <w:rPr>
                <w:rFonts w:hint="eastAsia" w:cs="Times New Roman"/>
                <w:color w:val="000000" w:themeColor="text1"/>
                <w:kern w:val="0"/>
                <w:sz w:val="24"/>
                <w:lang w:val="en-US" w:eastAsia="zh-CN"/>
                <w14:textFill>
                  <w14:solidFill>
                    <w14:schemeClr w14:val="tx1"/>
                  </w14:solidFill>
                </w14:textFill>
              </w:rPr>
              <w:t>环境保护目标为西侧约28m处的</w:t>
            </w:r>
            <w:r>
              <w:rPr>
                <w:rFonts w:hint="default" w:ascii="Times New Roman" w:hAnsi="Times New Roman" w:eastAsia="宋体" w:cs="Times New Roman"/>
                <w:color w:val="000000" w:themeColor="text1"/>
                <w:kern w:val="0"/>
                <w:sz w:val="24"/>
                <w14:textFill>
                  <w14:solidFill>
                    <w14:schemeClr w14:val="tx1"/>
                  </w14:solidFill>
                </w14:textFill>
              </w:rPr>
              <w:t>王马咀村</w:t>
            </w:r>
            <w:r>
              <w:rPr>
                <w:rFonts w:hint="eastAsia" w:cs="Times New Roman"/>
                <w:color w:val="000000" w:themeColor="text1"/>
                <w:kern w:val="0"/>
                <w:sz w:val="24"/>
                <w:lang w:eastAsia="zh-CN"/>
                <w14:textFill>
                  <w14:solidFill>
                    <w14:schemeClr w14:val="tx1"/>
                  </w14:solidFill>
                </w14:textFill>
              </w:rPr>
              <w:t>。</w:t>
            </w:r>
            <w:r>
              <w:rPr>
                <w:color w:val="000000" w:themeColor="text1"/>
                <w:sz w:val="24"/>
                <w14:textFill>
                  <w14:solidFill>
                    <w14:schemeClr w14:val="tx1"/>
                  </w14:solidFill>
                </w14:textFill>
              </w:rPr>
              <w:t>本次评价采用</w:t>
            </w:r>
            <w:r>
              <w:rPr>
                <w:rFonts w:hint="eastAsia"/>
                <w:color w:val="000000" w:themeColor="text1"/>
                <w:sz w:val="24"/>
                <w:lang w:bidi="ar"/>
                <w14:textFill>
                  <w14:solidFill>
                    <w14:schemeClr w14:val="tx1"/>
                  </w14:solidFill>
                </w14:textFill>
              </w:rPr>
              <w:t>宝鸡市文理检测技术有限公司</w:t>
            </w:r>
            <w:r>
              <w:rPr>
                <w:color w:val="000000" w:themeColor="text1"/>
                <w:sz w:val="24"/>
                <w14:textFill>
                  <w14:solidFill>
                    <w14:schemeClr w14:val="tx1"/>
                  </w14:solidFill>
                </w14:textFill>
              </w:rPr>
              <w:t>于202</w:t>
            </w:r>
            <w:r>
              <w:rPr>
                <w:rFonts w:hint="eastAsia"/>
                <w:color w:val="000000" w:themeColor="text1"/>
                <w:sz w:val="24"/>
                <w:lang w:val="en-US" w:eastAsia="zh-CN"/>
                <w14:textFill>
                  <w14:solidFill>
                    <w14:schemeClr w14:val="tx1"/>
                  </w14:solidFill>
                </w14:textFill>
              </w:rPr>
              <w:t>2</w:t>
            </w:r>
            <w:r>
              <w:rPr>
                <w:color w:val="000000" w:themeColor="text1"/>
                <w:sz w:val="24"/>
                <w14:textFill>
                  <w14:solidFill>
                    <w14:schemeClr w14:val="tx1"/>
                  </w14:solidFill>
                </w14:textFill>
              </w:rPr>
              <w:t>年</w:t>
            </w:r>
            <w:r>
              <w:rPr>
                <w:rFonts w:hint="eastAsia"/>
                <w:color w:val="000000" w:themeColor="text1"/>
                <w:sz w:val="24"/>
                <w:lang w:val="en-US" w:eastAsia="zh-CN"/>
                <w14:textFill>
                  <w14:solidFill>
                    <w14:schemeClr w14:val="tx1"/>
                  </w14:solidFill>
                </w14:textFill>
              </w:rPr>
              <w:t>4</w:t>
            </w:r>
            <w:r>
              <w:rPr>
                <w:color w:val="000000" w:themeColor="text1"/>
                <w:sz w:val="24"/>
                <w14:textFill>
                  <w14:solidFill>
                    <w14:schemeClr w14:val="tx1"/>
                  </w14:solidFill>
                </w14:textFill>
              </w:rPr>
              <w:t>月</w:t>
            </w:r>
            <w:r>
              <w:rPr>
                <w:rFonts w:hint="eastAsia"/>
                <w:color w:val="000000" w:themeColor="text1"/>
                <w:sz w:val="24"/>
                <w:lang w:val="en-US" w:eastAsia="zh-CN"/>
                <w14:textFill>
                  <w14:solidFill>
                    <w14:schemeClr w14:val="tx1"/>
                  </w14:solidFill>
                </w14:textFill>
              </w:rPr>
              <w:t>19</w:t>
            </w:r>
            <w:r>
              <w:rPr>
                <w:color w:val="000000" w:themeColor="text1"/>
                <w:sz w:val="24"/>
                <w14:textFill>
                  <w14:solidFill>
                    <w14:schemeClr w14:val="tx1"/>
                  </w14:solidFill>
                </w14:textFill>
              </w:rPr>
              <w:t>日的噪声监测数据。监测报告编号：</w:t>
            </w:r>
            <w:r>
              <w:rPr>
                <w:rFonts w:hint="eastAsia"/>
                <w:color w:val="000000" w:themeColor="text1"/>
                <w:sz w:val="24"/>
                <w:lang w:bidi="ar"/>
                <w14:textFill>
                  <w14:solidFill>
                    <w14:schemeClr w14:val="tx1"/>
                  </w14:solidFill>
                </w14:textFill>
              </w:rPr>
              <w:t>文理监〔声</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字（202</w:t>
            </w:r>
            <w:r>
              <w:rPr>
                <w:rFonts w:hint="eastAsia"/>
                <w:color w:val="000000" w:themeColor="text1"/>
                <w:sz w:val="24"/>
                <w:lang w:val="en-US" w:eastAsia="zh-CN"/>
                <w14:textFill>
                  <w14:solidFill>
                    <w14:schemeClr w14:val="tx1"/>
                  </w14:solidFill>
                </w14:textFill>
              </w:rPr>
              <w:t>2</w:t>
            </w:r>
            <w:r>
              <w:rPr>
                <w:color w:val="000000" w:themeColor="text1"/>
                <w:sz w:val="24"/>
                <w14:textFill>
                  <w14:solidFill>
                    <w14:schemeClr w14:val="tx1"/>
                  </w14:solidFill>
                </w14:textFill>
              </w:rPr>
              <w:t>）第</w:t>
            </w:r>
            <w:r>
              <w:rPr>
                <w:rFonts w:hint="eastAsia"/>
                <w:color w:val="000000" w:themeColor="text1"/>
                <w:sz w:val="24"/>
                <w:lang w:val="en-US" w:eastAsia="zh-CN"/>
                <w14:textFill>
                  <w14:solidFill>
                    <w14:schemeClr w14:val="tx1"/>
                  </w14:solidFill>
                </w14:textFill>
              </w:rPr>
              <w:t>0423</w:t>
            </w:r>
            <w:r>
              <w:rPr>
                <w:color w:val="000000" w:themeColor="text1"/>
                <w:sz w:val="24"/>
                <w14:textFill>
                  <w14:solidFill>
                    <w14:schemeClr w14:val="tx1"/>
                  </w14:solidFill>
                </w14:textFill>
              </w:rPr>
              <w:t>号</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详见附件7</w:t>
            </w:r>
            <w:r>
              <w:rPr>
                <w:color w:val="000000" w:themeColor="text1"/>
                <w:sz w:val="24"/>
                <w14:textFill>
                  <w14:solidFill>
                    <w14:schemeClr w14:val="tx1"/>
                  </w14:solidFill>
                </w14:textFill>
              </w:rPr>
              <w:t>。噪声测量参照《声环境质量标准》（GB3096-2008）中环境噪声监测要求，监测结果见表3-</w:t>
            </w:r>
            <w:r>
              <w:rPr>
                <w:rFonts w:hint="eastAsia"/>
                <w:color w:val="000000" w:themeColor="text1"/>
                <w:sz w:val="24"/>
                <w14:textFill>
                  <w14:solidFill>
                    <w14:schemeClr w14:val="tx1"/>
                  </w14:solidFill>
                </w14:textFill>
              </w:rPr>
              <w:t>4</w:t>
            </w:r>
            <w:r>
              <w:rPr>
                <w:rFonts w:hint="default" w:ascii="Times New Roman" w:hAnsi="Times New Roman" w:eastAsia="宋体" w:cs="Times New Roman"/>
                <w:color w:val="000000" w:themeColor="text1"/>
                <w:kern w:val="0"/>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表3-</w:t>
            </w:r>
            <w:r>
              <w:rPr>
                <w:rFonts w:hint="default" w:ascii="Times New Roman" w:hAnsi="Times New Roman" w:eastAsia="宋体" w:cs="Times New Roman"/>
                <w:b/>
                <w:color w:val="000000" w:themeColor="text1"/>
                <w:sz w:val="24"/>
                <w:lang w:val="en-US" w:eastAsia="zh-CN"/>
                <w14:textFill>
                  <w14:solidFill>
                    <w14:schemeClr w14:val="tx1"/>
                  </w14:solidFill>
                </w14:textFill>
              </w:rPr>
              <w:t>4</w:t>
            </w:r>
            <w:r>
              <w:rPr>
                <w:rFonts w:hint="default" w:ascii="Times New Roman" w:hAnsi="Times New Roman" w:eastAsia="宋体" w:cs="Times New Roman"/>
                <w:b/>
                <w:color w:val="000000" w:themeColor="text1"/>
                <w:sz w:val="24"/>
                <w14:textFill>
                  <w14:solidFill>
                    <w14:schemeClr w14:val="tx1"/>
                  </w14:solidFill>
                </w14:textFill>
              </w:rPr>
              <w:t xml:space="preserve">  </w:t>
            </w:r>
            <w:r>
              <w:rPr>
                <w:b/>
                <w:bCs/>
                <w:color w:val="000000" w:themeColor="text1"/>
                <w:sz w:val="24"/>
                <w14:textFill>
                  <w14:solidFill>
                    <w14:schemeClr w14:val="tx1"/>
                  </w14:solidFill>
                </w14:textFill>
              </w:rPr>
              <w:t>声环境现状监测结果</w:t>
            </w:r>
            <w:r>
              <w:rPr>
                <w:rFonts w:hint="default" w:ascii="Times New Roman" w:hAnsi="Times New Roman" w:eastAsia="宋体" w:cs="Times New Roman"/>
                <w:b/>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14:textFill>
                  <w14:solidFill>
                    <w14:schemeClr w14:val="tx1"/>
                  </w14:solidFill>
                </w14:textFill>
              </w:rPr>
              <w:t>单位：dB</w:t>
            </w:r>
            <w:r>
              <w:rPr>
                <w:rFonts w:hint="eastAsia" w:cs="Times New Roman"/>
                <w:b/>
                <w:color w:val="000000" w:themeColor="text1"/>
                <w:sz w:val="24"/>
                <w:lang w:eastAsia="zh-CN"/>
                <w14:textFill>
                  <w14:solidFill>
                    <w14:schemeClr w14:val="tx1"/>
                  </w14:solidFill>
                </w14:textFill>
              </w:rPr>
              <w:t>（</w:t>
            </w:r>
            <w:r>
              <w:rPr>
                <w:rFonts w:hint="default" w:ascii="Times New Roman" w:hAnsi="Times New Roman" w:eastAsia="宋体" w:cs="Times New Roman"/>
                <w:b/>
                <w:color w:val="000000" w:themeColor="text1"/>
                <w:sz w:val="24"/>
                <w14:textFill>
                  <w14:solidFill>
                    <w14:schemeClr w14:val="tx1"/>
                  </w14:solidFill>
                </w14:textFill>
              </w:rPr>
              <w:t>A</w:t>
            </w:r>
            <w:r>
              <w:rPr>
                <w:rFonts w:hint="eastAsia" w:cs="Times New Roman"/>
                <w:b/>
                <w:color w:val="000000" w:themeColor="text1"/>
                <w:sz w:val="24"/>
                <w:lang w:eastAsia="zh-CN"/>
                <w14:textFill>
                  <w14:solidFill>
                    <w14:schemeClr w14:val="tx1"/>
                  </w14:solidFill>
                </w14:textFill>
              </w:rPr>
              <w:t>）</w:t>
            </w:r>
          </w:p>
          <w:tbl>
            <w:tblPr>
              <w:tblStyle w:val="22"/>
              <w:tblW w:w="7968"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889"/>
              <w:gridCol w:w="1668"/>
              <w:gridCol w:w="1195"/>
              <w:gridCol w:w="1054"/>
              <w:gridCol w:w="1054"/>
              <w:gridCol w:w="1054"/>
              <w:gridCol w:w="1054"/>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51" w:hRule="atLeast"/>
                <w:tblHeader/>
                <w:jc w:val="center"/>
              </w:trPr>
              <w:tc>
                <w:tcPr>
                  <w:tcW w:w="889" w:type="dxa"/>
                  <w:noWrap w:val="0"/>
                  <w:tcMar>
                    <w:left w:w="0" w:type="dxa"/>
                    <w:right w:w="0" w:type="dxa"/>
                  </w:tcMar>
                  <w:vAlign w:val="center"/>
                </w:tcPr>
                <w:p>
                  <w:pPr>
                    <w:pStyle w:val="6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测点编号</w:t>
                  </w:r>
                </w:p>
              </w:tc>
              <w:tc>
                <w:tcPr>
                  <w:tcW w:w="1668" w:type="dxa"/>
                  <w:noWrap w:val="0"/>
                  <w:tcMar>
                    <w:left w:w="0" w:type="dxa"/>
                    <w:right w:w="0" w:type="dxa"/>
                  </w:tcMar>
                  <w:vAlign w:val="center"/>
                </w:tcPr>
                <w:p>
                  <w:pPr>
                    <w:pStyle w:val="6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监测日期</w:t>
                  </w:r>
                </w:p>
              </w:tc>
              <w:tc>
                <w:tcPr>
                  <w:tcW w:w="1195" w:type="dxa"/>
                  <w:noWrap w:val="0"/>
                  <w:tcMar>
                    <w:left w:w="0" w:type="dxa"/>
                    <w:right w:w="0" w:type="dxa"/>
                  </w:tcMar>
                  <w:vAlign w:val="center"/>
                </w:tcPr>
                <w:p>
                  <w:pPr>
                    <w:pStyle w:val="6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测点位置</w:t>
                  </w:r>
                </w:p>
              </w:tc>
              <w:tc>
                <w:tcPr>
                  <w:tcW w:w="1054" w:type="dxa"/>
                  <w:noWrap w:val="0"/>
                  <w:tcMar>
                    <w:left w:w="0" w:type="dxa"/>
                    <w:right w:w="0" w:type="dxa"/>
                  </w:tcMar>
                  <w:vAlign w:val="center"/>
                </w:tcPr>
                <w:p>
                  <w:pPr>
                    <w:pStyle w:val="6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昼间</w:t>
                  </w:r>
                </w:p>
                <w:p>
                  <w:pPr>
                    <w:pStyle w:val="6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噪声值</w:t>
                  </w:r>
                </w:p>
              </w:tc>
              <w:tc>
                <w:tcPr>
                  <w:tcW w:w="1054" w:type="dxa"/>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夜间</w:t>
                  </w:r>
                </w:p>
                <w:p>
                  <w:pPr>
                    <w:pStyle w:val="6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噪声值</w:t>
                  </w:r>
                </w:p>
              </w:tc>
              <w:tc>
                <w:tcPr>
                  <w:tcW w:w="1054" w:type="dxa"/>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昼间</w:t>
                  </w:r>
                </w:p>
                <w:p>
                  <w:pPr>
                    <w:pStyle w:val="6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标准值</w:t>
                  </w:r>
                </w:p>
              </w:tc>
              <w:tc>
                <w:tcPr>
                  <w:tcW w:w="1054" w:type="dxa"/>
                  <w:noWrap w:val="0"/>
                  <w:tcMar>
                    <w:left w:w="0" w:type="dxa"/>
                    <w:right w:w="0" w:type="dxa"/>
                  </w:tcMar>
                  <w:vAlign w:val="center"/>
                </w:tcPr>
                <w:p>
                  <w:pPr>
                    <w:pStyle w:val="6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夜间</w:t>
                  </w:r>
                </w:p>
                <w:p>
                  <w:pPr>
                    <w:pStyle w:val="6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标准值</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889" w:type="dxa"/>
                  <w:noWrap w:val="0"/>
                  <w:tcMar>
                    <w:left w:w="0" w:type="dxa"/>
                    <w:right w:w="0" w:type="dxa"/>
                  </w:tcMar>
                  <w:vAlign w:val="center"/>
                </w:tcPr>
                <w:p>
                  <w:pPr>
                    <w:pStyle w:val="6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1668" w:type="dxa"/>
                  <w:noWrap w:val="0"/>
                  <w:tcMar>
                    <w:left w:w="0" w:type="dxa"/>
                    <w:right w:w="0" w:type="dxa"/>
                  </w:tcMar>
                  <w:vAlign w:val="center"/>
                </w:tcPr>
                <w:p>
                  <w:pPr>
                    <w:pStyle w:val="68"/>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w:t>
                  </w:r>
                  <w:r>
                    <w:rPr>
                      <w:rFonts w:hint="default" w:ascii="Times New Roman" w:hAnsi="Times New Roman" w:cs="Times New Roman"/>
                      <w:color w:val="000000" w:themeColor="text1"/>
                      <w:sz w:val="21"/>
                      <w:szCs w:val="21"/>
                      <w:lang w:val="en-US" w:eastAsia="zh-CN"/>
                      <w14:textFill>
                        <w14:solidFill>
                          <w14:schemeClr w14:val="tx1"/>
                        </w14:solidFill>
                      </w14:textFill>
                    </w:rPr>
                    <w:t>22</w:t>
                  </w:r>
                  <w:r>
                    <w:rPr>
                      <w:rFonts w:hint="default" w:ascii="Times New Roman" w:hAnsi="Times New Roman" w:cs="Times New Roman"/>
                      <w:color w:val="000000" w:themeColor="text1"/>
                      <w:sz w:val="21"/>
                      <w:szCs w:val="21"/>
                      <w14:textFill>
                        <w14:solidFill>
                          <w14:schemeClr w14:val="tx1"/>
                        </w14:solidFill>
                      </w14:textFill>
                    </w:rPr>
                    <w:t>年</w:t>
                  </w:r>
                  <w:r>
                    <w:rPr>
                      <w:rFonts w:hint="default" w:ascii="Times New Roman" w:hAnsi="Times New Roman" w:cs="Times New Roman"/>
                      <w:color w:val="000000" w:themeColor="text1"/>
                      <w:sz w:val="21"/>
                      <w:szCs w:val="21"/>
                      <w:lang w:val="en-US" w:eastAsia="zh-CN"/>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月</w:t>
                  </w:r>
                  <w:r>
                    <w:rPr>
                      <w:rFonts w:hint="default" w:ascii="Times New Roman" w:hAnsi="Times New Roman" w:cs="Times New Roman"/>
                      <w:color w:val="000000" w:themeColor="text1"/>
                      <w:sz w:val="21"/>
                      <w:szCs w:val="21"/>
                      <w:lang w:val="en-US" w:eastAsia="zh-CN"/>
                      <w14:textFill>
                        <w14:solidFill>
                          <w14:schemeClr w14:val="tx1"/>
                        </w14:solidFill>
                      </w14:textFill>
                    </w:rPr>
                    <w:t>19</w:t>
                  </w:r>
                  <w:r>
                    <w:rPr>
                      <w:rFonts w:hint="default" w:ascii="Times New Roman" w:hAnsi="Times New Roman" w:cs="Times New Roman"/>
                      <w:color w:val="000000" w:themeColor="text1"/>
                      <w:sz w:val="21"/>
                      <w:szCs w:val="21"/>
                      <w14:textFill>
                        <w14:solidFill>
                          <w14:schemeClr w14:val="tx1"/>
                        </w14:solidFill>
                      </w14:textFill>
                    </w:rPr>
                    <w:t>日</w:t>
                  </w:r>
                </w:p>
              </w:tc>
              <w:tc>
                <w:tcPr>
                  <w:tcW w:w="1195" w:type="dxa"/>
                  <w:noWrap w:val="0"/>
                  <w:tcMar>
                    <w:left w:w="0" w:type="dxa"/>
                    <w:right w:w="0" w:type="dxa"/>
                  </w:tcMar>
                  <w:vAlign w:val="center"/>
                </w:tcPr>
                <w:p>
                  <w:pPr>
                    <w:pStyle w:val="6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王马咀村</w:t>
                  </w:r>
                </w:p>
              </w:tc>
              <w:tc>
                <w:tcPr>
                  <w:tcW w:w="1054"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54</w:t>
                  </w:r>
                </w:p>
              </w:tc>
              <w:tc>
                <w:tcPr>
                  <w:tcW w:w="105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44</w:t>
                  </w:r>
                </w:p>
              </w:tc>
              <w:tc>
                <w:tcPr>
                  <w:tcW w:w="1054" w:type="dxa"/>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60</w:t>
                  </w:r>
                </w:p>
              </w:tc>
              <w:tc>
                <w:tcPr>
                  <w:tcW w:w="1054" w:type="dxa"/>
                  <w:noWrap w:val="0"/>
                  <w:tcMar>
                    <w:left w:w="0" w:type="dxa"/>
                    <w:right w:w="0" w:type="dxa"/>
                  </w:tcMar>
                  <w:vAlign w:val="center"/>
                </w:tcPr>
                <w:p>
                  <w:pPr>
                    <w:pStyle w:val="6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55</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lang w:eastAsia="zh-CN"/>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由表</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3-4</w:t>
            </w:r>
            <w:r>
              <w:rPr>
                <w:rFonts w:hint="default" w:ascii="Times New Roman" w:hAnsi="Times New Roman" w:eastAsia="宋体" w:cs="Times New Roman"/>
                <w:color w:val="000000" w:themeColor="text1"/>
                <w:kern w:val="0"/>
                <w:sz w:val="24"/>
                <w14:textFill>
                  <w14:solidFill>
                    <w14:schemeClr w14:val="tx1"/>
                  </w14:solidFill>
                </w14:textFill>
              </w:rPr>
              <w:t>可</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知，王马咀村昼夜间环境噪声值满足《声环境质量标准》（GB3096-2008）</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类区标准。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904" w:type="dxa"/>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与项目有关的原有环境污染和生态破坏问题</w:t>
            </w:r>
          </w:p>
        </w:tc>
        <w:tc>
          <w:tcPr>
            <w:tcW w:w="825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水厂的取水口位于段家峡水库东岸，距离水厂约7899m；水源所在地自然环境良好，周边为少数农用耕地，属于农村环境。根据现场调查，水源地周边无规模化畜禽养殖场和专业户畜禽养殖。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项目生产和生活污水经化粪池处理后用于农田施肥。居民生活垃圾由环卫部门统一收集清理并及时运往垃圾处理厂处置。因此项目生产生活污染源对水源地水质影响较小。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本项目为新建项目，位于天成镇王马咀村，符合天成镇土地利用总体规划，根据现场勘查及走访相关部门，该地块未发生过环境问题。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904" w:type="dxa"/>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生态环境保护目标</w:t>
            </w:r>
          </w:p>
        </w:tc>
        <w:tc>
          <w:tcPr>
            <w:tcW w:w="825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1、生态环境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①生态评价范围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根据《</w:t>
            </w:r>
            <w:r>
              <w:rPr>
                <w:rFonts w:hint="default" w:ascii="Times New Roman" w:hAnsi="Times New Roman" w:eastAsia="宋体" w:cs="Times New Roman"/>
                <w:color w:val="000000" w:themeColor="text1"/>
                <w:sz w:val="24"/>
                <w14:textFill>
                  <w14:solidFill>
                    <w14:schemeClr w14:val="tx1"/>
                  </w14:solidFill>
                </w14:textFill>
              </w:rPr>
              <w:t>环境影响评价技术导则 生态影响</w:t>
            </w:r>
            <w:r>
              <w:rPr>
                <w:rFonts w:hint="default" w:ascii="Times New Roman" w:hAnsi="Times New Roman" w:eastAsia="宋体" w:cs="Times New Roman"/>
                <w:color w:val="000000" w:themeColor="text1"/>
                <w:kern w:val="0"/>
                <w:sz w:val="24"/>
                <w14:textFill>
                  <w14:solidFill>
                    <w14:schemeClr w14:val="tx1"/>
                  </w14:solidFill>
                </w14:textFill>
              </w:rPr>
              <w:t>》（HJ19-2022），结合本工程的影响方式及影响程度，确定永久占地范围、临时占地范围及线性工程占地范围外扩</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14:textFill>
                  <w14:solidFill>
                    <w14:schemeClr w14:val="tx1"/>
                  </w14:solidFill>
                </w14:textFill>
              </w:rPr>
              <w:t>00m为陆域的评价范围，临时占地包括</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临时管线工程区</w:t>
            </w:r>
            <w:r>
              <w:rPr>
                <w:rFonts w:hint="default" w:ascii="Times New Roman" w:hAnsi="Times New Roman" w:eastAsia="宋体" w:cs="Times New Roman"/>
                <w:color w:val="000000" w:themeColor="text1"/>
                <w:kern w:val="0"/>
                <w:sz w:val="24"/>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临时施工便道区</w:t>
            </w:r>
            <w:r>
              <w:rPr>
                <w:rFonts w:hint="default" w:ascii="Times New Roman" w:hAnsi="Times New Roman" w:eastAsia="宋体" w:cs="Times New Roman"/>
                <w:color w:val="000000" w:themeColor="text1"/>
                <w:kern w:val="0"/>
                <w:sz w:val="24"/>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临时施工生产生活区</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临时材料堆放场</w:t>
            </w:r>
            <w:r>
              <w:rPr>
                <w:rFonts w:hint="default" w:ascii="Times New Roman" w:hAnsi="Times New Roman" w:eastAsia="宋体" w:cs="Times New Roman"/>
                <w:color w:val="000000" w:themeColor="text1"/>
                <w:kern w:val="0"/>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②生态保护目标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经调查，</w:t>
            </w:r>
            <w:r>
              <w:rPr>
                <w:rFonts w:hint="eastAsia" w:cs="Times New Roman"/>
                <w:color w:val="000000" w:themeColor="text1"/>
                <w:kern w:val="0"/>
                <w:sz w:val="24"/>
                <w:lang w:val="en-US" w:eastAsia="zh-CN"/>
                <w14:textFill>
                  <w14:solidFill>
                    <w14:schemeClr w14:val="tx1"/>
                  </w14:solidFill>
                </w14:textFill>
              </w:rPr>
              <w:t>本</w:t>
            </w:r>
            <w:r>
              <w:rPr>
                <w:rFonts w:hint="default" w:ascii="Times New Roman" w:hAnsi="Times New Roman" w:eastAsia="宋体" w:cs="Times New Roman"/>
                <w:color w:val="000000" w:themeColor="text1"/>
                <w:sz w:val="24"/>
                <w14:textFill>
                  <w14:solidFill>
                    <w14:schemeClr w14:val="tx1"/>
                  </w14:solidFill>
                </w14:textFill>
              </w:rPr>
              <w:t>项目所在地不涉及县级、乡镇生活饮用水水源保护区；未涉及自然生态保护区，不属于特殊生态敏感区；项目所在地未在森林公园、风景名胜区、湿地公园、水产种质资源保护区及重要鱼类产卵场内，</w:t>
            </w:r>
            <w:r>
              <w:rPr>
                <w:rFonts w:hint="default" w:ascii="Times New Roman" w:hAnsi="Times New Roman" w:eastAsia="宋体" w:cs="Times New Roman"/>
                <w:color w:val="000000" w:themeColor="text1"/>
                <w:kern w:val="0"/>
                <w:sz w:val="24"/>
                <w14:textFill>
                  <w14:solidFill>
                    <w14:schemeClr w14:val="tx1"/>
                  </w14:solidFill>
                </w14:textFill>
              </w:rPr>
              <w:t>评价范围内无HJ19-2022中的特殊生态敏感区、重要生态敏感区。</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eastAsia="宋体"/>
                <w:color w:val="000000" w:themeColor="text1"/>
                <w:kern w:val="0"/>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2、环境保护目标</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000000" w:themeColor="text1"/>
                <w:sz w:val="24"/>
                <w:lang w:eastAsia="zh-CN"/>
                <w14:textFill>
                  <w14:solidFill>
                    <w14:schemeClr w14:val="tx1"/>
                  </w14:solidFill>
                </w14:textFill>
              </w:rPr>
            </w:pPr>
            <w:r>
              <w:rPr>
                <w:color w:val="000000" w:themeColor="text1"/>
                <w:kern w:val="0"/>
                <w:sz w:val="24"/>
                <w14:textFill>
                  <w14:solidFill>
                    <w14:schemeClr w14:val="tx1"/>
                  </w14:solidFill>
                </w14:textFill>
              </w:rPr>
              <w:t>根据现场</w:t>
            </w:r>
            <w:r>
              <w:rPr>
                <w:rFonts w:hint="eastAsia"/>
                <w:color w:val="000000" w:themeColor="text1"/>
                <w:kern w:val="0"/>
                <w:sz w:val="24"/>
                <w14:textFill>
                  <w14:solidFill>
                    <w14:schemeClr w14:val="tx1"/>
                  </w14:solidFill>
                </w14:textFill>
              </w:rPr>
              <w:t>踏勘</w:t>
            </w:r>
            <w:r>
              <w:rPr>
                <w:color w:val="000000" w:themeColor="text1"/>
                <w:kern w:val="0"/>
                <w:sz w:val="24"/>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本项目</w:t>
            </w:r>
            <w:r>
              <w:rPr>
                <w:color w:val="000000" w:themeColor="text1"/>
                <w:kern w:val="0"/>
                <w:sz w:val="24"/>
                <w14:textFill>
                  <w14:solidFill>
                    <w14:schemeClr w14:val="tx1"/>
                  </w14:solidFill>
                </w14:textFill>
              </w:rPr>
              <w:t>厂界外500</w:t>
            </w:r>
            <w:r>
              <w:rPr>
                <w:rFonts w:hint="eastAsia"/>
                <w:color w:val="000000" w:themeColor="text1"/>
                <w:kern w:val="0"/>
                <w:sz w:val="24"/>
                <w14:textFill>
                  <w14:solidFill>
                    <w14:schemeClr w14:val="tx1"/>
                  </w14:solidFill>
                </w14:textFill>
              </w:rPr>
              <w:t>m</w:t>
            </w:r>
            <w:r>
              <w:rPr>
                <w:color w:val="000000" w:themeColor="text1"/>
                <w:kern w:val="0"/>
                <w:sz w:val="24"/>
                <w14:textFill>
                  <w14:solidFill>
                    <w14:schemeClr w14:val="tx1"/>
                  </w14:solidFill>
                </w14:textFill>
              </w:rPr>
              <w:t>范围内</w:t>
            </w:r>
            <w:r>
              <w:rPr>
                <w:rFonts w:hint="eastAsia"/>
                <w:color w:val="000000" w:themeColor="text1"/>
                <w:kern w:val="0"/>
                <w:sz w:val="24"/>
                <w14:textFill>
                  <w14:solidFill>
                    <w14:schemeClr w14:val="tx1"/>
                  </w14:solidFill>
                </w14:textFill>
              </w:rPr>
              <w:t>无</w:t>
            </w:r>
            <w:r>
              <w:rPr>
                <w:color w:val="000000" w:themeColor="text1"/>
                <w:kern w:val="0"/>
                <w:sz w:val="24"/>
                <w14:textFill>
                  <w14:solidFill>
                    <w14:schemeClr w14:val="tx1"/>
                  </w14:solidFill>
                </w14:textFill>
              </w:rPr>
              <w:t>地下水集中式饮用水水源和热水、矿泉水、温泉等特殊地下水资源</w:t>
            </w:r>
            <w:r>
              <w:rPr>
                <w:rFonts w:hint="eastAsia"/>
                <w:color w:val="000000" w:themeColor="text1"/>
                <w:kern w:val="0"/>
                <w:sz w:val="24"/>
                <w14:textFill>
                  <w14:solidFill>
                    <w14:schemeClr w14:val="tx1"/>
                  </w14:solidFill>
                </w14:textFill>
              </w:rPr>
              <w:t>；本项目</w:t>
            </w:r>
            <w:r>
              <w:rPr>
                <w:color w:val="000000" w:themeColor="text1"/>
                <w:kern w:val="0"/>
                <w:sz w:val="24"/>
                <w14:textFill>
                  <w14:solidFill>
                    <w14:schemeClr w14:val="tx1"/>
                  </w14:solidFill>
                </w14:textFill>
              </w:rPr>
              <w:t>新增用地范围内</w:t>
            </w:r>
            <w:r>
              <w:rPr>
                <w:rFonts w:hint="eastAsia"/>
                <w:color w:val="000000" w:themeColor="text1"/>
                <w:kern w:val="0"/>
                <w:sz w:val="24"/>
                <w14:textFill>
                  <w14:solidFill>
                    <w14:schemeClr w14:val="tx1"/>
                  </w14:solidFill>
                </w14:textFill>
              </w:rPr>
              <w:t>无</w:t>
            </w:r>
            <w:r>
              <w:rPr>
                <w:color w:val="000000" w:themeColor="text1"/>
                <w:kern w:val="0"/>
                <w:sz w:val="24"/>
                <w14:textFill>
                  <w14:solidFill>
                    <w14:schemeClr w14:val="tx1"/>
                  </w14:solidFill>
                </w14:textFill>
              </w:rPr>
              <w:t>生态环境保护目标</w:t>
            </w:r>
            <w:r>
              <w:rPr>
                <w:rFonts w:hint="eastAsia"/>
                <w:color w:val="000000" w:themeColor="text1"/>
                <w:kern w:val="0"/>
                <w:sz w:val="24"/>
                <w:lang w:eastAsia="zh-CN"/>
                <w14:textFill>
                  <w14:solidFill>
                    <w14:schemeClr w14:val="tx1"/>
                  </w14:solidFill>
                </w14:textFill>
              </w:rPr>
              <w:t>；</w:t>
            </w:r>
            <w:r>
              <w:rPr>
                <w:rFonts w:hint="eastAsia" w:cs="Times New Roman"/>
                <w:color w:val="000000" w:themeColor="text1"/>
                <w:kern w:val="0"/>
                <w:sz w:val="24"/>
                <w:lang w:val="en-US" w:eastAsia="zh-CN"/>
                <w14:textFill>
                  <w14:solidFill>
                    <w14:schemeClr w14:val="tx1"/>
                  </w14:solidFill>
                </w14:textFill>
              </w:rPr>
              <w:t>距离本</w:t>
            </w:r>
            <w:r>
              <w:rPr>
                <w:rFonts w:hint="default" w:ascii="Times New Roman" w:hAnsi="Times New Roman" w:eastAsia="宋体" w:cs="Times New Roman"/>
                <w:color w:val="000000" w:themeColor="text1"/>
                <w:kern w:val="0"/>
                <w:sz w:val="24"/>
                <w14:textFill>
                  <w14:solidFill>
                    <w14:schemeClr w14:val="tx1"/>
                  </w14:solidFill>
                </w14:textFill>
              </w:rPr>
              <w:t>项目厂界</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最近的</w:t>
            </w:r>
            <w:r>
              <w:rPr>
                <w:rFonts w:hint="default" w:ascii="Times New Roman" w:hAnsi="Times New Roman" w:eastAsia="宋体" w:cs="Times New Roman"/>
                <w:color w:val="000000" w:themeColor="text1"/>
                <w:kern w:val="0"/>
                <w:sz w:val="24"/>
                <w14:textFill>
                  <w14:solidFill>
                    <w14:schemeClr w14:val="tx1"/>
                  </w14:solidFill>
                </w14:textFill>
              </w:rPr>
              <w:t>声</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环境保护目标为西侧约28m处的</w:t>
            </w:r>
            <w:r>
              <w:rPr>
                <w:rFonts w:hint="default" w:ascii="Times New Roman" w:hAnsi="Times New Roman" w:eastAsia="宋体" w:cs="Times New Roman"/>
                <w:color w:val="000000" w:themeColor="text1"/>
                <w:kern w:val="0"/>
                <w:sz w:val="24"/>
                <w14:textFill>
                  <w14:solidFill>
                    <w14:schemeClr w14:val="tx1"/>
                  </w14:solidFill>
                </w14:textFill>
              </w:rPr>
              <w:t>王马咀村</w:t>
            </w:r>
            <w:r>
              <w:rPr>
                <w:rFonts w:hint="eastAsia" w:ascii="Times New Roman" w:hAnsi="Times New Roman" w:eastAsia="宋体" w:cs="Times New Roman"/>
                <w:color w:val="000000" w:themeColor="text1"/>
                <w:kern w:val="0"/>
                <w:sz w:val="24"/>
                <w14:textFill>
                  <w14:solidFill>
                    <w14:schemeClr w14:val="tx1"/>
                  </w14:solidFill>
                </w14:textFill>
              </w:rPr>
              <w:t>；本项目</w:t>
            </w:r>
            <w:r>
              <w:rPr>
                <w:rFonts w:hint="default" w:ascii="Times New Roman" w:hAnsi="Times New Roman" w:eastAsia="宋体" w:cs="Times New Roman"/>
                <w:color w:val="000000" w:themeColor="text1"/>
                <w:kern w:val="0"/>
                <w:sz w:val="24"/>
                <w14:textFill>
                  <w14:solidFill>
                    <w14:schemeClr w14:val="tx1"/>
                  </w14:solidFill>
                </w14:textFill>
              </w:rPr>
              <w:t>厂界外5</w:t>
            </w:r>
            <w:r>
              <w:rPr>
                <w:rFonts w:hint="eastAsia" w:ascii="Times New Roman" w:hAnsi="Times New Roman" w:eastAsia="宋体" w:cs="Times New Roman"/>
                <w:color w:val="000000" w:themeColor="text1"/>
                <w:kern w:val="0"/>
                <w:sz w:val="24"/>
                <w14:textFill>
                  <w14:solidFill>
                    <w14:schemeClr w14:val="tx1"/>
                  </w14:solidFill>
                </w14:textFill>
              </w:rPr>
              <w:t>0</w:t>
            </w:r>
            <w:r>
              <w:rPr>
                <w:rFonts w:hint="default" w:ascii="Times New Roman" w:hAnsi="Times New Roman" w:eastAsia="宋体" w:cs="Times New Roman"/>
                <w:color w:val="000000" w:themeColor="text1"/>
                <w:kern w:val="0"/>
                <w:sz w:val="24"/>
                <w14:textFill>
                  <w14:solidFill>
                    <w14:schemeClr w14:val="tx1"/>
                  </w14:solidFill>
                </w14:textFill>
              </w:rPr>
              <w:t>0</w:t>
            </w:r>
            <w:r>
              <w:rPr>
                <w:rFonts w:hint="eastAsia" w:ascii="Times New Roman" w:hAnsi="Times New Roman" w:eastAsia="宋体" w:cs="Times New Roman"/>
                <w:color w:val="000000" w:themeColor="text1"/>
                <w:kern w:val="0"/>
                <w:sz w:val="24"/>
                <w14:textFill>
                  <w14:solidFill>
                    <w14:schemeClr w14:val="tx1"/>
                  </w14:solidFill>
                </w14:textFill>
              </w:rPr>
              <w:t>m</w:t>
            </w:r>
            <w:r>
              <w:rPr>
                <w:rFonts w:hint="default" w:ascii="Times New Roman" w:hAnsi="Times New Roman" w:eastAsia="宋体" w:cs="Times New Roman"/>
                <w:color w:val="000000" w:themeColor="text1"/>
                <w:kern w:val="0"/>
                <w:sz w:val="24"/>
                <w14:textFill>
                  <w14:solidFill>
                    <w14:schemeClr w14:val="tx1"/>
                  </w14:solidFill>
                </w14:textFill>
              </w:rPr>
              <w:t>范围内</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存在</w:t>
            </w:r>
            <w:r>
              <w:rPr>
                <w:rFonts w:hint="default" w:ascii="Times New Roman" w:hAnsi="Times New Roman" w:eastAsia="宋体" w:cs="Times New Roman"/>
                <w:color w:val="000000" w:themeColor="text1"/>
                <w:kern w:val="0"/>
                <w:sz w:val="24"/>
                <w14:textFill>
                  <w14:solidFill>
                    <w14:schemeClr w14:val="tx1"/>
                  </w14:solidFill>
                </w14:textFill>
              </w:rPr>
              <w:t>王马咀村</w:t>
            </w:r>
            <w:r>
              <w:rPr>
                <w:rFonts w:hint="eastAsia"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段家峡村</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等大气环境保护目标</w:t>
            </w:r>
            <w:r>
              <w:rPr>
                <w:rFonts w:hint="eastAsia" w:ascii="Times New Roman" w:hAnsi="Times New Roman" w:eastAsia="宋体" w:cs="Times New Roman"/>
                <w:color w:val="000000" w:themeColor="text1"/>
                <w:kern w:val="0"/>
                <w:sz w:val="24"/>
                <w:lang w:eastAsia="zh-CN"/>
                <w14:textFill>
                  <w14:solidFill>
                    <w14:schemeClr w14:val="tx1"/>
                  </w14:solidFill>
                </w14:textFill>
              </w:rPr>
              <w:t>。</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本项目</w:t>
            </w:r>
            <w:r>
              <w:rPr>
                <w:rFonts w:hint="default" w:ascii="Times New Roman" w:hAnsi="Times New Roman" w:eastAsia="宋体" w:cs="Times New Roman"/>
                <w:color w:val="000000" w:themeColor="text1"/>
                <w:kern w:val="0"/>
                <w:sz w:val="24"/>
                <w14:textFill>
                  <w14:solidFill>
                    <w14:schemeClr w14:val="tx1"/>
                  </w14:solidFill>
                </w14:textFill>
              </w:rPr>
              <w:t>环境保护目标</w:t>
            </w:r>
            <w:r>
              <w:rPr>
                <w:rFonts w:hint="eastAsia" w:ascii="Times New Roman" w:hAnsi="Times New Roman" w:eastAsia="宋体" w:cs="Times New Roman"/>
                <w:color w:val="000000" w:themeColor="text1"/>
                <w:kern w:val="0"/>
                <w:sz w:val="24"/>
                <w14:textFill>
                  <w14:solidFill>
                    <w14:schemeClr w14:val="tx1"/>
                  </w14:solidFill>
                </w14:textFill>
              </w:rPr>
              <w:t>见表3-</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5</w:t>
            </w:r>
            <w:r>
              <w:rPr>
                <w:rFonts w:hint="eastAsia" w:ascii="Times New Roman" w:hAnsi="Times New Roman" w:eastAsia="宋体" w:cs="Times New Roman"/>
                <w:color w:val="000000" w:themeColor="text1"/>
                <w:kern w:val="0"/>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表3-</w:t>
            </w:r>
            <w:r>
              <w:rPr>
                <w:rFonts w:hint="default" w:ascii="Times New Roman" w:hAnsi="Times New Roman" w:eastAsia="宋体" w:cs="Times New Roman"/>
                <w:b/>
                <w:color w:val="000000" w:themeColor="text1"/>
                <w:sz w:val="24"/>
                <w:lang w:val="en-US" w:eastAsia="zh-CN"/>
                <w14:textFill>
                  <w14:solidFill>
                    <w14:schemeClr w14:val="tx1"/>
                  </w14:solidFill>
                </w14:textFill>
              </w:rPr>
              <w:t>5</w:t>
            </w:r>
            <w:r>
              <w:rPr>
                <w:rFonts w:hint="eastAsia" w:cs="Times New Roman"/>
                <w:b/>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14:textFill>
                  <w14:solidFill>
                    <w14:schemeClr w14:val="tx1"/>
                  </w14:solidFill>
                </w14:textFill>
              </w:rPr>
              <w:t>环境保护目标一览表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857"/>
              <w:gridCol w:w="708"/>
              <w:gridCol w:w="1210"/>
              <w:gridCol w:w="1061"/>
              <w:gridCol w:w="1082"/>
              <w:gridCol w:w="900"/>
              <w:gridCol w:w="804"/>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Merge w:val="restar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序号</w:t>
                  </w:r>
                </w:p>
              </w:tc>
              <w:tc>
                <w:tcPr>
                  <w:tcW w:w="533" w:type="pct"/>
                  <w:vMerge w:val="restart"/>
                  <w:vAlign w:val="center"/>
                </w:tcPr>
                <w:p>
                  <w:pPr>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项目</w:t>
                  </w:r>
                </w:p>
              </w:tc>
              <w:tc>
                <w:tcPr>
                  <w:tcW w:w="441" w:type="pct"/>
                  <w:vMerge w:val="restart"/>
                  <w:vAlign w:val="center"/>
                </w:tcPr>
                <w:p>
                  <w:pPr>
                    <w:tabs>
                      <w:tab w:val="left" w:pos="2730"/>
                    </w:tabs>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环境</w:t>
                  </w:r>
                </w:p>
                <w:p>
                  <w:pPr>
                    <w:tabs>
                      <w:tab w:val="left" w:pos="2730"/>
                    </w:tabs>
                    <w:jc w:val="center"/>
                    <w:rPr>
                      <w:rFonts w:hint="default" w:ascii="Times New Roman" w:hAnsi="Times New Roman" w:eastAsia="宋体" w:cs="Times New Roman"/>
                      <w:color w:val="000000" w:themeColor="text1"/>
                      <w:szCs w:val="21"/>
                      <w14:textFill>
                        <w14:solidFill>
                          <w14:schemeClr w14:val="tx1"/>
                        </w14:solidFill>
                      </w14:textFill>
                    </w:rPr>
                  </w:pPr>
                  <w:r>
                    <w:rPr>
                      <w:bCs/>
                      <w:color w:val="000000" w:themeColor="text1"/>
                      <w:szCs w:val="21"/>
                      <w14:textFill>
                        <w14:solidFill>
                          <w14:schemeClr w14:val="tx1"/>
                        </w14:solidFill>
                      </w14:textFill>
                    </w:rPr>
                    <w:t>要素</w:t>
                  </w:r>
                </w:p>
              </w:tc>
              <w:tc>
                <w:tcPr>
                  <w:tcW w:w="1414" w:type="pct"/>
                  <w:gridSpan w:val="2"/>
                  <w:vAlign w:val="center"/>
                </w:tcPr>
                <w:p>
                  <w:pPr>
                    <w:jc w:val="center"/>
                    <w:rPr>
                      <w:rFonts w:hint="default" w:ascii="Times New Roman" w:hAnsi="Times New Roman" w:cs="Times New Roman"/>
                      <w:color w:val="000000" w:themeColor="text1"/>
                      <w:szCs w:val="21"/>
                      <w14:textFill>
                        <w14:solidFill>
                          <w14:schemeClr w14:val="tx1"/>
                        </w14:solidFill>
                      </w14:textFill>
                    </w:rPr>
                  </w:pPr>
                  <w:r>
                    <w:rPr>
                      <w:bCs/>
                      <w:color w:val="000000" w:themeColor="text1"/>
                      <w:szCs w:val="21"/>
                      <w14:textFill>
                        <w14:solidFill>
                          <w14:schemeClr w14:val="tx1"/>
                        </w14:solidFill>
                      </w14:textFill>
                    </w:rPr>
                    <w:t>坐标</w:t>
                  </w:r>
                </w:p>
              </w:tc>
              <w:tc>
                <w:tcPr>
                  <w:tcW w:w="673" w:type="pct"/>
                  <w:vMerge w:val="restar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保护对象</w:t>
                  </w:r>
                </w:p>
              </w:tc>
              <w:tc>
                <w:tcPr>
                  <w:tcW w:w="560" w:type="pct"/>
                  <w:vMerge w:val="restar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环境功能区</w:t>
                  </w:r>
                </w:p>
              </w:tc>
              <w:tc>
                <w:tcPr>
                  <w:tcW w:w="500" w:type="pct"/>
                  <w:vMerge w:val="restar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相对项目方位</w:t>
                  </w:r>
                </w:p>
              </w:tc>
              <w:tc>
                <w:tcPr>
                  <w:tcW w:w="541" w:type="pct"/>
                  <w:vMerge w:val="restart"/>
                  <w:vAlign w:val="center"/>
                </w:tcPr>
                <w:p>
                  <w:pPr>
                    <w:pStyle w:val="5"/>
                    <w:ind w:left="-105" w:leftChars="-50" w:right="-105" w:rightChars="-5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与本项目距离/m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3"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41" w:type="pct"/>
                  <w:vMerge w:val="continue"/>
                  <w:vAlign w:val="center"/>
                </w:tcPr>
                <w:p>
                  <w:pPr>
                    <w:tabs>
                      <w:tab w:val="left" w:pos="2730"/>
                    </w:tabs>
                    <w:jc w:val="center"/>
                    <w:rPr>
                      <w:rFonts w:hint="default" w:ascii="Times New Roman" w:hAnsi="Times New Roman" w:cs="Times New Roman"/>
                      <w:color w:val="000000" w:themeColor="text1"/>
                      <w:szCs w:val="21"/>
                      <w14:textFill>
                        <w14:solidFill>
                          <w14:schemeClr w14:val="tx1"/>
                        </w14:solidFill>
                      </w14:textFill>
                    </w:rPr>
                  </w:pPr>
                </w:p>
              </w:tc>
              <w:tc>
                <w:tcPr>
                  <w:tcW w:w="75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X</w:t>
                  </w:r>
                </w:p>
              </w:tc>
              <w:tc>
                <w:tcPr>
                  <w:tcW w:w="6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Y</w:t>
                  </w:r>
                </w:p>
              </w:tc>
              <w:tc>
                <w:tcPr>
                  <w:tcW w:w="673"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60"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00"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41"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p>
              </w:tc>
              <w:tc>
                <w:tcPr>
                  <w:tcW w:w="533" w:type="pct"/>
                  <w:vMerge w:val="restar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段家峡水库输水工程</w:t>
                  </w:r>
                </w:p>
              </w:tc>
              <w:tc>
                <w:tcPr>
                  <w:tcW w:w="441" w:type="pct"/>
                  <w:vMerge w:val="restart"/>
                  <w:vAlign w:val="center"/>
                </w:tcPr>
                <w:p>
                  <w:pPr>
                    <w:tabs>
                      <w:tab w:val="left" w:pos="2730"/>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w:t>
                  </w:r>
                </w:p>
                <w:p>
                  <w:pPr>
                    <w:jc w:val="center"/>
                    <w:rPr>
                      <w:rFonts w:hint="default" w:ascii="Times New Roman" w:hAnsi="Times New Roman" w:eastAsia="宋体" w:cs="Times New Roman"/>
                      <w:color w:val="000000" w:themeColor="text1"/>
                      <w:szCs w:val="21"/>
                      <w14:textFill>
                        <w14:solidFill>
                          <w14:schemeClr w14:val="tx1"/>
                        </w14:solidFill>
                      </w14:textFill>
                    </w:rPr>
                  </w:pPr>
                  <w:r>
                    <w:rPr>
                      <w:color w:val="000000" w:themeColor="text1"/>
                      <w:szCs w:val="21"/>
                      <w14:textFill>
                        <w14:solidFill>
                          <w14:schemeClr w14:val="tx1"/>
                        </w14:solidFill>
                      </w14:textFill>
                    </w:rPr>
                    <w:t>空气</w:t>
                  </w:r>
                </w:p>
              </w:tc>
              <w:tc>
                <w:tcPr>
                  <w:tcW w:w="75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106.71861</w:t>
                  </w:r>
                </w:p>
              </w:tc>
              <w:tc>
                <w:tcPr>
                  <w:tcW w:w="6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34.92161</w:t>
                  </w:r>
                </w:p>
              </w:tc>
              <w:tc>
                <w:tcPr>
                  <w:tcW w:w="673"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段家峡村</w:t>
                  </w:r>
                </w:p>
              </w:tc>
              <w:tc>
                <w:tcPr>
                  <w:tcW w:w="560" w:type="pct"/>
                  <w:vMerge w:val="restart"/>
                  <w:vAlign w:val="center"/>
                </w:tcPr>
                <w:p>
                  <w:pPr>
                    <w:tabs>
                      <w:tab w:val="left" w:pos="2730"/>
                    </w:tabs>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《环境空气质量标准》（GB3095-2012）中的二级标准</w:t>
                  </w:r>
                </w:p>
              </w:tc>
              <w:tc>
                <w:tcPr>
                  <w:tcW w:w="50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西北</w:t>
                  </w:r>
                </w:p>
              </w:tc>
              <w:tc>
                <w:tcPr>
                  <w:tcW w:w="54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p>
              </w:tc>
              <w:tc>
                <w:tcPr>
                  <w:tcW w:w="533"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41"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75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106.72471</w:t>
                  </w:r>
                </w:p>
              </w:tc>
              <w:tc>
                <w:tcPr>
                  <w:tcW w:w="6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34.91380</w:t>
                  </w:r>
                </w:p>
              </w:tc>
              <w:tc>
                <w:tcPr>
                  <w:tcW w:w="673"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益家坪</w:t>
                  </w:r>
                </w:p>
              </w:tc>
              <w:tc>
                <w:tcPr>
                  <w:tcW w:w="560"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0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西北</w:t>
                  </w:r>
                </w:p>
              </w:tc>
              <w:tc>
                <w:tcPr>
                  <w:tcW w:w="54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w:t>
                  </w:r>
                </w:p>
              </w:tc>
              <w:tc>
                <w:tcPr>
                  <w:tcW w:w="533"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41"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75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106.74835</w:t>
                  </w:r>
                </w:p>
              </w:tc>
              <w:tc>
                <w:tcPr>
                  <w:tcW w:w="6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34.90402</w:t>
                  </w:r>
                </w:p>
              </w:tc>
              <w:tc>
                <w:tcPr>
                  <w:tcW w:w="673"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曹家镇</w:t>
                  </w:r>
                </w:p>
              </w:tc>
              <w:tc>
                <w:tcPr>
                  <w:tcW w:w="560"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0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西北</w:t>
                  </w:r>
                </w:p>
              </w:tc>
              <w:tc>
                <w:tcPr>
                  <w:tcW w:w="54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w:t>
                  </w:r>
                </w:p>
              </w:tc>
              <w:tc>
                <w:tcPr>
                  <w:tcW w:w="533"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41"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75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106.77251</w:t>
                  </w:r>
                </w:p>
              </w:tc>
              <w:tc>
                <w:tcPr>
                  <w:tcW w:w="6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34.88994</w:t>
                  </w:r>
                </w:p>
              </w:tc>
              <w:tc>
                <w:tcPr>
                  <w:tcW w:w="673"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神泉村</w:t>
                  </w:r>
                </w:p>
              </w:tc>
              <w:tc>
                <w:tcPr>
                  <w:tcW w:w="560"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0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西北</w:t>
                  </w:r>
                </w:p>
              </w:tc>
              <w:tc>
                <w:tcPr>
                  <w:tcW w:w="54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w:t>
                  </w:r>
                </w:p>
              </w:tc>
              <w:tc>
                <w:tcPr>
                  <w:tcW w:w="533"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41"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75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106.77292</w:t>
                  </w:r>
                </w:p>
              </w:tc>
              <w:tc>
                <w:tcPr>
                  <w:tcW w:w="6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34.87810</w:t>
                  </w:r>
                </w:p>
              </w:tc>
              <w:tc>
                <w:tcPr>
                  <w:tcW w:w="673"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王马咀村</w:t>
                  </w:r>
                </w:p>
              </w:tc>
              <w:tc>
                <w:tcPr>
                  <w:tcW w:w="560"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0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西</w:t>
                  </w:r>
                </w:p>
              </w:tc>
              <w:tc>
                <w:tcPr>
                  <w:tcW w:w="54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w:t>
                  </w:r>
                </w:p>
              </w:tc>
              <w:tc>
                <w:tcPr>
                  <w:tcW w:w="533" w:type="pct"/>
                  <w:vMerge w:val="restar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段家峡水库配水工程</w:t>
                  </w:r>
                </w:p>
              </w:tc>
              <w:tc>
                <w:tcPr>
                  <w:tcW w:w="441" w:type="pct"/>
                  <w:vMerge w:val="continue"/>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75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106.78399</w:t>
                  </w:r>
                </w:p>
              </w:tc>
              <w:tc>
                <w:tcPr>
                  <w:tcW w:w="6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34.87765</w:t>
                  </w:r>
                </w:p>
              </w:tc>
              <w:tc>
                <w:tcPr>
                  <w:tcW w:w="673"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西庄</w:t>
                  </w:r>
                </w:p>
              </w:tc>
              <w:tc>
                <w:tcPr>
                  <w:tcW w:w="560"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0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东</w:t>
                  </w:r>
                </w:p>
              </w:tc>
              <w:tc>
                <w:tcPr>
                  <w:tcW w:w="54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7</w:t>
                  </w:r>
                </w:p>
              </w:tc>
              <w:tc>
                <w:tcPr>
                  <w:tcW w:w="533"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41"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75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106.79193</w:t>
                  </w:r>
                </w:p>
              </w:tc>
              <w:tc>
                <w:tcPr>
                  <w:tcW w:w="6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34.87522</w:t>
                  </w:r>
                </w:p>
              </w:tc>
              <w:tc>
                <w:tcPr>
                  <w:tcW w:w="673"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麦枣峪村</w:t>
                  </w:r>
                </w:p>
              </w:tc>
              <w:tc>
                <w:tcPr>
                  <w:tcW w:w="560"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0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南</w:t>
                  </w:r>
                </w:p>
              </w:tc>
              <w:tc>
                <w:tcPr>
                  <w:tcW w:w="54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8</w:t>
                  </w:r>
                </w:p>
              </w:tc>
              <w:tc>
                <w:tcPr>
                  <w:tcW w:w="533"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41"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75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106.79863</w:t>
                  </w:r>
                </w:p>
              </w:tc>
              <w:tc>
                <w:tcPr>
                  <w:tcW w:w="6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4.88043</w:t>
                  </w:r>
                </w:p>
              </w:tc>
              <w:tc>
                <w:tcPr>
                  <w:tcW w:w="673"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侯家沟村</w:t>
                  </w:r>
                </w:p>
              </w:tc>
              <w:tc>
                <w:tcPr>
                  <w:tcW w:w="560"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0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北</w:t>
                  </w:r>
                </w:p>
              </w:tc>
              <w:tc>
                <w:tcPr>
                  <w:tcW w:w="54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9</w:t>
                  </w:r>
                </w:p>
              </w:tc>
              <w:tc>
                <w:tcPr>
                  <w:tcW w:w="533"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41"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75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106.8139</w:t>
                  </w:r>
                </w:p>
              </w:tc>
              <w:tc>
                <w:tcPr>
                  <w:tcW w:w="6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34.87931</w:t>
                  </w:r>
                </w:p>
              </w:tc>
              <w:tc>
                <w:tcPr>
                  <w:tcW w:w="673"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桑家咀村</w:t>
                  </w:r>
                </w:p>
              </w:tc>
              <w:tc>
                <w:tcPr>
                  <w:tcW w:w="560"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0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北</w:t>
                  </w:r>
                </w:p>
              </w:tc>
              <w:tc>
                <w:tcPr>
                  <w:tcW w:w="54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w:t>
                  </w:r>
                </w:p>
              </w:tc>
              <w:tc>
                <w:tcPr>
                  <w:tcW w:w="533"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41"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75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106.80886</w:t>
                  </w:r>
                </w:p>
              </w:tc>
              <w:tc>
                <w:tcPr>
                  <w:tcW w:w="6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34.87308</w:t>
                  </w:r>
                </w:p>
              </w:tc>
              <w:tc>
                <w:tcPr>
                  <w:tcW w:w="673"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太春口村</w:t>
                  </w:r>
                </w:p>
              </w:tc>
              <w:tc>
                <w:tcPr>
                  <w:tcW w:w="560"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0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东</w:t>
                  </w:r>
                </w:p>
              </w:tc>
              <w:tc>
                <w:tcPr>
                  <w:tcW w:w="54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11</w:t>
                  </w:r>
                </w:p>
              </w:tc>
              <w:tc>
                <w:tcPr>
                  <w:tcW w:w="533"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41"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75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106.80843</w:t>
                  </w:r>
                </w:p>
              </w:tc>
              <w:tc>
                <w:tcPr>
                  <w:tcW w:w="6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34.87913</w:t>
                  </w:r>
                </w:p>
              </w:tc>
              <w:tc>
                <w:tcPr>
                  <w:tcW w:w="673"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小沟村</w:t>
                  </w:r>
                </w:p>
              </w:tc>
              <w:tc>
                <w:tcPr>
                  <w:tcW w:w="560"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0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东</w:t>
                  </w:r>
                </w:p>
              </w:tc>
              <w:tc>
                <w:tcPr>
                  <w:tcW w:w="54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12</w:t>
                  </w:r>
                </w:p>
              </w:tc>
              <w:tc>
                <w:tcPr>
                  <w:tcW w:w="533"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41"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75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106.85714</w:t>
                  </w:r>
                </w:p>
              </w:tc>
              <w:tc>
                <w:tcPr>
                  <w:tcW w:w="6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34.88043</w:t>
                  </w:r>
                </w:p>
              </w:tc>
              <w:tc>
                <w:tcPr>
                  <w:tcW w:w="673"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杨家庄村</w:t>
                  </w:r>
                </w:p>
              </w:tc>
              <w:tc>
                <w:tcPr>
                  <w:tcW w:w="560"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0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东</w:t>
                  </w:r>
                </w:p>
              </w:tc>
              <w:tc>
                <w:tcPr>
                  <w:tcW w:w="54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13</w:t>
                  </w:r>
                </w:p>
              </w:tc>
              <w:tc>
                <w:tcPr>
                  <w:tcW w:w="533"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41"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75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106.87422</w:t>
                  </w:r>
                </w:p>
              </w:tc>
              <w:tc>
                <w:tcPr>
                  <w:tcW w:w="6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34.87311</w:t>
                  </w:r>
                </w:p>
              </w:tc>
              <w:tc>
                <w:tcPr>
                  <w:tcW w:w="673"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板桥沟村</w:t>
                  </w:r>
                </w:p>
              </w:tc>
              <w:tc>
                <w:tcPr>
                  <w:tcW w:w="560"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0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东</w:t>
                  </w:r>
                </w:p>
              </w:tc>
              <w:tc>
                <w:tcPr>
                  <w:tcW w:w="54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14</w:t>
                  </w:r>
                </w:p>
              </w:tc>
              <w:tc>
                <w:tcPr>
                  <w:tcW w:w="533"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41"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75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106.88813</w:t>
                  </w:r>
                </w:p>
              </w:tc>
              <w:tc>
                <w:tcPr>
                  <w:tcW w:w="6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34.85980</w:t>
                  </w:r>
                </w:p>
              </w:tc>
              <w:tc>
                <w:tcPr>
                  <w:tcW w:w="673"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苟家沟村</w:t>
                  </w:r>
                </w:p>
              </w:tc>
              <w:tc>
                <w:tcPr>
                  <w:tcW w:w="560"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0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北</w:t>
                  </w:r>
                </w:p>
              </w:tc>
              <w:tc>
                <w:tcPr>
                  <w:tcW w:w="54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15</w:t>
                  </w:r>
                </w:p>
              </w:tc>
              <w:tc>
                <w:tcPr>
                  <w:tcW w:w="533"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41"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75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106.89401</w:t>
                  </w:r>
                </w:p>
              </w:tc>
              <w:tc>
                <w:tcPr>
                  <w:tcW w:w="6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34.85011</w:t>
                  </w:r>
                </w:p>
              </w:tc>
              <w:tc>
                <w:tcPr>
                  <w:tcW w:w="673"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申家咀村</w:t>
                  </w:r>
                </w:p>
              </w:tc>
              <w:tc>
                <w:tcPr>
                  <w:tcW w:w="560"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0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东</w:t>
                  </w:r>
                </w:p>
              </w:tc>
              <w:tc>
                <w:tcPr>
                  <w:tcW w:w="54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16</w:t>
                  </w:r>
                </w:p>
              </w:tc>
              <w:tc>
                <w:tcPr>
                  <w:tcW w:w="533"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41"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75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106.90169</w:t>
                  </w:r>
                </w:p>
              </w:tc>
              <w:tc>
                <w:tcPr>
                  <w:tcW w:w="6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34.83339</w:t>
                  </w:r>
                </w:p>
              </w:tc>
              <w:tc>
                <w:tcPr>
                  <w:tcW w:w="673"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马家河村</w:t>
                  </w:r>
                </w:p>
              </w:tc>
              <w:tc>
                <w:tcPr>
                  <w:tcW w:w="560"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0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西</w:t>
                  </w:r>
                </w:p>
              </w:tc>
              <w:tc>
                <w:tcPr>
                  <w:tcW w:w="54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17</w:t>
                  </w:r>
                </w:p>
              </w:tc>
              <w:tc>
                <w:tcPr>
                  <w:tcW w:w="533"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41"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75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106.91645</w:t>
                  </w:r>
                </w:p>
              </w:tc>
              <w:tc>
                <w:tcPr>
                  <w:tcW w:w="6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34.82550</w:t>
                  </w:r>
                </w:p>
              </w:tc>
              <w:tc>
                <w:tcPr>
                  <w:tcW w:w="673"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上凉泉村</w:t>
                  </w:r>
                </w:p>
              </w:tc>
              <w:tc>
                <w:tcPr>
                  <w:tcW w:w="560"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0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西</w:t>
                  </w:r>
                </w:p>
              </w:tc>
              <w:tc>
                <w:tcPr>
                  <w:tcW w:w="54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18</w:t>
                  </w:r>
                </w:p>
              </w:tc>
              <w:tc>
                <w:tcPr>
                  <w:tcW w:w="533"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41"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75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106.92709</w:t>
                  </w:r>
                </w:p>
              </w:tc>
              <w:tc>
                <w:tcPr>
                  <w:tcW w:w="6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34.81486</w:t>
                  </w:r>
                </w:p>
              </w:tc>
              <w:tc>
                <w:tcPr>
                  <w:tcW w:w="673"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刘家咀村</w:t>
                  </w:r>
                </w:p>
              </w:tc>
              <w:tc>
                <w:tcPr>
                  <w:tcW w:w="560"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0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西</w:t>
                  </w:r>
                </w:p>
              </w:tc>
              <w:tc>
                <w:tcPr>
                  <w:tcW w:w="54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19</w:t>
                  </w:r>
                </w:p>
              </w:tc>
              <w:tc>
                <w:tcPr>
                  <w:tcW w:w="533"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41"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75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106.93323</w:t>
                  </w:r>
                </w:p>
              </w:tc>
              <w:tc>
                <w:tcPr>
                  <w:tcW w:w="6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34.81161</w:t>
                  </w:r>
                </w:p>
              </w:tc>
              <w:tc>
                <w:tcPr>
                  <w:tcW w:w="673"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夏家湾村</w:t>
                  </w:r>
                </w:p>
              </w:tc>
              <w:tc>
                <w:tcPr>
                  <w:tcW w:w="560"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0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西</w:t>
                  </w:r>
                </w:p>
              </w:tc>
              <w:tc>
                <w:tcPr>
                  <w:tcW w:w="54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20</w:t>
                  </w:r>
                </w:p>
              </w:tc>
              <w:tc>
                <w:tcPr>
                  <w:tcW w:w="533"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41"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75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106.94186</w:t>
                  </w:r>
                </w:p>
              </w:tc>
              <w:tc>
                <w:tcPr>
                  <w:tcW w:w="6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34.80633</w:t>
                  </w:r>
                </w:p>
              </w:tc>
              <w:tc>
                <w:tcPr>
                  <w:tcW w:w="673"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东风镇兴中小学</w:t>
                  </w:r>
                </w:p>
              </w:tc>
              <w:tc>
                <w:tcPr>
                  <w:tcW w:w="560"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0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西</w:t>
                  </w:r>
                </w:p>
              </w:tc>
              <w:tc>
                <w:tcPr>
                  <w:tcW w:w="54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21</w:t>
                  </w:r>
                </w:p>
              </w:tc>
              <w:tc>
                <w:tcPr>
                  <w:tcW w:w="533"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41"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75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106.94649</w:t>
                  </w:r>
                </w:p>
              </w:tc>
              <w:tc>
                <w:tcPr>
                  <w:tcW w:w="6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34.80263</w:t>
                  </w:r>
                </w:p>
              </w:tc>
              <w:tc>
                <w:tcPr>
                  <w:tcW w:w="673"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史家湾村</w:t>
                  </w:r>
                </w:p>
              </w:tc>
              <w:tc>
                <w:tcPr>
                  <w:tcW w:w="560"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0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西</w:t>
                  </w:r>
                </w:p>
              </w:tc>
              <w:tc>
                <w:tcPr>
                  <w:tcW w:w="54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22</w:t>
                  </w:r>
                </w:p>
              </w:tc>
              <w:tc>
                <w:tcPr>
                  <w:tcW w:w="533"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41"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75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106.95709</w:t>
                  </w:r>
                </w:p>
              </w:tc>
              <w:tc>
                <w:tcPr>
                  <w:tcW w:w="6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34.79933</w:t>
                  </w:r>
                </w:p>
              </w:tc>
              <w:tc>
                <w:tcPr>
                  <w:tcW w:w="673"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王家咀村</w:t>
                  </w:r>
                </w:p>
              </w:tc>
              <w:tc>
                <w:tcPr>
                  <w:tcW w:w="560"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0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西南</w:t>
                  </w:r>
                </w:p>
              </w:tc>
              <w:tc>
                <w:tcPr>
                  <w:tcW w:w="54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23</w:t>
                  </w:r>
                </w:p>
              </w:tc>
              <w:tc>
                <w:tcPr>
                  <w:tcW w:w="533"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41"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75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106.96748</w:t>
                  </w:r>
                </w:p>
              </w:tc>
              <w:tc>
                <w:tcPr>
                  <w:tcW w:w="6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34.79611</w:t>
                  </w:r>
                </w:p>
              </w:tc>
              <w:tc>
                <w:tcPr>
                  <w:tcW w:w="673"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阎家湾</w:t>
                  </w:r>
                </w:p>
              </w:tc>
              <w:tc>
                <w:tcPr>
                  <w:tcW w:w="560"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0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南</w:t>
                  </w:r>
                </w:p>
              </w:tc>
              <w:tc>
                <w:tcPr>
                  <w:tcW w:w="54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24</w:t>
                  </w:r>
                </w:p>
              </w:tc>
              <w:tc>
                <w:tcPr>
                  <w:tcW w:w="533"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41"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75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106.97464</w:t>
                  </w:r>
                </w:p>
              </w:tc>
              <w:tc>
                <w:tcPr>
                  <w:tcW w:w="6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34.79498</w:t>
                  </w:r>
                </w:p>
              </w:tc>
              <w:tc>
                <w:tcPr>
                  <w:tcW w:w="673"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侯家咀</w:t>
                  </w:r>
                </w:p>
              </w:tc>
              <w:tc>
                <w:tcPr>
                  <w:tcW w:w="560"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00" w:type="pct"/>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南</w:t>
                  </w:r>
                </w:p>
              </w:tc>
              <w:tc>
                <w:tcPr>
                  <w:tcW w:w="54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25</w:t>
                  </w:r>
                </w:p>
              </w:tc>
              <w:tc>
                <w:tcPr>
                  <w:tcW w:w="533"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41"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75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106.98784</w:t>
                  </w:r>
                </w:p>
              </w:tc>
              <w:tc>
                <w:tcPr>
                  <w:tcW w:w="6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34.79318</w:t>
                  </w:r>
                </w:p>
              </w:tc>
              <w:tc>
                <w:tcPr>
                  <w:tcW w:w="673"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棱底下村</w:t>
                  </w:r>
                </w:p>
              </w:tc>
              <w:tc>
                <w:tcPr>
                  <w:tcW w:w="560"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00" w:type="pct"/>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南</w:t>
                  </w:r>
                </w:p>
              </w:tc>
              <w:tc>
                <w:tcPr>
                  <w:tcW w:w="54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26</w:t>
                  </w:r>
                </w:p>
              </w:tc>
              <w:tc>
                <w:tcPr>
                  <w:tcW w:w="533"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41"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75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106.99194</w:t>
                  </w:r>
                </w:p>
              </w:tc>
              <w:tc>
                <w:tcPr>
                  <w:tcW w:w="6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34.78864</w:t>
                  </w:r>
                </w:p>
              </w:tc>
              <w:tc>
                <w:tcPr>
                  <w:tcW w:w="673"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峪头村</w:t>
                  </w:r>
                </w:p>
              </w:tc>
              <w:tc>
                <w:tcPr>
                  <w:tcW w:w="560"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0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东</w:t>
                  </w:r>
                </w:p>
              </w:tc>
              <w:tc>
                <w:tcPr>
                  <w:tcW w:w="54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27</w:t>
                  </w:r>
                </w:p>
              </w:tc>
              <w:tc>
                <w:tcPr>
                  <w:tcW w:w="533"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41"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75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106.97209</w:t>
                  </w:r>
                </w:p>
              </w:tc>
              <w:tc>
                <w:tcPr>
                  <w:tcW w:w="6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34.78191</w:t>
                  </w:r>
                </w:p>
              </w:tc>
              <w:tc>
                <w:tcPr>
                  <w:tcW w:w="673"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枣林寨村</w:t>
                  </w:r>
                </w:p>
              </w:tc>
              <w:tc>
                <w:tcPr>
                  <w:tcW w:w="560"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0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北</w:t>
                  </w:r>
                </w:p>
              </w:tc>
              <w:tc>
                <w:tcPr>
                  <w:tcW w:w="54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28</w:t>
                  </w:r>
                </w:p>
              </w:tc>
              <w:tc>
                <w:tcPr>
                  <w:tcW w:w="533"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41"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75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106.95323</w:t>
                  </w:r>
                </w:p>
              </w:tc>
              <w:tc>
                <w:tcPr>
                  <w:tcW w:w="6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34.77352</w:t>
                  </w:r>
                </w:p>
              </w:tc>
              <w:tc>
                <w:tcPr>
                  <w:tcW w:w="673"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南村</w:t>
                  </w:r>
                </w:p>
              </w:tc>
              <w:tc>
                <w:tcPr>
                  <w:tcW w:w="560"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0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北</w:t>
                  </w:r>
                </w:p>
              </w:tc>
              <w:tc>
                <w:tcPr>
                  <w:tcW w:w="54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29</w:t>
                  </w:r>
                </w:p>
              </w:tc>
              <w:tc>
                <w:tcPr>
                  <w:tcW w:w="533"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41"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75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106.93885</w:t>
                  </w:r>
                </w:p>
              </w:tc>
              <w:tc>
                <w:tcPr>
                  <w:tcW w:w="6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34.77057</w:t>
                  </w:r>
                </w:p>
              </w:tc>
              <w:tc>
                <w:tcPr>
                  <w:tcW w:w="673"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梨林川村</w:t>
                  </w:r>
                </w:p>
              </w:tc>
              <w:tc>
                <w:tcPr>
                  <w:tcW w:w="560"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0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北</w:t>
                  </w:r>
                </w:p>
              </w:tc>
              <w:tc>
                <w:tcPr>
                  <w:tcW w:w="54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30</w:t>
                  </w:r>
                </w:p>
              </w:tc>
              <w:tc>
                <w:tcPr>
                  <w:tcW w:w="533" w:type="pct"/>
                  <w:vMerge w:val="restar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温河水库输水工程</w:t>
                  </w:r>
                </w:p>
              </w:tc>
              <w:tc>
                <w:tcPr>
                  <w:tcW w:w="441" w:type="pct"/>
                  <w:vMerge w:val="continue"/>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75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106.78153</w:t>
                  </w:r>
                </w:p>
              </w:tc>
              <w:tc>
                <w:tcPr>
                  <w:tcW w:w="6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34.92971</w:t>
                  </w:r>
                </w:p>
              </w:tc>
              <w:tc>
                <w:tcPr>
                  <w:tcW w:w="673"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王家庄</w:t>
                  </w:r>
                </w:p>
              </w:tc>
              <w:tc>
                <w:tcPr>
                  <w:tcW w:w="560"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0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北</w:t>
                  </w:r>
                </w:p>
              </w:tc>
              <w:tc>
                <w:tcPr>
                  <w:tcW w:w="54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31</w:t>
                  </w:r>
                </w:p>
              </w:tc>
              <w:tc>
                <w:tcPr>
                  <w:tcW w:w="533"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41"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75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106.78582</w:t>
                  </w:r>
                </w:p>
              </w:tc>
              <w:tc>
                <w:tcPr>
                  <w:tcW w:w="6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34.92707</w:t>
                  </w:r>
                </w:p>
              </w:tc>
              <w:tc>
                <w:tcPr>
                  <w:tcW w:w="673"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吉家庄</w:t>
                  </w:r>
                </w:p>
              </w:tc>
              <w:tc>
                <w:tcPr>
                  <w:tcW w:w="560"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0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北</w:t>
                  </w:r>
                </w:p>
              </w:tc>
              <w:tc>
                <w:tcPr>
                  <w:tcW w:w="54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32</w:t>
                  </w:r>
                </w:p>
              </w:tc>
              <w:tc>
                <w:tcPr>
                  <w:tcW w:w="533"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41"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75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106.79000</w:t>
                  </w:r>
                </w:p>
              </w:tc>
              <w:tc>
                <w:tcPr>
                  <w:tcW w:w="6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34.92563</w:t>
                  </w:r>
                </w:p>
              </w:tc>
              <w:tc>
                <w:tcPr>
                  <w:tcW w:w="673"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侯家庄</w:t>
                  </w:r>
                </w:p>
              </w:tc>
              <w:tc>
                <w:tcPr>
                  <w:tcW w:w="560"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0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北</w:t>
                  </w:r>
                </w:p>
              </w:tc>
              <w:tc>
                <w:tcPr>
                  <w:tcW w:w="54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33</w:t>
                  </w:r>
                </w:p>
              </w:tc>
              <w:tc>
                <w:tcPr>
                  <w:tcW w:w="533"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41"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75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106.79476</w:t>
                  </w:r>
                </w:p>
              </w:tc>
              <w:tc>
                <w:tcPr>
                  <w:tcW w:w="6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34.92341</w:t>
                  </w:r>
                </w:p>
              </w:tc>
              <w:tc>
                <w:tcPr>
                  <w:tcW w:w="673"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石家庄</w:t>
                  </w:r>
                </w:p>
              </w:tc>
              <w:tc>
                <w:tcPr>
                  <w:tcW w:w="560"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0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北</w:t>
                  </w:r>
                </w:p>
              </w:tc>
              <w:tc>
                <w:tcPr>
                  <w:tcW w:w="54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33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34</w:t>
                  </w:r>
                </w:p>
              </w:tc>
              <w:tc>
                <w:tcPr>
                  <w:tcW w:w="533"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41"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75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106.80546</w:t>
                  </w:r>
                </w:p>
              </w:tc>
              <w:tc>
                <w:tcPr>
                  <w:tcW w:w="6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34.91860</w:t>
                  </w:r>
                </w:p>
              </w:tc>
              <w:tc>
                <w:tcPr>
                  <w:tcW w:w="673"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温和村</w:t>
                  </w:r>
                </w:p>
              </w:tc>
              <w:tc>
                <w:tcPr>
                  <w:tcW w:w="560"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0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北</w:t>
                  </w:r>
                </w:p>
              </w:tc>
              <w:tc>
                <w:tcPr>
                  <w:tcW w:w="54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35</w:t>
                  </w:r>
                </w:p>
              </w:tc>
              <w:tc>
                <w:tcPr>
                  <w:tcW w:w="533"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41"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75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106.81217</w:t>
                  </w:r>
                </w:p>
              </w:tc>
              <w:tc>
                <w:tcPr>
                  <w:tcW w:w="6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34.91693</w:t>
                  </w:r>
                </w:p>
              </w:tc>
              <w:tc>
                <w:tcPr>
                  <w:tcW w:w="673"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李家磨</w:t>
                  </w:r>
                </w:p>
              </w:tc>
              <w:tc>
                <w:tcPr>
                  <w:tcW w:w="560"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0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北</w:t>
                  </w:r>
                </w:p>
              </w:tc>
              <w:tc>
                <w:tcPr>
                  <w:tcW w:w="54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36</w:t>
                  </w:r>
                </w:p>
              </w:tc>
              <w:tc>
                <w:tcPr>
                  <w:tcW w:w="533"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41"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75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106.81693</w:t>
                  </w:r>
                </w:p>
              </w:tc>
              <w:tc>
                <w:tcPr>
                  <w:tcW w:w="6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34.91588</w:t>
                  </w:r>
                </w:p>
              </w:tc>
              <w:tc>
                <w:tcPr>
                  <w:tcW w:w="673"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马家庄</w:t>
                  </w:r>
                </w:p>
              </w:tc>
              <w:tc>
                <w:tcPr>
                  <w:tcW w:w="560"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0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北</w:t>
                  </w:r>
                </w:p>
              </w:tc>
              <w:tc>
                <w:tcPr>
                  <w:tcW w:w="54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37</w:t>
                  </w:r>
                </w:p>
              </w:tc>
              <w:tc>
                <w:tcPr>
                  <w:tcW w:w="533"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41"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75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106.82579</w:t>
                  </w:r>
                </w:p>
              </w:tc>
              <w:tc>
                <w:tcPr>
                  <w:tcW w:w="6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34.91394</w:t>
                  </w:r>
                </w:p>
              </w:tc>
              <w:tc>
                <w:tcPr>
                  <w:tcW w:w="673"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店子村</w:t>
                  </w:r>
                </w:p>
              </w:tc>
              <w:tc>
                <w:tcPr>
                  <w:tcW w:w="560"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0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北</w:t>
                  </w:r>
                </w:p>
              </w:tc>
              <w:tc>
                <w:tcPr>
                  <w:tcW w:w="54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38</w:t>
                  </w:r>
                </w:p>
              </w:tc>
              <w:tc>
                <w:tcPr>
                  <w:tcW w:w="533"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41"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75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106.83551</w:t>
                  </w:r>
                </w:p>
              </w:tc>
              <w:tc>
                <w:tcPr>
                  <w:tcW w:w="6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34.90409</w:t>
                  </w:r>
                </w:p>
              </w:tc>
              <w:tc>
                <w:tcPr>
                  <w:tcW w:w="673"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原子头村</w:t>
                  </w:r>
                </w:p>
              </w:tc>
              <w:tc>
                <w:tcPr>
                  <w:tcW w:w="560"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0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北</w:t>
                  </w:r>
                </w:p>
              </w:tc>
              <w:tc>
                <w:tcPr>
                  <w:tcW w:w="54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39</w:t>
                  </w:r>
                </w:p>
              </w:tc>
              <w:tc>
                <w:tcPr>
                  <w:tcW w:w="53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净水厂</w:t>
                  </w:r>
                </w:p>
              </w:tc>
              <w:tc>
                <w:tcPr>
                  <w:tcW w:w="441" w:type="pct"/>
                  <w:vMerge w:val="continue"/>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75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106.77292</w:t>
                  </w:r>
                </w:p>
              </w:tc>
              <w:tc>
                <w:tcPr>
                  <w:tcW w:w="6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34.87810</w:t>
                  </w:r>
                </w:p>
              </w:tc>
              <w:tc>
                <w:tcPr>
                  <w:tcW w:w="673"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王马咀村</w:t>
                  </w:r>
                </w:p>
              </w:tc>
              <w:tc>
                <w:tcPr>
                  <w:tcW w:w="560"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0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西</w:t>
                  </w:r>
                </w:p>
              </w:tc>
              <w:tc>
                <w:tcPr>
                  <w:tcW w:w="54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40</w:t>
                  </w:r>
                </w:p>
              </w:tc>
              <w:tc>
                <w:tcPr>
                  <w:tcW w:w="533"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段家峡水库</w:t>
                  </w:r>
                </w:p>
              </w:tc>
              <w:tc>
                <w:tcPr>
                  <w:tcW w:w="441" w:type="pct"/>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地表水</w:t>
                  </w:r>
                </w:p>
              </w:tc>
              <w:tc>
                <w:tcPr>
                  <w:tcW w:w="753"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106.694455</w:t>
                  </w:r>
                </w:p>
              </w:tc>
              <w:tc>
                <w:tcPr>
                  <w:tcW w:w="660"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34.933691</w:t>
                  </w:r>
                </w:p>
              </w:tc>
              <w:tc>
                <w:tcPr>
                  <w:tcW w:w="673"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地表水环境质量</w:t>
                  </w:r>
                </w:p>
              </w:tc>
              <w:tc>
                <w:tcPr>
                  <w:tcW w:w="5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《地表水环境质量标准》（GB3838-2002）Ⅲ类标准</w:t>
                  </w:r>
                </w:p>
              </w:tc>
              <w:tc>
                <w:tcPr>
                  <w:tcW w:w="500"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西</w:t>
                  </w:r>
                </w:p>
              </w:tc>
              <w:tc>
                <w:tcPr>
                  <w:tcW w:w="541"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130</w:t>
                  </w:r>
                </w:p>
              </w:tc>
            </w:tr>
          </w:tbl>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4" w:type="dxa"/>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评价</w:t>
            </w:r>
          </w:p>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标准</w:t>
            </w:r>
          </w:p>
        </w:tc>
        <w:tc>
          <w:tcPr>
            <w:tcW w:w="8253" w:type="dxa"/>
            <w:vAlign w:val="top"/>
          </w:tcPr>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14:textFill>
                  <w14:solidFill>
                    <w14:schemeClr w14:val="tx1"/>
                  </w14:solidFill>
                </w14:textFill>
              </w:rPr>
              <w:t xml:space="preserve">废气 </w:t>
            </w:r>
          </w:p>
          <w:p>
            <w:pPr>
              <w:spacing w:line="360" w:lineRule="auto"/>
              <w:ind w:firstLine="480" w:firstLineChars="200"/>
              <w:rPr>
                <w:rFonts w:hint="default"/>
                <w:bCs/>
                <w:color w:val="000000" w:themeColor="text1"/>
                <w:sz w:val="24"/>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（1）施工期</w:t>
            </w:r>
          </w:p>
          <w:p>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lang w:val="en-US" w:eastAsia="zh-CN"/>
                <w14:textFill>
                  <w14:solidFill>
                    <w14:schemeClr w14:val="tx1"/>
                  </w14:solidFill>
                </w14:textFill>
              </w:rPr>
              <w:t>施工期</w:t>
            </w:r>
            <w:r>
              <w:rPr>
                <w:bCs/>
                <w:color w:val="000000" w:themeColor="text1"/>
                <w:sz w:val="24"/>
                <w14:textFill>
                  <w14:solidFill>
                    <w14:schemeClr w14:val="tx1"/>
                  </w14:solidFill>
                </w14:textFill>
              </w:rPr>
              <w:t>扬尘执行《施工场界扬尘排放限值》（DB61/1078-2017），具体控制指标详见表3-</w:t>
            </w:r>
            <w:r>
              <w:rPr>
                <w:rFonts w:hint="eastAsia"/>
                <w:bCs/>
                <w:color w:val="000000" w:themeColor="text1"/>
                <w:sz w:val="24"/>
                <w:lang w:val="en-US" w:eastAsia="zh-CN"/>
                <w14:textFill>
                  <w14:solidFill>
                    <w14:schemeClr w14:val="tx1"/>
                  </w14:solidFill>
                </w14:textFill>
              </w:rPr>
              <w:t>6</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施工车辆燃油废气</w:t>
            </w:r>
            <w:r>
              <w:rPr>
                <w:rFonts w:hint="eastAsia"/>
                <w:color w:val="000000" w:themeColor="text1"/>
                <w:sz w:val="24"/>
                <w14:textFill>
                  <w14:solidFill>
                    <w14:schemeClr w14:val="tx1"/>
                  </w14:solidFill>
                </w14:textFill>
              </w:rPr>
              <w:t>排放执行</w:t>
            </w:r>
            <w:r>
              <w:rPr>
                <w:color w:val="000000" w:themeColor="text1"/>
                <w:sz w:val="24"/>
                <w14:textFill>
                  <w14:solidFill>
                    <w14:schemeClr w14:val="tx1"/>
                  </w14:solidFill>
                </w14:textFill>
              </w:rPr>
              <w:t>《非道路移动机械用柴油机排气污染物排放限值及测量方法（中国第三、四阶段）》（GB20891-2014）。标准值</w:t>
            </w:r>
            <w:r>
              <w:rPr>
                <w:rFonts w:hint="eastAsia"/>
                <w:color w:val="000000" w:themeColor="text1"/>
                <w:sz w:val="24"/>
                <w:lang w:val="en-US" w:eastAsia="zh-CN"/>
                <w14:textFill>
                  <w14:solidFill>
                    <w14:schemeClr w14:val="tx1"/>
                  </w14:solidFill>
                </w14:textFill>
              </w:rPr>
              <w:t>见</w:t>
            </w:r>
            <w:r>
              <w:rPr>
                <w:color w:val="000000" w:themeColor="text1"/>
                <w:sz w:val="24"/>
                <w14:textFill>
                  <w14:solidFill>
                    <w14:schemeClr w14:val="tx1"/>
                  </w14:solidFill>
                </w14:textFill>
              </w:rPr>
              <w:t>表</w:t>
            </w:r>
            <w:r>
              <w:rPr>
                <w:rFonts w:hint="eastAsia"/>
                <w:color w:val="000000" w:themeColor="text1"/>
                <w:sz w:val="24"/>
                <w14:textFill>
                  <w14:solidFill>
                    <w14:schemeClr w14:val="tx1"/>
                  </w14:solidFill>
                </w14:textFill>
              </w:rPr>
              <w:t>3-</w:t>
            </w:r>
            <w:r>
              <w:rPr>
                <w:rFonts w:hint="eastAsia"/>
                <w:color w:val="000000" w:themeColor="text1"/>
                <w:sz w:val="24"/>
                <w:lang w:val="en-US" w:eastAsia="zh-CN"/>
                <w14:textFill>
                  <w14:solidFill>
                    <w14:schemeClr w14:val="tx1"/>
                  </w14:solidFill>
                </w14:textFill>
              </w:rPr>
              <w:t>7</w:t>
            </w:r>
            <w:r>
              <w:rPr>
                <w:color w:val="000000" w:themeColor="text1"/>
                <w:sz w:val="24"/>
                <w14:textFill>
                  <w14:solidFill>
                    <w14:schemeClr w14:val="tx1"/>
                  </w14:solidFill>
                </w14:textFill>
              </w:rPr>
              <w:t>。</w:t>
            </w:r>
          </w:p>
          <w:p>
            <w:pPr>
              <w:pStyle w:val="10"/>
              <w:snapToGrid/>
              <w:spacing w:before="0" w:after="0" w:line="240" w:lineRule="auto"/>
              <w:ind w:right="0"/>
              <w:jc w:val="center"/>
              <w:rPr>
                <w:b/>
                <w:color w:val="000000" w:themeColor="text1"/>
                <w:sz w:val="24"/>
                <w:lang w:val="en-US" w:eastAsia="zh-CN"/>
                <w14:textFill>
                  <w14:solidFill>
                    <w14:schemeClr w14:val="tx1"/>
                  </w14:solidFill>
                </w14:textFill>
              </w:rPr>
            </w:pPr>
            <w:r>
              <w:rPr>
                <w:b/>
                <w:color w:val="000000" w:themeColor="text1"/>
                <w:sz w:val="24"/>
                <w:lang w:val="en-US" w:eastAsia="zh-CN"/>
                <w14:textFill>
                  <w14:solidFill>
                    <w14:schemeClr w14:val="tx1"/>
                  </w14:solidFill>
                </w14:textFill>
              </w:rPr>
              <w:t>表3-</w:t>
            </w:r>
            <w:r>
              <w:rPr>
                <w:rFonts w:hint="eastAsia"/>
                <w:b/>
                <w:color w:val="000000" w:themeColor="text1"/>
                <w:sz w:val="24"/>
                <w:lang w:val="en-US" w:eastAsia="zh-CN"/>
                <w14:textFill>
                  <w14:solidFill>
                    <w14:schemeClr w14:val="tx1"/>
                  </w14:solidFill>
                </w14:textFill>
              </w:rPr>
              <w:t>6</w:t>
            </w:r>
            <w:r>
              <w:rPr>
                <w:b/>
                <w:color w:val="000000" w:themeColor="text1"/>
                <w:sz w:val="24"/>
                <w:lang w:val="en-US" w:eastAsia="zh-CN"/>
                <w14:textFill>
                  <w14:solidFill>
                    <w14:schemeClr w14:val="tx1"/>
                  </w14:solidFill>
                </w14:textFill>
              </w:rPr>
              <w:t xml:space="preserve">  施工场界扬尘排放限值</w:t>
            </w:r>
          </w:p>
          <w:tbl>
            <w:tblPr>
              <w:tblStyle w:val="22"/>
              <w:tblW w:w="5000"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 w:type="dxa"/>
                <w:bottom w:w="0" w:type="dxa"/>
                <w:right w:w="10" w:type="dxa"/>
              </w:tblCellMar>
            </w:tblPr>
            <w:tblGrid>
              <w:gridCol w:w="628"/>
              <w:gridCol w:w="1780"/>
              <w:gridCol w:w="1380"/>
              <w:gridCol w:w="2770"/>
              <w:gridCol w:w="1474"/>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 w:type="dxa"/>
                  <w:bottom w:w="0" w:type="dxa"/>
                  <w:right w:w="10" w:type="dxa"/>
                </w:tblCellMar>
              </w:tblPrEx>
              <w:trPr>
                <w:trHeight w:val="595" w:hRule="atLeast"/>
                <w:jc w:val="center"/>
              </w:trPr>
              <w:tc>
                <w:tcPr>
                  <w:tcW w:w="624" w:type="dxa"/>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序号</w:t>
                  </w:r>
                </w:p>
              </w:tc>
              <w:tc>
                <w:tcPr>
                  <w:tcW w:w="1767" w:type="dxa"/>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污染物</w:t>
                  </w:r>
                </w:p>
              </w:tc>
              <w:tc>
                <w:tcPr>
                  <w:tcW w:w="1370" w:type="dxa"/>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监控点</w:t>
                  </w:r>
                </w:p>
              </w:tc>
              <w:tc>
                <w:tcPr>
                  <w:tcW w:w="2750" w:type="dxa"/>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施工阶段</w:t>
                  </w:r>
                </w:p>
              </w:tc>
              <w:tc>
                <w:tcPr>
                  <w:tcW w:w="1463" w:type="dxa"/>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小时平均浓度限值（mg/m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 w:type="dxa"/>
                  <w:bottom w:w="0" w:type="dxa"/>
                  <w:right w:w="10" w:type="dxa"/>
                </w:tblCellMar>
              </w:tblPrEx>
              <w:trPr>
                <w:trHeight w:val="543" w:hRule="atLeast"/>
                <w:jc w:val="center"/>
              </w:trPr>
              <w:tc>
                <w:tcPr>
                  <w:tcW w:w="624" w:type="dxa"/>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1767" w:type="dxa"/>
                  <w:vMerge w:val="restart"/>
                  <w:noWrap w:val="0"/>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施工扬尘（即总悬浮颗粒物TSP）</w:t>
                  </w:r>
                </w:p>
              </w:tc>
              <w:tc>
                <w:tcPr>
                  <w:tcW w:w="1370" w:type="dxa"/>
                  <w:vMerge w:val="restar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周界外浓度</w:t>
                  </w:r>
                </w:p>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最高点</w:t>
                  </w:r>
                </w:p>
              </w:tc>
              <w:tc>
                <w:tcPr>
                  <w:tcW w:w="2750" w:type="dxa"/>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拆除、土方及地基处理工程</w:t>
                  </w:r>
                </w:p>
              </w:tc>
              <w:tc>
                <w:tcPr>
                  <w:tcW w:w="1463" w:type="dxa"/>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≤0.8</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 w:type="dxa"/>
                  <w:bottom w:w="0" w:type="dxa"/>
                  <w:right w:w="10" w:type="dxa"/>
                </w:tblCellMar>
              </w:tblPrEx>
              <w:trPr>
                <w:trHeight w:val="613" w:hRule="atLeast"/>
                <w:jc w:val="center"/>
              </w:trPr>
              <w:tc>
                <w:tcPr>
                  <w:tcW w:w="624" w:type="dxa"/>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w:t>
                  </w:r>
                </w:p>
              </w:tc>
              <w:tc>
                <w:tcPr>
                  <w:tcW w:w="1767" w:type="dxa"/>
                  <w:vMerge w:val="continue"/>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370" w:type="dxa"/>
                  <w:vMerge w:val="continue"/>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2750" w:type="dxa"/>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基础、主体结构及装饰工程</w:t>
                  </w:r>
                </w:p>
              </w:tc>
              <w:tc>
                <w:tcPr>
                  <w:tcW w:w="1463" w:type="dxa"/>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 w:type="dxa"/>
                  <w:bottom w:w="0" w:type="dxa"/>
                  <w:right w:w="10" w:type="dxa"/>
                </w:tblCellMar>
              </w:tblPrEx>
              <w:trPr>
                <w:trHeight w:val="539" w:hRule="atLeast"/>
                <w:jc w:val="center"/>
              </w:trPr>
              <w:tc>
                <w:tcPr>
                  <w:tcW w:w="7974" w:type="dxa"/>
                  <w:gridSpan w:val="5"/>
                  <w:noWrap w:val="0"/>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*周界外浓度最高点一般应设罝于无组织排放源下风向的单位周界外10m范围内，若预计无组织排放的最大落地浓度点超出10m范围，可将监控点移至该预计浓度最高点附近</w:t>
                  </w:r>
                </w:p>
              </w:tc>
            </w:tr>
          </w:tbl>
          <w:p>
            <w:pPr>
              <w:pStyle w:val="10"/>
              <w:snapToGrid/>
              <w:spacing w:before="0" w:after="0" w:line="240" w:lineRule="auto"/>
              <w:ind w:right="0"/>
              <w:jc w:val="center"/>
              <w:rPr>
                <w:bCs/>
                <w:color w:val="000000" w:themeColor="text1"/>
                <w:sz w:val="24"/>
                <w:lang w:val="en-US" w:eastAsia="zh-CN"/>
                <w14:textFill>
                  <w14:solidFill>
                    <w14:schemeClr w14:val="tx1"/>
                  </w14:solidFill>
                </w14:textFill>
              </w:rPr>
            </w:pPr>
            <w:r>
              <w:rPr>
                <w:b/>
                <w:color w:val="000000" w:themeColor="text1"/>
                <w:sz w:val="24"/>
                <w:lang w:val="en-US" w:eastAsia="zh-CN"/>
                <w14:textFill>
                  <w14:solidFill>
                    <w14:schemeClr w14:val="tx1"/>
                  </w14:solidFill>
                </w14:textFill>
              </w:rPr>
              <w:t>表</w:t>
            </w:r>
            <w:r>
              <w:rPr>
                <w:rFonts w:hint="eastAsia"/>
                <w:b/>
                <w:color w:val="000000" w:themeColor="text1"/>
                <w:sz w:val="24"/>
                <w:lang w:val="en-US" w:eastAsia="zh-CN"/>
                <w14:textFill>
                  <w14:solidFill>
                    <w14:schemeClr w14:val="tx1"/>
                  </w14:solidFill>
                </w14:textFill>
              </w:rPr>
              <w:t>3</w:t>
            </w:r>
            <w:r>
              <w:rPr>
                <w:b/>
                <w:color w:val="000000" w:themeColor="text1"/>
                <w:sz w:val="24"/>
                <w:lang w:val="en-US" w:eastAsia="zh-CN"/>
                <w14:textFill>
                  <w14:solidFill>
                    <w14:schemeClr w14:val="tx1"/>
                  </w14:solidFill>
                </w14:textFill>
              </w:rPr>
              <w:t>-</w:t>
            </w:r>
            <w:r>
              <w:rPr>
                <w:rFonts w:hint="eastAsia"/>
                <w:b/>
                <w:color w:val="000000" w:themeColor="text1"/>
                <w:sz w:val="24"/>
                <w:lang w:val="en-US" w:eastAsia="zh-CN"/>
                <w14:textFill>
                  <w14:solidFill>
                    <w14:schemeClr w14:val="tx1"/>
                  </w14:solidFill>
                </w14:textFill>
              </w:rPr>
              <w:t>7</w:t>
            </w:r>
            <w:r>
              <w:rPr>
                <w:b/>
                <w:color w:val="000000" w:themeColor="text1"/>
                <w:sz w:val="24"/>
                <w:lang w:val="en-US" w:eastAsia="zh-CN"/>
                <w14:textFill>
                  <w14:solidFill>
                    <w14:schemeClr w14:val="tx1"/>
                  </w14:solidFill>
                </w14:textFill>
              </w:rPr>
              <w:t xml:space="preserve">  非道路移动机械用柴油机排气污染物排放限值</w:t>
            </w:r>
            <w:r>
              <w:rPr>
                <w:bCs/>
                <w:color w:val="000000" w:themeColor="text1"/>
                <w:sz w:val="24"/>
                <w:lang w:val="en-US" w:eastAsia="zh-CN"/>
                <w14:textFill>
                  <w14:solidFill>
                    <w14:schemeClr w14:val="tx1"/>
                  </w14:solidFill>
                </w14:textFill>
              </w:rPr>
              <w:t xml:space="preserve">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642"/>
              <w:gridCol w:w="1146"/>
              <w:gridCol w:w="1146"/>
              <w:gridCol w:w="1146"/>
              <w:gridCol w:w="1146"/>
              <w:gridCol w:w="1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noWrap w:val="0"/>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阶段</w:t>
                  </w:r>
                </w:p>
              </w:tc>
              <w:tc>
                <w:tcPr>
                  <w:tcW w:w="1684" w:type="dxa"/>
                  <w:noWrap w:val="0"/>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额定净功率（P</w:t>
                  </w:r>
                  <w:r>
                    <w:rPr>
                      <w:bCs/>
                      <w:color w:val="000000" w:themeColor="text1"/>
                      <w:szCs w:val="21"/>
                      <w:vertAlign w:val="subscript"/>
                      <w14:textFill>
                        <w14:solidFill>
                          <w14:schemeClr w14:val="tx1"/>
                        </w14:solidFill>
                      </w14:textFill>
                    </w:rPr>
                    <w:t>max</w:t>
                  </w:r>
                  <w:r>
                    <w:rPr>
                      <w:bCs/>
                      <w:color w:val="000000" w:themeColor="text1"/>
                      <w:szCs w:val="21"/>
                      <w14:textFill>
                        <w14:solidFill>
                          <w14:schemeClr w14:val="tx1"/>
                        </w14:solidFill>
                      </w14:textFill>
                    </w:rPr>
                    <w:t>）（kW）</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CO（g/kWh）</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HC（g/kWh）</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NO</w:t>
                  </w:r>
                  <w:r>
                    <w:rPr>
                      <w:rFonts w:hint="eastAsia"/>
                      <w:bCs/>
                      <w:color w:val="000000" w:themeColor="text1"/>
                      <w:szCs w:val="21"/>
                      <w:vertAlign w:val="subscript"/>
                      <w14:textFill>
                        <w14:solidFill>
                          <w14:schemeClr w14:val="tx1"/>
                        </w14:solidFill>
                      </w14:textFill>
                    </w:rPr>
                    <w:t>X</w:t>
                  </w:r>
                  <w:r>
                    <w:rPr>
                      <w:rFonts w:hint="eastAsia"/>
                      <w:bCs/>
                      <w:color w:val="000000" w:themeColor="text1"/>
                      <w:szCs w:val="21"/>
                      <w14:textFill>
                        <w14:solidFill>
                          <w14:schemeClr w14:val="tx1"/>
                        </w14:solidFill>
                      </w14:textFill>
                    </w:rPr>
                    <w:t>（g/kWh）</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HC+NO</w:t>
                  </w:r>
                  <w:r>
                    <w:rPr>
                      <w:rFonts w:hint="eastAsia"/>
                      <w:bCs/>
                      <w:color w:val="000000" w:themeColor="text1"/>
                      <w:szCs w:val="21"/>
                      <w:vertAlign w:val="subscript"/>
                      <w14:textFill>
                        <w14:solidFill>
                          <w14:schemeClr w14:val="tx1"/>
                        </w14:solidFill>
                      </w14:textFill>
                    </w:rPr>
                    <w:t>X</w:t>
                  </w:r>
                  <w:r>
                    <w:rPr>
                      <w:rFonts w:hint="eastAsia"/>
                      <w:bCs/>
                      <w:color w:val="000000" w:themeColor="text1"/>
                      <w:szCs w:val="21"/>
                      <w14:textFill>
                        <w14:solidFill>
                          <w14:schemeClr w14:val="tx1"/>
                        </w14:solidFill>
                      </w14:textFill>
                    </w:rPr>
                    <w:t>（g/kWh）</w:t>
                  </w:r>
                </w:p>
              </w:tc>
              <w:tc>
                <w:tcPr>
                  <w:tcW w:w="1176"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PM（g/kWh）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Merge w:val="restart"/>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第三阶段</w:t>
                  </w:r>
                </w:p>
              </w:tc>
              <w:tc>
                <w:tcPr>
                  <w:tcW w:w="1684" w:type="dxa"/>
                  <w:noWrap w:val="0"/>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P</w:t>
                  </w:r>
                  <w:r>
                    <w:rPr>
                      <w:bCs/>
                      <w:color w:val="000000" w:themeColor="text1"/>
                      <w:szCs w:val="21"/>
                      <w:vertAlign w:val="subscript"/>
                      <w14:textFill>
                        <w14:solidFill>
                          <w14:schemeClr w14:val="tx1"/>
                        </w14:solidFill>
                      </w14:textFill>
                    </w:rPr>
                    <w:t>max</w:t>
                  </w:r>
                  <w:r>
                    <w:rPr>
                      <w:rFonts w:hint="eastAsia"/>
                      <w:bCs/>
                      <w:color w:val="000000" w:themeColor="text1"/>
                      <w:szCs w:val="21"/>
                      <w14:textFill>
                        <w14:solidFill>
                          <w14:schemeClr w14:val="tx1"/>
                        </w14:solidFill>
                      </w14:textFill>
                    </w:rPr>
                    <w:t>＞560</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3.5</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6.4</w:t>
                  </w:r>
                </w:p>
              </w:tc>
              <w:tc>
                <w:tcPr>
                  <w:tcW w:w="1176"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Merge w:val="continue"/>
                  <w:noWrap w:val="0"/>
                  <w:vAlign w:val="center"/>
                </w:tcPr>
                <w:p>
                  <w:pPr>
                    <w:jc w:val="center"/>
                    <w:rPr>
                      <w:bCs/>
                      <w:color w:val="000000" w:themeColor="text1"/>
                      <w:szCs w:val="21"/>
                      <w14:textFill>
                        <w14:solidFill>
                          <w14:schemeClr w14:val="tx1"/>
                        </w14:solidFill>
                      </w14:textFill>
                    </w:rPr>
                  </w:pPr>
                </w:p>
              </w:tc>
              <w:tc>
                <w:tcPr>
                  <w:tcW w:w="168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130≤</w:t>
                  </w:r>
                  <w:r>
                    <w:rPr>
                      <w:bCs/>
                      <w:color w:val="000000" w:themeColor="text1"/>
                      <w:szCs w:val="21"/>
                      <w14:textFill>
                        <w14:solidFill>
                          <w14:schemeClr w14:val="tx1"/>
                        </w14:solidFill>
                      </w14:textFill>
                    </w:rPr>
                    <w:t>P</w:t>
                  </w:r>
                  <w:r>
                    <w:rPr>
                      <w:bCs/>
                      <w:color w:val="000000" w:themeColor="text1"/>
                      <w:szCs w:val="21"/>
                      <w:vertAlign w:val="subscript"/>
                      <w14:textFill>
                        <w14:solidFill>
                          <w14:schemeClr w14:val="tx1"/>
                        </w14:solidFill>
                      </w14:textFill>
                    </w:rPr>
                    <w:t>max</w:t>
                  </w:r>
                  <w:r>
                    <w:rPr>
                      <w:rFonts w:hint="eastAsia"/>
                      <w:bCs/>
                      <w:color w:val="000000" w:themeColor="text1"/>
                      <w:szCs w:val="21"/>
                      <w14:textFill>
                        <w14:solidFill>
                          <w14:schemeClr w14:val="tx1"/>
                        </w14:solidFill>
                      </w14:textFill>
                    </w:rPr>
                    <w:t>≤560</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3.5</w:t>
                  </w:r>
                </w:p>
              </w:tc>
              <w:tc>
                <w:tcPr>
                  <w:tcW w:w="1174" w:type="dxa"/>
                  <w:noWrap w:val="0"/>
                  <w:vAlign w:val="center"/>
                </w:tcPr>
                <w:p>
                  <w:pPr>
                    <w:jc w:val="center"/>
                    <w:rPr>
                      <w:rFonts w:hint="eastAsia"/>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4.0</w:t>
                  </w:r>
                </w:p>
              </w:tc>
              <w:tc>
                <w:tcPr>
                  <w:tcW w:w="1176"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Merge w:val="continue"/>
                  <w:noWrap w:val="0"/>
                  <w:vAlign w:val="center"/>
                </w:tcPr>
                <w:p>
                  <w:pPr>
                    <w:jc w:val="center"/>
                    <w:rPr>
                      <w:bCs/>
                      <w:color w:val="000000" w:themeColor="text1"/>
                      <w:szCs w:val="21"/>
                      <w14:textFill>
                        <w14:solidFill>
                          <w14:schemeClr w14:val="tx1"/>
                        </w14:solidFill>
                      </w14:textFill>
                    </w:rPr>
                  </w:pPr>
                </w:p>
              </w:tc>
              <w:tc>
                <w:tcPr>
                  <w:tcW w:w="168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75≤</w:t>
                  </w:r>
                  <w:r>
                    <w:rPr>
                      <w:bCs/>
                      <w:color w:val="000000" w:themeColor="text1"/>
                      <w:szCs w:val="21"/>
                      <w14:textFill>
                        <w14:solidFill>
                          <w14:schemeClr w14:val="tx1"/>
                        </w14:solidFill>
                      </w14:textFill>
                    </w:rPr>
                    <w:t>P</w:t>
                  </w:r>
                  <w:r>
                    <w:rPr>
                      <w:bCs/>
                      <w:color w:val="000000" w:themeColor="text1"/>
                      <w:szCs w:val="21"/>
                      <w:vertAlign w:val="subscript"/>
                      <w14:textFill>
                        <w14:solidFill>
                          <w14:schemeClr w14:val="tx1"/>
                        </w14:solidFill>
                      </w14:textFill>
                    </w:rPr>
                    <w:t>max</w:t>
                  </w:r>
                  <w:r>
                    <w:rPr>
                      <w:rFonts w:hint="eastAsia"/>
                      <w:bCs/>
                      <w:color w:val="000000" w:themeColor="text1"/>
                      <w:szCs w:val="21"/>
                      <w14:textFill>
                        <w14:solidFill>
                          <w14:schemeClr w14:val="tx1"/>
                        </w14:solidFill>
                      </w14:textFill>
                    </w:rPr>
                    <w:t>≤130</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5.0</w:t>
                  </w:r>
                </w:p>
              </w:tc>
              <w:tc>
                <w:tcPr>
                  <w:tcW w:w="1174" w:type="dxa"/>
                  <w:noWrap w:val="0"/>
                  <w:vAlign w:val="center"/>
                </w:tcPr>
                <w:p>
                  <w:pPr>
                    <w:jc w:val="center"/>
                    <w:rPr>
                      <w:rFonts w:hint="eastAsia"/>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4.0</w:t>
                  </w:r>
                </w:p>
              </w:tc>
              <w:tc>
                <w:tcPr>
                  <w:tcW w:w="1176"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Merge w:val="continue"/>
                  <w:noWrap w:val="0"/>
                  <w:vAlign w:val="center"/>
                </w:tcPr>
                <w:p>
                  <w:pPr>
                    <w:jc w:val="center"/>
                    <w:rPr>
                      <w:bCs/>
                      <w:color w:val="000000" w:themeColor="text1"/>
                      <w:szCs w:val="21"/>
                      <w14:textFill>
                        <w14:solidFill>
                          <w14:schemeClr w14:val="tx1"/>
                        </w14:solidFill>
                      </w14:textFill>
                    </w:rPr>
                  </w:pPr>
                </w:p>
              </w:tc>
              <w:tc>
                <w:tcPr>
                  <w:tcW w:w="168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37≤</w:t>
                  </w:r>
                  <w:r>
                    <w:rPr>
                      <w:bCs/>
                      <w:color w:val="000000" w:themeColor="text1"/>
                      <w:szCs w:val="21"/>
                      <w14:textFill>
                        <w14:solidFill>
                          <w14:schemeClr w14:val="tx1"/>
                        </w14:solidFill>
                      </w14:textFill>
                    </w:rPr>
                    <w:t>P</w:t>
                  </w:r>
                  <w:r>
                    <w:rPr>
                      <w:bCs/>
                      <w:color w:val="000000" w:themeColor="text1"/>
                      <w:szCs w:val="21"/>
                      <w:vertAlign w:val="subscript"/>
                      <w14:textFill>
                        <w14:solidFill>
                          <w14:schemeClr w14:val="tx1"/>
                        </w14:solidFill>
                      </w14:textFill>
                    </w:rPr>
                    <w:t>max</w:t>
                  </w:r>
                  <w:r>
                    <w:rPr>
                      <w:rFonts w:hint="eastAsia"/>
                      <w:bCs/>
                      <w:color w:val="000000" w:themeColor="text1"/>
                      <w:szCs w:val="21"/>
                      <w14:textFill>
                        <w14:solidFill>
                          <w14:schemeClr w14:val="tx1"/>
                        </w14:solidFill>
                      </w14:textFill>
                    </w:rPr>
                    <w:t>≤75</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5.0</w:t>
                  </w:r>
                </w:p>
              </w:tc>
              <w:tc>
                <w:tcPr>
                  <w:tcW w:w="1174" w:type="dxa"/>
                  <w:noWrap w:val="0"/>
                  <w:vAlign w:val="center"/>
                </w:tcPr>
                <w:p>
                  <w:pPr>
                    <w:jc w:val="center"/>
                    <w:rPr>
                      <w:rFonts w:hint="eastAsia"/>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4.7</w:t>
                  </w:r>
                </w:p>
              </w:tc>
              <w:tc>
                <w:tcPr>
                  <w:tcW w:w="1176"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Merge w:val="continue"/>
                  <w:noWrap w:val="0"/>
                  <w:vAlign w:val="center"/>
                </w:tcPr>
                <w:p>
                  <w:pPr>
                    <w:jc w:val="center"/>
                    <w:rPr>
                      <w:bCs/>
                      <w:color w:val="000000" w:themeColor="text1"/>
                      <w:szCs w:val="21"/>
                      <w14:textFill>
                        <w14:solidFill>
                          <w14:schemeClr w14:val="tx1"/>
                        </w14:solidFill>
                      </w14:textFill>
                    </w:rPr>
                  </w:pPr>
                </w:p>
              </w:tc>
              <w:tc>
                <w:tcPr>
                  <w:tcW w:w="1684" w:type="dxa"/>
                  <w:noWrap w:val="0"/>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P</w:t>
                  </w:r>
                  <w:r>
                    <w:rPr>
                      <w:bCs/>
                      <w:color w:val="000000" w:themeColor="text1"/>
                      <w:szCs w:val="21"/>
                      <w:vertAlign w:val="subscript"/>
                      <w14:textFill>
                        <w14:solidFill>
                          <w14:schemeClr w14:val="tx1"/>
                        </w14:solidFill>
                      </w14:textFill>
                    </w:rPr>
                    <w:t>max</w:t>
                  </w:r>
                  <w:r>
                    <w:rPr>
                      <w:rFonts w:hint="eastAsia"/>
                      <w:bCs/>
                      <w:color w:val="000000" w:themeColor="text1"/>
                      <w:szCs w:val="21"/>
                      <w14:textFill>
                        <w14:solidFill>
                          <w14:schemeClr w14:val="tx1"/>
                        </w14:solidFill>
                      </w14:textFill>
                    </w:rPr>
                    <w:t>＜37</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5.5</w:t>
                  </w:r>
                </w:p>
              </w:tc>
              <w:tc>
                <w:tcPr>
                  <w:tcW w:w="1174" w:type="dxa"/>
                  <w:noWrap w:val="0"/>
                  <w:vAlign w:val="center"/>
                </w:tcPr>
                <w:p>
                  <w:pPr>
                    <w:jc w:val="center"/>
                    <w:rPr>
                      <w:rFonts w:hint="eastAsia"/>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7.5</w:t>
                  </w:r>
                </w:p>
              </w:tc>
              <w:tc>
                <w:tcPr>
                  <w:tcW w:w="1176"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Merge w:val="restart"/>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第四阶段</w:t>
                  </w:r>
                </w:p>
              </w:tc>
              <w:tc>
                <w:tcPr>
                  <w:tcW w:w="1684" w:type="dxa"/>
                  <w:noWrap w:val="0"/>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P</w:t>
                  </w:r>
                  <w:r>
                    <w:rPr>
                      <w:bCs/>
                      <w:color w:val="000000" w:themeColor="text1"/>
                      <w:szCs w:val="21"/>
                      <w:vertAlign w:val="subscript"/>
                      <w14:textFill>
                        <w14:solidFill>
                          <w14:schemeClr w14:val="tx1"/>
                        </w14:solidFill>
                      </w14:textFill>
                    </w:rPr>
                    <w:t>max</w:t>
                  </w:r>
                  <w:r>
                    <w:rPr>
                      <w:rFonts w:hint="eastAsia"/>
                      <w:bCs/>
                      <w:color w:val="000000" w:themeColor="text1"/>
                      <w:szCs w:val="21"/>
                      <w14:textFill>
                        <w14:solidFill>
                          <w14:schemeClr w14:val="tx1"/>
                        </w14:solidFill>
                      </w14:textFill>
                    </w:rPr>
                    <w:t>＞560</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3.5</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0.40</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3.5，0.67</w:t>
                  </w:r>
                  <w:r>
                    <w:rPr>
                      <w:rFonts w:hint="eastAsia"/>
                      <w:bCs/>
                      <w:color w:val="000000" w:themeColor="text1"/>
                      <w:szCs w:val="21"/>
                      <w:vertAlign w:val="superscript"/>
                      <w14:textFill>
                        <w14:solidFill>
                          <w14:schemeClr w14:val="tx1"/>
                        </w14:solidFill>
                      </w14:textFill>
                    </w:rPr>
                    <w:t>（1）</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176"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Merge w:val="continue"/>
                  <w:noWrap w:val="0"/>
                  <w:vAlign w:val="center"/>
                </w:tcPr>
                <w:p>
                  <w:pPr>
                    <w:jc w:val="center"/>
                    <w:rPr>
                      <w:bCs/>
                      <w:color w:val="000000" w:themeColor="text1"/>
                      <w:szCs w:val="21"/>
                      <w14:textFill>
                        <w14:solidFill>
                          <w14:schemeClr w14:val="tx1"/>
                        </w14:solidFill>
                      </w14:textFill>
                    </w:rPr>
                  </w:pPr>
                </w:p>
              </w:tc>
              <w:tc>
                <w:tcPr>
                  <w:tcW w:w="168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130≤</w:t>
                  </w:r>
                  <w:r>
                    <w:rPr>
                      <w:bCs/>
                      <w:color w:val="000000" w:themeColor="text1"/>
                      <w:szCs w:val="21"/>
                      <w14:textFill>
                        <w14:solidFill>
                          <w14:schemeClr w14:val="tx1"/>
                        </w14:solidFill>
                      </w14:textFill>
                    </w:rPr>
                    <w:t>P</w:t>
                  </w:r>
                  <w:r>
                    <w:rPr>
                      <w:bCs/>
                      <w:color w:val="000000" w:themeColor="text1"/>
                      <w:szCs w:val="21"/>
                      <w:vertAlign w:val="subscript"/>
                      <w14:textFill>
                        <w14:solidFill>
                          <w14:schemeClr w14:val="tx1"/>
                        </w14:solidFill>
                      </w14:textFill>
                    </w:rPr>
                    <w:t>max</w:t>
                  </w:r>
                  <w:r>
                    <w:rPr>
                      <w:rFonts w:hint="eastAsia"/>
                      <w:bCs/>
                      <w:color w:val="000000" w:themeColor="text1"/>
                      <w:szCs w:val="21"/>
                      <w14:textFill>
                        <w14:solidFill>
                          <w14:schemeClr w14:val="tx1"/>
                        </w14:solidFill>
                      </w14:textFill>
                    </w:rPr>
                    <w:t>≤560</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3.5</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0.19</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2.0</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176"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Merge w:val="continue"/>
                  <w:noWrap w:val="0"/>
                  <w:vAlign w:val="center"/>
                </w:tcPr>
                <w:p>
                  <w:pPr>
                    <w:jc w:val="center"/>
                    <w:rPr>
                      <w:bCs/>
                      <w:color w:val="000000" w:themeColor="text1"/>
                      <w:szCs w:val="21"/>
                      <w14:textFill>
                        <w14:solidFill>
                          <w14:schemeClr w14:val="tx1"/>
                        </w14:solidFill>
                      </w14:textFill>
                    </w:rPr>
                  </w:pPr>
                </w:p>
              </w:tc>
              <w:tc>
                <w:tcPr>
                  <w:tcW w:w="168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75≤</w:t>
                  </w:r>
                  <w:r>
                    <w:rPr>
                      <w:bCs/>
                      <w:color w:val="000000" w:themeColor="text1"/>
                      <w:szCs w:val="21"/>
                      <w14:textFill>
                        <w14:solidFill>
                          <w14:schemeClr w14:val="tx1"/>
                        </w14:solidFill>
                      </w14:textFill>
                    </w:rPr>
                    <w:t>P</w:t>
                  </w:r>
                  <w:r>
                    <w:rPr>
                      <w:bCs/>
                      <w:color w:val="000000" w:themeColor="text1"/>
                      <w:szCs w:val="21"/>
                      <w:vertAlign w:val="subscript"/>
                      <w14:textFill>
                        <w14:solidFill>
                          <w14:schemeClr w14:val="tx1"/>
                        </w14:solidFill>
                      </w14:textFill>
                    </w:rPr>
                    <w:t>max</w:t>
                  </w:r>
                  <w:r>
                    <w:rPr>
                      <w:rFonts w:hint="eastAsia"/>
                      <w:bCs/>
                      <w:color w:val="000000" w:themeColor="text1"/>
                      <w:szCs w:val="21"/>
                      <w14:textFill>
                        <w14:solidFill>
                          <w14:schemeClr w14:val="tx1"/>
                        </w14:solidFill>
                      </w14:textFill>
                    </w:rPr>
                    <w:t>≤130</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5.0</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0.19</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3.3</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176"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Merge w:val="continue"/>
                  <w:noWrap w:val="0"/>
                  <w:vAlign w:val="center"/>
                </w:tcPr>
                <w:p>
                  <w:pPr>
                    <w:jc w:val="center"/>
                    <w:rPr>
                      <w:bCs/>
                      <w:color w:val="000000" w:themeColor="text1"/>
                      <w:szCs w:val="21"/>
                      <w14:textFill>
                        <w14:solidFill>
                          <w14:schemeClr w14:val="tx1"/>
                        </w14:solidFill>
                      </w14:textFill>
                    </w:rPr>
                  </w:pPr>
                </w:p>
              </w:tc>
              <w:tc>
                <w:tcPr>
                  <w:tcW w:w="168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56≤</w:t>
                  </w:r>
                  <w:r>
                    <w:rPr>
                      <w:bCs/>
                      <w:color w:val="000000" w:themeColor="text1"/>
                      <w:szCs w:val="21"/>
                      <w14:textFill>
                        <w14:solidFill>
                          <w14:schemeClr w14:val="tx1"/>
                        </w14:solidFill>
                      </w14:textFill>
                    </w:rPr>
                    <w:t>P</w:t>
                  </w:r>
                  <w:r>
                    <w:rPr>
                      <w:bCs/>
                      <w:color w:val="000000" w:themeColor="text1"/>
                      <w:szCs w:val="21"/>
                      <w:vertAlign w:val="subscript"/>
                      <w14:textFill>
                        <w14:solidFill>
                          <w14:schemeClr w14:val="tx1"/>
                        </w14:solidFill>
                      </w14:textFill>
                    </w:rPr>
                    <w:t>max</w:t>
                  </w:r>
                  <w:r>
                    <w:rPr>
                      <w:rFonts w:hint="eastAsia"/>
                      <w:bCs/>
                      <w:color w:val="000000" w:themeColor="text1"/>
                      <w:szCs w:val="21"/>
                      <w14:textFill>
                        <w14:solidFill>
                          <w14:schemeClr w14:val="tx1"/>
                        </w14:solidFill>
                      </w14:textFill>
                    </w:rPr>
                    <w:t>≤75</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5.0</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0.19</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3.3</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176"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Merge w:val="continue"/>
                  <w:noWrap w:val="0"/>
                  <w:vAlign w:val="center"/>
                </w:tcPr>
                <w:p>
                  <w:pPr>
                    <w:jc w:val="center"/>
                    <w:rPr>
                      <w:bCs/>
                      <w:color w:val="000000" w:themeColor="text1"/>
                      <w:szCs w:val="21"/>
                      <w14:textFill>
                        <w14:solidFill>
                          <w14:schemeClr w14:val="tx1"/>
                        </w14:solidFill>
                      </w14:textFill>
                    </w:rPr>
                  </w:pPr>
                </w:p>
              </w:tc>
              <w:tc>
                <w:tcPr>
                  <w:tcW w:w="168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37≤</w:t>
                  </w:r>
                  <w:r>
                    <w:rPr>
                      <w:bCs/>
                      <w:color w:val="000000" w:themeColor="text1"/>
                      <w:szCs w:val="21"/>
                      <w14:textFill>
                        <w14:solidFill>
                          <w14:schemeClr w14:val="tx1"/>
                        </w14:solidFill>
                      </w14:textFill>
                    </w:rPr>
                    <w:t>P</w:t>
                  </w:r>
                  <w:r>
                    <w:rPr>
                      <w:bCs/>
                      <w:color w:val="000000" w:themeColor="text1"/>
                      <w:szCs w:val="21"/>
                      <w:vertAlign w:val="subscript"/>
                      <w14:textFill>
                        <w14:solidFill>
                          <w14:schemeClr w14:val="tx1"/>
                        </w14:solidFill>
                      </w14:textFill>
                    </w:rPr>
                    <w:t>max</w:t>
                  </w:r>
                  <w:r>
                    <w:rPr>
                      <w:rFonts w:hint="eastAsia"/>
                      <w:bCs/>
                      <w:color w:val="000000" w:themeColor="text1"/>
                      <w:szCs w:val="21"/>
                      <w14:textFill>
                        <w14:solidFill>
                          <w14:schemeClr w14:val="tx1"/>
                        </w14:solidFill>
                      </w14:textFill>
                    </w:rPr>
                    <w:t>≤56</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5.0</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4.7</w:t>
                  </w:r>
                </w:p>
              </w:tc>
              <w:tc>
                <w:tcPr>
                  <w:tcW w:w="1176"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Merge w:val="continue"/>
                  <w:noWrap w:val="0"/>
                  <w:vAlign w:val="center"/>
                </w:tcPr>
                <w:p>
                  <w:pPr>
                    <w:jc w:val="center"/>
                    <w:rPr>
                      <w:bCs/>
                      <w:color w:val="000000" w:themeColor="text1"/>
                      <w:szCs w:val="21"/>
                      <w14:textFill>
                        <w14:solidFill>
                          <w14:schemeClr w14:val="tx1"/>
                        </w14:solidFill>
                      </w14:textFill>
                    </w:rPr>
                  </w:pPr>
                </w:p>
              </w:tc>
              <w:tc>
                <w:tcPr>
                  <w:tcW w:w="1684" w:type="dxa"/>
                  <w:noWrap w:val="0"/>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P</w:t>
                  </w:r>
                  <w:r>
                    <w:rPr>
                      <w:bCs/>
                      <w:color w:val="000000" w:themeColor="text1"/>
                      <w:szCs w:val="21"/>
                      <w:vertAlign w:val="subscript"/>
                      <w14:textFill>
                        <w14:solidFill>
                          <w14:schemeClr w14:val="tx1"/>
                        </w14:solidFill>
                      </w14:textFill>
                    </w:rPr>
                    <w:t>max</w:t>
                  </w:r>
                  <w:r>
                    <w:rPr>
                      <w:rFonts w:hint="eastAsia"/>
                      <w:bCs/>
                      <w:color w:val="000000" w:themeColor="text1"/>
                      <w:szCs w:val="21"/>
                      <w14:textFill>
                        <w14:solidFill>
                          <w14:schemeClr w14:val="tx1"/>
                        </w14:solidFill>
                      </w14:textFill>
                    </w:rPr>
                    <w:t>＜37</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5.5</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174"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7.5</w:t>
                  </w:r>
                </w:p>
              </w:tc>
              <w:tc>
                <w:tcPr>
                  <w:tcW w:w="1176" w:type="dxa"/>
                  <w:noWrap w:val="0"/>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0" w:type="dxa"/>
                  <w:gridSpan w:val="7"/>
                  <w:noWrap w:val="0"/>
                  <w:vAlign w:val="center"/>
                </w:tcPr>
                <w:p>
                  <w:pPr>
                    <w:jc w:val="left"/>
                    <w:rPr>
                      <w:bCs/>
                      <w:color w:val="000000" w:themeColor="text1"/>
                      <w:szCs w:val="21"/>
                      <w14:textFill>
                        <w14:solidFill>
                          <w14:schemeClr w14:val="tx1"/>
                        </w14:solidFill>
                      </w14:textFill>
                    </w:rPr>
                  </w:pPr>
                  <w:r>
                    <w:rPr>
                      <w:color w:val="000000" w:themeColor="text1"/>
                      <w:szCs w:val="21"/>
                      <w14:textFill>
                        <w14:solidFill>
                          <w14:schemeClr w14:val="tx1"/>
                        </w14:solidFill>
                      </w14:textFill>
                    </w:rPr>
                    <w:t>（1）适用于可移动式发电机组用P</w:t>
                  </w:r>
                  <w:r>
                    <w:rPr>
                      <w:color w:val="000000" w:themeColor="text1"/>
                      <w:szCs w:val="21"/>
                      <w:vertAlign w:val="subscript"/>
                      <w14:textFill>
                        <w14:solidFill>
                          <w14:schemeClr w14:val="tx1"/>
                        </w14:solidFill>
                      </w14:textFill>
                    </w:rPr>
                    <w:t>max</w:t>
                  </w:r>
                  <w:r>
                    <w:rPr>
                      <w:color w:val="000000" w:themeColor="text1"/>
                      <w:szCs w:val="21"/>
                      <w14:textFill>
                        <w14:solidFill>
                          <w14:schemeClr w14:val="tx1"/>
                        </w14:solidFill>
                      </w14:textFill>
                    </w:rPr>
                    <w:t>＞900kW的柴油机</w:t>
                  </w:r>
                </w:p>
              </w:tc>
            </w:tr>
          </w:tbl>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2</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运营期</w:t>
            </w:r>
          </w:p>
          <w:p>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锅炉燃气废气污染物颗粒物、SO</w:t>
            </w:r>
            <w:r>
              <w:rPr>
                <w:rFonts w:hint="eastAsia"/>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、氮氧化物排放均执行陕西省地方标准《锅炉大气污染物排放标准》（DB 61/1226-2018）表3中的燃气锅炉大气污染物排放限值要求，具体指标见表3-</w:t>
            </w:r>
            <w:r>
              <w:rPr>
                <w:rFonts w:hint="eastAsia"/>
                <w:color w:val="000000" w:themeColor="text1"/>
                <w:sz w:val="24"/>
                <w:lang w:val="en-US" w:eastAsia="zh-CN"/>
                <w14:textFill>
                  <w14:solidFill>
                    <w14:schemeClr w14:val="tx1"/>
                  </w14:solidFill>
                </w14:textFill>
              </w:rPr>
              <w:t>8</w:t>
            </w:r>
            <w:r>
              <w:rPr>
                <w:rFonts w:hint="eastAsia"/>
                <w:color w:val="000000" w:themeColor="text1"/>
                <w:sz w:val="24"/>
                <w14:textFill>
                  <w14:solidFill>
                    <w14:schemeClr w14:val="tx1"/>
                  </w14:solidFill>
                </w14:textFill>
              </w:rPr>
              <w:t>。</w:t>
            </w:r>
          </w:p>
          <w:p>
            <w:pPr>
              <w:pStyle w:val="10"/>
              <w:snapToGrid/>
              <w:spacing w:before="0" w:after="0" w:line="240" w:lineRule="auto"/>
              <w:ind w:right="0"/>
              <w:jc w:val="center"/>
              <w:rPr>
                <w:b/>
                <w:color w:val="000000" w:themeColor="text1"/>
                <w:sz w:val="24"/>
                <w:lang w:val="en-US" w:eastAsia="zh-CN"/>
                <w14:textFill>
                  <w14:solidFill>
                    <w14:schemeClr w14:val="tx1"/>
                  </w14:solidFill>
                </w14:textFill>
              </w:rPr>
            </w:pPr>
            <w:r>
              <w:rPr>
                <w:b/>
                <w:color w:val="000000" w:themeColor="text1"/>
                <w:sz w:val="24"/>
                <w:lang w:val="en-US" w:eastAsia="zh-CN"/>
                <w14:textFill>
                  <w14:solidFill>
                    <w14:schemeClr w14:val="tx1"/>
                  </w14:solidFill>
                </w14:textFill>
              </w:rPr>
              <w:t>表</w:t>
            </w:r>
            <w:r>
              <w:rPr>
                <w:rFonts w:hint="eastAsia"/>
                <w:b/>
                <w:color w:val="000000" w:themeColor="text1"/>
                <w:sz w:val="24"/>
                <w:lang w:val="en-US" w:eastAsia="zh-CN"/>
                <w14:textFill>
                  <w14:solidFill>
                    <w14:schemeClr w14:val="tx1"/>
                  </w14:solidFill>
                </w14:textFill>
              </w:rPr>
              <w:t>3-8</w:t>
            </w:r>
            <w:r>
              <w:rPr>
                <w:b/>
                <w:color w:val="000000" w:themeColor="text1"/>
                <w:sz w:val="24"/>
                <w:lang w:val="en-US" w:eastAsia="zh-CN"/>
                <w14:textFill>
                  <w14:solidFill>
                    <w14:schemeClr w14:val="tx1"/>
                  </w14:solidFill>
                </w14:textFill>
              </w:rPr>
              <w:t xml:space="preserve">  </w:t>
            </w:r>
            <w:r>
              <w:rPr>
                <w:rFonts w:hint="eastAsia"/>
                <w:b/>
                <w:color w:val="000000" w:themeColor="text1"/>
                <w:sz w:val="24"/>
                <w:lang w:val="en-US" w:eastAsia="zh-CN"/>
                <w14:textFill>
                  <w14:solidFill>
                    <w14:schemeClr w14:val="tx1"/>
                  </w14:solidFill>
                </w14:textFill>
              </w:rPr>
              <w:t>燃气锅炉</w:t>
            </w:r>
            <w:r>
              <w:rPr>
                <w:b/>
                <w:color w:val="000000" w:themeColor="text1"/>
                <w:sz w:val="24"/>
                <w:lang w:val="en-US" w:eastAsia="zh-CN"/>
                <w14:textFill>
                  <w14:solidFill>
                    <w14:schemeClr w14:val="tx1"/>
                  </w14:solidFill>
                </w14:textFill>
              </w:rPr>
              <w:t>大气污染物排放</w:t>
            </w:r>
            <w:r>
              <w:rPr>
                <w:rFonts w:hint="eastAsia"/>
                <w:b/>
                <w:color w:val="000000" w:themeColor="text1"/>
                <w:sz w:val="24"/>
                <w:lang w:val="en-US" w:eastAsia="zh-CN"/>
                <w14:textFill>
                  <w14:solidFill>
                    <w14:schemeClr w14:val="tx1"/>
                  </w14:solidFill>
                </w14:textFill>
              </w:rPr>
              <w:t>浓度</w:t>
            </w:r>
            <w:r>
              <w:rPr>
                <w:b/>
                <w:color w:val="000000" w:themeColor="text1"/>
                <w:sz w:val="24"/>
                <w:lang w:val="en-US" w:eastAsia="zh-CN"/>
                <w14:textFill>
                  <w14:solidFill>
                    <w14:schemeClr w14:val="tx1"/>
                  </w14:solidFill>
                </w14:textFill>
              </w:rPr>
              <w:t>限值  单位：mg/m</w:t>
            </w:r>
            <w:r>
              <w:rPr>
                <w:b/>
                <w:color w:val="000000" w:themeColor="text1"/>
                <w:sz w:val="24"/>
                <w:vertAlign w:val="superscript"/>
                <w:lang w:val="en-US" w:eastAsia="zh-CN"/>
                <w14:textFill>
                  <w14:solidFill>
                    <w14:schemeClr w14:val="tx1"/>
                  </w14:solidFill>
                </w14:textFill>
              </w:rPr>
              <w:t>3</w:t>
            </w:r>
          </w:p>
          <w:tbl>
            <w:tblPr>
              <w:tblStyle w:val="22"/>
              <w:tblW w:w="5000"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426"/>
              <w:gridCol w:w="1425"/>
              <w:gridCol w:w="1425"/>
              <w:gridCol w:w="2267"/>
              <w:gridCol w:w="1488"/>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4" w:type="dxa"/>
                  <w:noWrap w:val="0"/>
                  <w:vAlign w:val="center"/>
                </w:tcPr>
                <w:p>
                  <w:pPr>
                    <w:pStyle w:val="69"/>
                    <w:spacing w:line="240" w:lineRule="auto"/>
                    <w:ind w:firstLine="0" w:firstLineChars="0"/>
                    <w:jc w:val="center"/>
                    <w:rPr>
                      <w:rFonts w:ascii="Times New Roman" w:hAnsi="Times New Roman"/>
                      <w:bCs/>
                      <w:smallCaps/>
                      <w:color w:val="000000" w:themeColor="text1"/>
                      <w:sz w:val="21"/>
                      <w14:textFill>
                        <w14:solidFill>
                          <w14:schemeClr w14:val="tx1"/>
                        </w14:solidFill>
                      </w14:textFill>
                    </w:rPr>
                  </w:pPr>
                  <w:r>
                    <w:rPr>
                      <w:rFonts w:ascii="Times New Roman" w:hAnsi="Times New Roman"/>
                      <w:bCs/>
                      <w:smallCaps/>
                      <w:color w:val="000000" w:themeColor="text1"/>
                      <w:sz w:val="21"/>
                      <w14:textFill>
                        <w14:solidFill>
                          <w14:schemeClr w14:val="tx1"/>
                        </w14:solidFill>
                      </w14:textFill>
                    </w:rPr>
                    <w:t>燃气的种类</w:t>
                  </w:r>
                </w:p>
              </w:tc>
              <w:tc>
                <w:tcPr>
                  <w:tcW w:w="1444" w:type="dxa"/>
                  <w:noWrap w:val="0"/>
                  <w:vAlign w:val="center"/>
                </w:tcPr>
                <w:p>
                  <w:pPr>
                    <w:pStyle w:val="69"/>
                    <w:spacing w:line="240" w:lineRule="auto"/>
                    <w:ind w:firstLine="0" w:firstLineChars="0"/>
                    <w:jc w:val="center"/>
                    <w:rPr>
                      <w:rFonts w:ascii="Times New Roman" w:hAnsi="Times New Roman"/>
                      <w:bCs/>
                      <w:smallCaps/>
                      <w:color w:val="000000" w:themeColor="text1"/>
                      <w:sz w:val="21"/>
                      <w14:textFill>
                        <w14:solidFill>
                          <w14:schemeClr w14:val="tx1"/>
                        </w14:solidFill>
                      </w14:textFill>
                    </w:rPr>
                  </w:pPr>
                  <w:r>
                    <w:rPr>
                      <w:rFonts w:ascii="Times New Roman" w:hAnsi="Times New Roman"/>
                      <w:bCs/>
                      <w:smallCaps/>
                      <w:color w:val="000000" w:themeColor="text1"/>
                      <w:sz w:val="21"/>
                      <w14:textFill>
                        <w14:solidFill>
                          <w14:schemeClr w14:val="tx1"/>
                        </w14:solidFill>
                      </w14:textFill>
                    </w:rPr>
                    <w:t>颗粒物</w:t>
                  </w:r>
                </w:p>
              </w:tc>
              <w:tc>
                <w:tcPr>
                  <w:tcW w:w="1444" w:type="dxa"/>
                  <w:noWrap w:val="0"/>
                  <w:vAlign w:val="center"/>
                </w:tcPr>
                <w:p>
                  <w:pPr>
                    <w:pStyle w:val="69"/>
                    <w:spacing w:line="240" w:lineRule="auto"/>
                    <w:ind w:firstLine="0" w:firstLineChars="0"/>
                    <w:jc w:val="center"/>
                    <w:rPr>
                      <w:rFonts w:ascii="Times New Roman" w:hAnsi="Times New Roman"/>
                      <w:bCs/>
                      <w:smallCaps/>
                      <w:color w:val="000000" w:themeColor="text1"/>
                      <w:sz w:val="21"/>
                      <w14:textFill>
                        <w14:solidFill>
                          <w14:schemeClr w14:val="tx1"/>
                        </w14:solidFill>
                      </w14:textFill>
                    </w:rPr>
                  </w:pPr>
                  <w:r>
                    <w:rPr>
                      <w:rFonts w:ascii="Times New Roman" w:hAnsi="Times New Roman"/>
                      <w:bCs/>
                      <w:smallCaps/>
                      <w:color w:val="000000" w:themeColor="text1"/>
                      <w:sz w:val="21"/>
                      <w14:textFill>
                        <w14:solidFill>
                          <w14:schemeClr w14:val="tx1"/>
                        </w14:solidFill>
                      </w14:textFill>
                    </w:rPr>
                    <w:t>二氧化硫</w:t>
                  </w:r>
                </w:p>
              </w:tc>
              <w:tc>
                <w:tcPr>
                  <w:tcW w:w="2300" w:type="dxa"/>
                  <w:noWrap w:val="0"/>
                  <w:vAlign w:val="center"/>
                </w:tcPr>
                <w:p>
                  <w:pPr>
                    <w:pStyle w:val="69"/>
                    <w:spacing w:line="240" w:lineRule="auto"/>
                    <w:ind w:firstLine="0" w:firstLineChars="0"/>
                    <w:jc w:val="center"/>
                    <w:rPr>
                      <w:rFonts w:ascii="Times New Roman" w:hAnsi="Times New Roman"/>
                      <w:bCs/>
                      <w:smallCaps/>
                      <w:color w:val="000000" w:themeColor="text1"/>
                      <w:sz w:val="21"/>
                      <w14:textFill>
                        <w14:solidFill>
                          <w14:schemeClr w14:val="tx1"/>
                        </w14:solidFill>
                      </w14:textFill>
                    </w:rPr>
                  </w:pPr>
                  <w:r>
                    <w:rPr>
                      <w:rFonts w:ascii="Times New Roman" w:hAnsi="Times New Roman"/>
                      <w:bCs/>
                      <w:smallCaps/>
                      <w:color w:val="000000" w:themeColor="text1"/>
                      <w:sz w:val="21"/>
                      <w14:textFill>
                        <w14:solidFill>
                          <w14:schemeClr w14:val="tx1"/>
                        </w14:solidFill>
                      </w14:textFill>
                    </w:rPr>
                    <w:t>氮氧化物</w:t>
                  </w:r>
                </w:p>
              </w:tc>
              <w:tc>
                <w:tcPr>
                  <w:tcW w:w="1507" w:type="dxa"/>
                  <w:noWrap w:val="0"/>
                  <w:vAlign w:val="center"/>
                </w:tcPr>
                <w:p>
                  <w:pPr>
                    <w:pStyle w:val="69"/>
                    <w:spacing w:line="240" w:lineRule="auto"/>
                    <w:ind w:firstLine="0" w:firstLineChars="0"/>
                    <w:jc w:val="center"/>
                    <w:rPr>
                      <w:rFonts w:ascii="Times New Roman" w:hAnsi="Times New Roman"/>
                      <w:bCs/>
                      <w:smallCaps/>
                      <w:color w:val="000000" w:themeColor="text1"/>
                      <w:sz w:val="21"/>
                      <w14:textFill>
                        <w14:solidFill>
                          <w14:schemeClr w14:val="tx1"/>
                        </w14:solidFill>
                      </w14:textFill>
                    </w:rPr>
                  </w:pPr>
                  <w:r>
                    <w:rPr>
                      <w:rFonts w:ascii="Times New Roman" w:hAnsi="Times New Roman"/>
                      <w:bCs/>
                      <w:smallCaps/>
                      <w:color w:val="000000" w:themeColor="text1"/>
                      <w:sz w:val="21"/>
                      <w14:textFill>
                        <w14:solidFill>
                          <w14:schemeClr w14:val="tx1"/>
                        </w14:solidFill>
                      </w14:textFill>
                    </w:rPr>
                    <w:t>监控位置</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4" w:type="dxa"/>
                  <w:noWrap w:val="0"/>
                  <w:vAlign w:val="center"/>
                </w:tcPr>
                <w:p>
                  <w:pPr>
                    <w:pStyle w:val="69"/>
                    <w:spacing w:line="240" w:lineRule="auto"/>
                    <w:ind w:firstLine="0" w:firstLineChars="0"/>
                    <w:jc w:val="center"/>
                    <w:rPr>
                      <w:rFonts w:ascii="Times New Roman" w:hAnsi="Times New Roman"/>
                      <w:smallCaps/>
                      <w:color w:val="000000" w:themeColor="text1"/>
                      <w:sz w:val="21"/>
                      <w14:textFill>
                        <w14:solidFill>
                          <w14:schemeClr w14:val="tx1"/>
                        </w14:solidFill>
                      </w14:textFill>
                    </w:rPr>
                  </w:pPr>
                  <w:r>
                    <w:rPr>
                      <w:rFonts w:ascii="Times New Roman" w:hAnsi="Times New Roman"/>
                      <w:smallCaps/>
                      <w:color w:val="000000" w:themeColor="text1"/>
                      <w:sz w:val="21"/>
                      <w14:textFill>
                        <w14:solidFill>
                          <w14:schemeClr w14:val="tx1"/>
                        </w14:solidFill>
                      </w14:textFill>
                    </w:rPr>
                    <w:t>天然气</w:t>
                  </w:r>
                </w:p>
              </w:tc>
              <w:tc>
                <w:tcPr>
                  <w:tcW w:w="1444" w:type="dxa"/>
                  <w:noWrap w:val="0"/>
                  <w:vAlign w:val="center"/>
                </w:tcPr>
                <w:p>
                  <w:pPr>
                    <w:pStyle w:val="69"/>
                    <w:spacing w:line="240" w:lineRule="auto"/>
                    <w:ind w:firstLine="0" w:firstLineChars="0"/>
                    <w:jc w:val="center"/>
                    <w:rPr>
                      <w:rFonts w:ascii="Times New Roman" w:hAnsi="Times New Roman"/>
                      <w:smallCaps/>
                      <w:color w:val="000000" w:themeColor="text1"/>
                      <w:sz w:val="21"/>
                      <w14:textFill>
                        <w14:solidFill>
                          <w14:schemeClr w14:val="tx1"/>
                        </w14:solidFill>
                      </w14:textFill>
                    </w:rPr>
                  </w:pPr>
                  <w:r>
                    <w:rPr>
                      <w:rFonts w:ascii="Times New Roman" w:hAnsi="Times New Roman"/>
                      <w:smallCaps/>
                      <w:color w:val="000000" w:themeColor="text1"/>
                      <w:sz w:val="21"/>
                      <w14:textFill>
                        <w14:solidFill>
                          <w14:schemeClr w14:val="tx1"/>
                        </w14:solidFill>
                      </w14:textFill>
                    </w:rPr>
                    <w:t>10</w:t>
                  </w:r>
                </w:p>
              </w:tc>
              <w:tc>
                <w:tcPr>
                  <w:tcW w:w="1444" w:type="dxa"/>
                  <w:noWrap w:val="0"/>
                  <w:vAlign w:val="center"/>
                </w:tcPr>
                <w:p>
                  <w:pPr>
                    <w:pStyle w:val="69"/>
                    <w:spacing w:line="240" w:lineRule="auto"/>
                    <w:ind w:firstLine="0" w:firstLineChars="0"/>
                    <w:jc w:val="center"/>
                    <w:rPr>
                      <w:rFonts w:ascii="Times New Roman" w:hAnsi="Times New Roman"/>
                      <w:smallCaps/>
                      <w:color w:val="000000" w:themeColor="text1"/>
                      <w:sz w:val="21"/>
                      <w14:textFill>
                        <w14:solidFill>
                          <w14:schemeClr w14:val="tx1"/>
                        </w14:solidFill>
                      </w14:textFill>
                    </w:rPr>
                  </w:pPr>
                  <w:r>
                    <w:rPr>
                      <w:rFonts w:ascii="Times New Roman" w:hAnsi="Times New Roman"/>
                      <w:smallCaps/>
                      <w:color w:val="000000" w:themeColor="text1"/>
                      <w:sz w:val="21"/>
                      <w14:textFill>
                        <w14:solidFill>
                          <w14:schemeClr w14:val="tx1"/>
                        </w14:solidFill>
                      </w14:textFill>
                    </w:rPr>
                    <w:t>20</w:t>
                  </w:r>
                </w:p>
              </w:tc>
              <w:tc>
                <w:tcPr>
                  <w:tcW w:w="2300" w:type="dxa"/>
                  <w:noWrap w:val="0"/>
                  <w:vAlign w:val="center"/>
                </w:tcPr>
                <w:p>
                  <w:pPr>
                    <w:pStyle w:val="69"/>
                    <w:spacing w:line="240" w:lineRule="auto"/>
                    <w:ind w:firstLine="0" w:firstLineChars="0"/>
                    <w:jc w:val="center"/>
                    <w:rPr>
                      <w:rFonts w:hint="eastAsia" w:ascii="Times New Roman" w:hAnsi="Times New Roman"/>
                      <w:smallCaps/>
                      <w:color w:val="000000" w:themeColor="text1"/>
                      <w:sz w:val="21"/>
                      <w14:textFill>
                        <w14:solidFill>
                          <w14:schemeClr w14:val="tx1"/>
                        </w14:solidFill>
                      </w14:textFill>
                    </w:rPr>
                  </w:pPr>
                  <w:r>
                    <w:rPr>
                      <w:rFonts w:ascii="Times New Roman" w:hAnsi="Times New Roman"/>
                      <w:smallCaps/>
                      <w:color w:val="000000" w:themeColor="text1"/>
                      <w:sz w:val="21"/>
                      <w14:textFill>
                        <w14:solidFill>
                          <w14:schemeClr w14:val="tx1"/>
                        </w14:solidFill>
                      </w14:textFill>
                    </w:rPr>
                    <w:t>50</w:t>
                  </w:r>
                  <w:r>
                    <w:rPr>
                      <w:rFonts w:ascii="Times New Roman" w:hAnsi="Times New Roman"/>
                      <w:color w:val="000000" w:themeColor="text1"/>
                      <w:sz w:val="21"/>
                      <w:szCs w:val="21"/>
                      <w:vertAlign w:val="superscript"/>
                      <w14:textFill>
                        <w14:solidFill>
                          <w14:schemeClr w14:val="tx1"/>
                        </w14:solidFill>
                      </w14:textFill>
                    </w:rPr>
                    <w:t>b</w:t>
                  </w:r>
                </w:p>
              </w:tc>
              <w:tc>
                <w:tcPr>
                  <w:tcW w:w="1507" w:type="dxa"/>
                  <w:noWrap w:val="0"/>
                  <w:vAlign w:val="center"/>
                </w:tcPr>
                <w:p>
                  <w:pPr>
                    <w:pStyle w:val="69"/>
                    <w:spacing w:line="240" w:lineRule="auto"/>
                    <w:ind w:firstLine="0" w:firstLineChars="0"/>
                    <w:jc w:val="center"/>
                    <w:rPr>
                      <w:rFonts w:ascii="Times New Roman" w:hAnsi="Times New Roman"/>
                      <w:smallCaps/>
                      <w:color w:val="000000" w:themeColor="text1"/>
                      <w:sz w:val="21"/>
                      <w14:textFill>
                        <w14:solidFill>
                          <w14:schemeClr w14:val="tx1"/>
                        </w14:solidFill>
                      </w14:textFill>
                    </w:rPr>
                  </w:pPr>
                  <w:r>
                    <w:rPr>
                      <w:rFonts w:ascii="Times New Roman" w:hAnsi="Times New Roman"/>
                      <w:smallCaps/>
                      <w:color w:val="000000" w:themeColor="text1"/>
                      <w:sz w:val="21"/>
                      <w14:textFill>
                        <w14:solidFill>
                          <w14:schemeClr w14:val="tx1"/>
                        </w14:solidFill>
                      </w14:textFill>
                    </w:rPr>
                    <w:t>烟囱排放口</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bCs/>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注</w:t>
            </w:r>
            <w:r>
              <w:rPr>
                <w:rFonts w:hint="eastAsia"/>
                <w:color w:val="000000" w:themeColor="text1"/>
                <w:szCs w:val="21"/>
                <w:vertAlign w:val="superscript"/>
                <w14:textFill>
                  <w14:solidFill>
                    <w14:schemeClr w14:val="tx1"/>
                  </w14:solidFill>
                </w14:textFill>
              </w:rPr>
              <w:t>b</w:t>
            </w:r>
            <w:r>
              <w:rPr>
                <w:rFonts w:hint="eastAsia"/>
                <w:color w:val="000000" w:themeColor="text1"/>
                <w:szCs w:val="21"/>
                <w14:textFill>
                  <w14:solidFill>
                    <w14:schemeClr w14:val="tx1"/>
                  </w14:solidFill>
                </w14:textFill>
              </w:rPr>
              <w:t>：关中地区2017年5月22日起环境影响评价文件通过审批的天然气锅炉自本标准实施之日起执行该限值。</w:t>
            </w:r>
          </w:p>
          <w:p>
            <w:pPr>
              <w:spacing w:line="360" w:lineRule="auto"/>
              <w:ind w:firstLine="480" w:firstLineChars="200"/>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w:t>
            </w:r>
            <w:r>
              <w:rPr>
                <w:bCs/>
                <w:color w:val="000000" w:themeColor="text1"/>
                <w:sz w:val="24"/>
                <w14:textFill>
                  <w14:solidFill>
                    <w14:schemeClr w14:val="tx1"/>
                  </w14:solidFill>
                </w14:textFill>
              </w:rPr>
              <w:t>餐厅油烟废气排放执行《饮食业油烟排放标准（试行）》（GB</w:t>
            </w:r>
            <w:r>
              <w:rPr>
                <w:rFonts w:hint="eastAsia"/>
                <w:bCs/>
                <w:color w:val="000000" w:themeColor="text1"/>
                <w:sz w:val="24"/>
                <w14:textFill>
                  <w14:solidFill>
                    <w14:schemeClr w14:val="tx1"/>
                  </w14:solidFill>
                </w14:textFill>
              </w:rPr>
              <w:t xml:space="preserve"> </w:t>
            </w:r>
            <w:r>
              <w:rPr>
                <w:bCs/>
                <w:color w:val="000000" w:themeColor="text1"/>
                <w:sz w:val="24"/>
                <w14:textFill>
                  <w14:solidFill>
                    <w14:schemeClr w14:val="tx1"/>
                  </w14:solidFill>
                </w14:textFill>
              </w:rPr>
              <w:t>18483-2001）中“小型”标准要求。具体控制指标详见表3-</w:t>
            </w:r>
            <w:r>
              <w:rPr>
                <w:rFonts w:hint="eastAsia"/>
                <w:bCs/>
                <w:color w:val="000000" w:themeColor="text1"/>
                <w:sz w:val="24"/>
                <w:lang w:val="en-US" w:eastAsia="zh-CN"/>
                <w14:textFill>
                  <w14:solidFill>
                    <w14:schemeClr w14:val="tx1"/>
                  </w14:solidFill>
                </w14:textFill>
              </w:rPr>
              <w:t>9</w:t>
            </w:r>
            <w:r>
              <w:rPr>
                <w:bCs/>
                <w:color w:val="000000" w:themeColor="text1"/>
                <w:sz w:val="24"/>
                <w14:textFill>
                  <w14:solidFill>
                    <w14:schemeClr w14:val="tx1"/>
                  </w14:solidFill>
                </w14:textFill>
              </w:rPr>
              <w:t>。</w:t>
            </w:r>
          </w:p>
          <w:p>
            <w:pPr>
              <w:pStyle w:val="10"/>
              <w:snapToGrid/>
              <w:spacing w:before="0" w:after="0" w:line="240" w:lineRule="auto"/>
              <w:ind w:right="0"/>
              <w:jc w:val="center"/>
              <w:rPr>
                <w:b/>
                <w:color w:val="000000" w:themeColor="text1"/>
                <w:sz w:val="24"/>
                <w:lang w:val="en-US" w:eastAsia="zh-CN"/>
                <w14:textFill>
                  <w14:solidFill>
                    <w14:schemeClr w14:val="tx1"/>
                  </w14:solidFill>
                </w14:textFill>
              </w:rPr>
            </w:pPr>
            <w:r>
              <w:rPr>
                <w:b/>
                <w:color w:val="000000" w:themeColor="text1"/>
                <w:sz w:val="24"/>
                <w:lang w:val="en-US" w:eastAsia="zh-CN"/>
                <w14:textFill>
                  <w14:solidFill>
                    <w14:schemeClr w14:val="tx1"/>
                  </w14:solidFill>
                </w14:textFill>
              </w:rPr>
              <w:t>表3-</w:t>
            </w:r>
            <w:r>
              <w:rPr>
                <w:rFonts w:hint="eastAsia"/>
                <w:b/>
                <w:color w:val="000000" w:themeColor="text1"/>
                <w:sz w:val="24"/>
                <w:lang w:val="en-US" w:eastAsia="zh-CN"/>
                <w14:textFill>
                  <w14:solidFill>
                    <w14:schemeClr w14:val="tx1"/>
                  </w14:solidFill>
                </w14:textFill>
              </w:rPr>
              <w:t>9</w:t>
            </w:r>
            <w:r>
              <w:rPr>
                <w:b/>
                <w:color w:val="000000" w:themeColor="text1"/>
                <w:sz w:val="24"/>
                <w:lang w:val="en-US" w:eastAsia="zh-CN"/>
                <w14:textFill>
                  <w14:solidFill>
                    <w14:schemeClr w14:val="tx1"/>
                  </w14:solidFill>
                </w14:textFill>
              </w:rPr>
              <w:t xml:space="preserve">  饮食业油烟排放标准（试行）</w:t>
            </w:r>
          </w:p>
          <w:tbl>
            <w:tblPr>
              <w:tblStyle w:val="22"/>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4241"/>
              <w:gridCol w:w="379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4298" w:type="dxa"/>
                  <w:noWrap w:val="0"/>
                  <w:vAlign w:val="center"/>
                </w:tcPr>
                <w:p>
                  <w:pPr>
                    <w:jc w:val="center"/>
                    <w:rPr>
                      <w:bCs/>
                      <w:color w:val="000000" w:themeColor="text1"/>
                      <w14:textFill>
                        <w14:solidFill>
                          <w14:schemeClr w14:val="tx1"/>
                        </w14:solidFill>
                      </w14:textFill>
                    </w:rPr>
                  </w:pPr>
                  <w:r>
                    <w:rPr>
                      <w:bCs/>
                      <w:color w:val="000000" w:themeColor="text1"/>
                      <w14:textFill>
                        <w14:solidFill>
                          <w14:schemeClr w14:val="tx1"/>
                        </w14:solidFill>
                      </w14:textFill>
                    </w:rPr>
                    <w:t>饮食业单位规模</w:t>
                  </w:r>
                </w:p>
              </w:tc>
              <w:tc>
                <w:tcPr>
                  <w:tcW w:w="3841" w:type="dxa"/>
                  <w:noWrap w:val="0"/>
                  <w:vAlign w:val="center"/>
                </w:tcPr>
                <w:p>
                  <w:pPr>
                    <w:jc w:val="center"/>
                    <w:rPr>
                      <w:bCs/>
                      <w:color w:val="000000" w:themeColor="text1"/>
                      <w14:textFill>
                        <w14:solidFill>
                          <w14:schemeClr w14:val="tx1"/>
                        </w14:solidFill>
                      </w14:textFill>
                    </w:rPr>
                  </w:pPr>
                  <w:r>
                    <w:rPr>
                      <w:bCs/>
                      <w:color w:val="000000" w:themeColor="text1"/>
                      <w14:textFill>
                        <w14:solidFill>
                          <w14:schemeClr w14:val="tx1"/>
                        </w14:solidFill>
                      </w14:textFill>
                    </w:rPr>
                    <w:t>小型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4298" w:type="dxa"/>
                  <w:noWrap w:val="0"/>
                  <w:vAlign w:val="center"/>
                </w:tcPr>
                <w:p>
                  <w:pPr>
                    <w:pStyle w:val="40"/>
                    <w:spacing w:before="24" w:after="24" w:line="240" w:lineRule="auto"/>
                    <w:ind w:firstLine="0" w:firstLineChars="0"/>
                    <w:rPr>
                      <w:rFonts w:ascii="Times New Roman"/>
                      <w:bCs/>
                      <w:color w:val="000000" w:themeColor="text1"/>
                      <w:lang w:val="en-US" w:eastAsia="zh-CN"/>
                      <w14:textFill>
                        <w14:solidFill>
                          <w14:schemeClr w14:val="tx1"/>
                        </w14:solidFill>
                      </w14:textFill>
                    </w:rPr>
                  </w:pPr>
                  <w:r>
                    <w:rPr>
                      <w:rFonts w:ascii="Times New Roman"/>
                      <w:bCs/>
                      <w:color w:val="000000" w:themeColor="text1"/>
                      <w:lang w:val="en-US" w:eastAsia="zh-CN"/>
                      <w14:textFill>
                        <w14:solidFill>
                          <w14:schemeClr w14:val="tx1"/>
                        </w14:solidFill>
                      </w14:textFill>
                    </w:rPr>
                    <w:t>基准灶头数</w:t>
                  </w:r>
                </w:p>
              </w:tc>
              <w:tc>
                <w:tcPr>
                  <w:tcW w:w="3841" w:type="dxa"/>
                  <w:noWrap w:val="0"/>
                  <w:vAlign w:val="center"/>
                </w:tcPr>
                <w:p>
                  <w:pPr>
                    <w:jc w:val="center"/>
                    <w:rPr>
                      <w:bCs/>
                      <w:color w:val="000000" w:themeColor="text1"/>
                      <w14:textFill>
                        <w14:solidFill>
                          <w14:schemeClr w14:val="tx1"/>
                        </w14:solidFill>
                      </w14:textFill>
                    </w:rPr>
                  </w:pPr>
                  <w:r>
                    <w:rPr>
                      <w:color w:val="000000" w:themeColor="text1"/>
                      <w14:textFill>
                        <w14:solidFill>
                          <w14:schemeClr w14:val="tx1"/>
                        </w14:solidFill>
                      </w14:textFill>
                    </w:rPr>
                    <w:t>≥1，＜3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4298" w:type="dxa"/>
                  <w:noWrap w:val="0"/>
                  <w:vAlign w:val="center"/>
                </w:tcPr>
                <w:p>
                  <w:pPr>
                    <w:jc w:val="center"/>
                    <w:rPr>
                      <w:bCs/>
                      <w:color w:val="000000" w:themeColor="text1"/>
                      <w14:textFill>
                        <w14:solidFill>
                          <w14:schemeClr w14:val="tx1"/>
                        </w14:solidFill>
                      </w14:textFill>
                    </w:rPr>
                  </w:pPr>
                  <w:r>
                    <w:rPr>
                      <w:bCs/>
                      <w:color w:val="000000" w:themeColor="text1"/>
                      <w14:textFill>
                        <w14:solidFill>
                          <w14:schemeClr w14:val="tx1"/>
                        </w14:solidFill>
                      </w14:textFill>
                    </w:rPr>
                    <w:t>对应灶头总功率（10</w:t>
                  </w:r>
                  <w:r>
                    <w:rPr>
                      <w:bCs/>
                      <w:color w:val="000000" w:themeColor="text1"/>
                      <w:vertAlign w:val="superscript"/>
                      <w14:textFill>
                        <w14:solidFill>
                          <w14:schemeClr w14:val="tx1"/>
                        </w14:solidFill>
                      </w14:textFill>
                    </w:rPr>
                    <w:t>8</w:t>
                  </w:r>
                  <w:r>
                    <w:rPr>
                      <w:bCs/>
                      <w:color w:val="000000" w:themeColor="text1"/>
                      <w14:textFill>
                        <w14:solidFill>
                          <w14:schemeClr w14:val="tx1"/>
                        </w14:solidFill>
                      </w14:textFill>
                    </w:rPr>
                    <w:t>J/h）</w:t>
                  </w:r>
                </w:p>
              </w:tc>
              <w:tc>
                <w:tcPr>
                  <w:tcW w:w="3841" w:type="dxa"/>
                  <w:noWrap w:val="0"/>
                  <w:vAlign w:val="center"/>
                </w:tcPr>
                <w:p>
                  <w:pPr>
                    <w:jc w:val="center"/>
                    <w:rPr>
                      <w:bCs/>
                      <w:color w:val="000000" w:themeColor="text1"/>
                      <w14:textFill>
                        <w14:solidFill>
                          <w14:schemeClr w14:val="tx1"/>
                        </w14:solidFill>
                      </w14:textFill>
                    </w:rPr>
                  </w:pPr>
                  <w:r>
                    <w:rPr>
                      <w:color w:val="000000" w:themeColor="text1"/>
                      <w14:textFill>
                        <w14:solidFill>
                          <w14:schemeClr w14:val="tx1"/>
                        </w14:solidFill>
                      </w14:textFill>
                    </w:rPr>
                    <w:t>1.67，＜5.00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4298" w:type="dxa"/>
                  <w:noWrap w:val="0"/>
                  <w:vAlign w:val="center"/>
                </w:tcPr>
                <w:p>
                  <w:pPr>
                    <w:jc w:val="center"/>
                    <w:rPr>
                      <w:bCs/>
                      <w:color w:val="000000" w:themeColor="text1"/>
                      <w14:textFill>
                        <w14:solidFill>
                          <w14:schemeClr w14:val="tx1"/>
                        </w14:solidFill>
                      </w14:textFill>
                    </w:rPr>
                  </w:pPr>
                  <w:r>
                    <w:rPr>
                      <w:bCs/>
                      <w:color w:val="000000" w:themeColor="text1"/>
                      <w14:textFill>
                        <w14:solidFill>
                          <w14:schemeClr w14:val="tx1"/>
                        </w14:solidFill>
                      </w14:textFill>
                    </w:rPr>
                    <w:t>对应排气罩灶面总投影面积（m</w:t>
                  </w:r>
                  <w:r>
                    <w:rPr>
                      <w:bCs/>
                      <w:color w:val="000000" w:themeColor="text1"/>
                      <w:vertAlign w:val="superscript"/>
                      <w14:textFill>
                        <w14:solidFill>
                          <w14:schemeClr w14:val="tx1"/>
                        </w14:solidFill>
                      </w14:textFill>
                    </w:rPr>
                    <w:t>2</w:t>
                  </w:r>
                  <w:r>
                    <w:rPr>
                      <w:bCs/>
                      <w:color w:val="000000" w:themeColor="text1"/>
                      <w14:textFill>
                        <w14:solidFill>
                          <w14:schemeClr w14:val="tx1"/>
                        </w14:solidFill>
                      </w14:textFill>
                    </w:rPr>
                    <w:t>）</w:t>
                  </w:r>
                </w:p>
              </w:tc>
              <w:tc>
                <w:tcPr>
                  <w:tcW w:w="3841" w:type="dxa"/>
                  <w:noWrap w:val="0"/>
                  <w:vAlign w:val="center"/>
                </w:tcPr>
                <w:p>
                  <w:pPr>
                    <w:jc w:val="center"/>
                    <w:rPr>
                      <w:bCs/>
                      <w:color w:val="000000" w:themeColor="text1"/>
                      <w14:textFill>
                        <w14:solidFill>
                          <w14:schemeClr w14:val="tx1"/>
                        </w14:solidFill>
                      </w14:textFill>
                    </w:rPr>
                  </w:pPr>
                  <w:r>
                    <w:rPr>
                      <w:color w:val="000000" w:themeColor="text1"/>
                      <w14:textFill>
                        <w14:solidFill>
                          <w14:schemeClr w14:val="tx1"/>
                        </w14:solidFill>
                      </w14:textFill>
                    </w:rPr>
                    <w:t>≥1.1，＜3.3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4298" w:type="dxa"/>
                  <w:noWrap w:val="0"/>
                  <w:vAlign w:val="center"/>
                </w:tcPr>
                <w:p>
                  <w:pPr>
                    <w:jc w:val="center"/>
                    <w:rPr>
                      <w:bCs/>
                      <w:color w:val="000000" w:themeColor="text1"/>
                      <w14:textFill>
                        <w14:solidFill>
                          <w14:schemeClr w14:val="tx1"/>
                        </w14:solidFill>
                      </w14:textFill>
                    </w:rPr>
                  </w:pPr>
                  <w:r>
                    <w:rPr>
                      <w:bCs/>
                      <w:color w:val="000000" w:themeColor="text1"/>
                      <w14:textFill>
                        <w14:solidFill>
                          <w14:schemeClr w14:val="tx1"/>
                        </w14:solidFill>
                      </w14:textFill>
                    </w:rPr>
                    <w:t>油烟最高允许排放浓度（mg/m</w:t>
                  </w:r>
                  <w:r>
                    <w:rPr>
                      <w:bCs/>
                      <w:color w:val="000000" w:themeColor="text1"/>
                      <w:vertAlign w:val="superscript"/>
                      <w14:textFill>
                        <w14:solidFill>
                          <w14:schemeClr w14:val="tx1"/>
                        </w14:solidFill>
                      </w14:textFill>
                    </w:rPr>
                    <w:t>3</w:t>
                  </w:r>
                  <w:r>
                    <w:rPr>
                      <w:bCs/>
                      <w:color w:val="000000" w:themeColor="text1"/>
                      <w14:textFill>
                        <w14:solidFill>
                          <w14:schemeClr w14:val="tx1"/>
                        </w14:solidFill>
                      </w14:textFill>
                    </w:rPr>
                    <w:t>）</w:t>
                  </w:r>
                </w:p>
              </w:tc>
              <w:tc>
                <w:tcPr>
                  <w:tcW w:w="3841" w:type="dxa"/>
                  <w:noWrap w:val="0"/>
                  <w:vAlign w:val="center"/>
                </w:tcPr>
                <w:p>
                  <w:pPr>
                    <w:jc w:val="center"/>
                    <w:rPr>
                      <w:bCs/>
                      <w:color w:val="000000" w:themeColor="text1"/>
                      <w14:textFill>
                        <w14:solidFill>
                          <w14:schemeClr w14:val="tx1"/>
                        </w14:solidFill>
                      </w14:textFill>
                    </w:rPr>
                  </w:pPr>
                  <w:r>
                    <w:rPr>
                      <w:bCs/>
                      <w:color w:val="000000" w:themeColor="text1"/>
                      <w14:textFill>
                        <w14:solidFill>
                          <w14:schemeClr w14:val="tx1"/>
                        </w14:solidFill>
                      </w14:textFill>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4298" w:type="dxa"/>
                  <w:noWrap w:val="0"/>
                  <w:vAlign w:val="center"/>
                </w:tcPr>
                <w:p>
                  <w:pPr>
                    <w:jc w:val="center"/>
                    <w:rPr>
                      <w:bCs/>
                      <w:color w:val="000000" w:themeColor="text1"/>
                      <w14:textFill>
                        <w14:solidFill>
                          <w14:schemeClr w14:val="tx1"/>
                        </w14:solidFill>
                      </w14:textFill>
                    </w:rPr>
                  </w:pPr>
                  <w:r>
                    <w:rPr>
                      <w:bCs/>
                      <w:color w:val="000000" w:themeColor="text1"/>
                      <w14:textFill>
                        <w14:solidFill>
                          <w14:schemeClr w14:val="tx1"/>
                        </w14:solidFill>
                      </w14:textFill>
                    </w:rPr>
                    <w:t>净化设施最低去除率（%）</w:t>
                  </w:r>
                </w:p>
              </w:tc>
              <w:tc>
                <w:tcPr>
                  <w:tcW w:w="3841" w:type="dxa"/>
                  <w:noWrap w:val="0"/>
                  <w:vAlign w:val="center"/>
                </w:tcPr>
                <w:p>
                  <w:pPr>
                    <w:jc w:val="center"/>
                    <w:rPr>
                      <w:bCs/>
                      <w:color w:val="000000" w:themeColor="text1"/>
                      <w14:textFill>
                        <w14:solidFill>
                          <w14:schemeClr w14:val="tx1"/>
                        </w14:solidFill>
                      </w14:textFill>
                    </w:rPr>
                  </w:pPr>
                  <w:r>
                    <w:rPr>
                      <w:bCs/>
                      <w:color w:val="000000" w:themeColor="text1"/>
                      <w14:textFill>
                        <w14:solidFill>
                          <w14:schemeClr w14:val="tx1"/>
                        </w14:solidFill>
                      </w14:textFill>
                    </w:rPr>
                    <w:t>60</w:t>
                  </w:r>
                </w:p>
              </w:tc>
            </w:tr>
          </w:tbl>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废水</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本项目V型滤池的反洗废水</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污泥脱水过程产生的废水经</w:t>
            </w:r>
            <w:r>
              <w:rPr>
                <w:rFonts w:hint="default" w:ascii="Times New Roman" w:hAnsi="Times New Roman" w:eastAsia="宋体" w:cs="Times New Roman"/>
                <w:color w:val="000000" w:themeColor="text1"/>
                <w:sz w:val="24"/>
                <w14:textFill>
                  <w14:solidFill>
                    <w14:schemeClr w14:val="tx1"/>
                  </w14:solidFill>
                </w14:textFill>
              </w:rPr>
              <w:t>重力排入回收水池，经泵提升至配水井，重新进入系统回收利用</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污泥脱水过程产生的废水返回沉淀、过滤工序处理再利用，不外排</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生活污水</w:t>
            </w:r>
            <w:r>
              <w:rPr>
                <w:rFonts w:hint="eastAsia" w:ascii="Times New Roman" w:hAnsi="Times New Roman" w:eastAsia="宋体" w:cs="Times New Roman"/>
                <w:color w:val="000000" w:themeColor="text1"/>
                <w:sz w:val="24"/>
                <w:lang w:val="en-US" w:eastAsia="zh-CN"/>
                <w14:textFill>
                  <w14:solidFill>
                    <w14:schemeClr w14:val="tx1"/>
                  </w14:solidFill>
                </w14:textFill>
              </w:rPr>
              <w:t>中食堂含油废水经隔油池处理，与其他生活污水均经</w:t>
            </w:r>
            <w:r>
              <w:rPr>
                <w:rFonts w:hint="default" w:ascii="Times New Roman" w:hAnsi="Times New Roman" w:eastAsia="宋体" w:cs="Times New Roman"/>
                <w:color w:val="000000" w:themeColor="text1"/>
                <w:sz w:val="24"/>
                <w14:textFill>
                  <w14:solidFill>
                    <w14:schemeClr w14:val="tx1"/>
                  </w14:solidFill>
                </w14:textFill>
              </w:rPr>
              <w:t>化粪池</w:t>
            </w:r>
            <w:r>
              <w:rPr>
                <w:rFonts w:hint="eastAsia" w:ascii="Times New Roman" w:hAnsi="Times New Roman" w:eastAsia="宋体" w:cs="Times New Roman"/>
                <w:color w:val="000000" w:themeColor="text1"/>
                <w:sz w:val="24"/>
                <w14:textFill>
                  <w14:solidFill>
                    <w14:schemeClr w14:val="tx1"/>
                  </w14:solidFill>
                </w14:textFill>
              </w:rPr>
              <w:t>收集后，定期由周边农户清运肥田，不外排</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锅炉排污水</w:t>
            </w:r>
            <w:r>
              <w:rPr>
                <w:color w:val="000000" w:themeColor="text1"/>
                <w:sz w:val="24"/>
                <w14:textFill>
                  <w14:solidFill>
                    <w14:schemeClr w14:val="tx1"/>
                  </w14:solidFill>
                </w14:textFill>
              </w:rPr>
              <w:t>经</w:t>
            </w:r>
            <w:r>
              <w:rPr>
                <w:rFonts w:hint="eastAsia"/>
                <w:color w:val="000000" w:themeColor="text1"/>
                <w:sz w:val="24"/>
                <w14:textFill>
                  <w14:solidFill>
                    <w14:schemeClr w14:val="tx1"/>
                  </w14:solidFill>
                </w14:textFill>
              </w:rPr>
              <w:t>沉淀池</w:t>
            </w:r>
            <w:r>
              <w:rPr>
                <w:rFonts w:hint="eastAsia"/>
                <w:color w:val="000000" w:themeColor="text1"/>
                <w:kern w:val="0"/>
                <w:sz w:val="24"/>
                <w14:textFill>
                  <w14:solidFill>
                    <w14:schemeClr w14:val="tx1"/>
                  </w14:solidFill>
                </w14:textFill>
              </w:rPr>
              <w:t>处理</w:t>
            </w:r>
            <w:r>
              <w:rPr>
                <w:color w:val="000000" w:themeColor="text1"/>
                <w:sz w:val="24"/>
                <w14:textFill>
                  <w14:solidFill>
                    <w14:schemeClr w14:val="tx1"/>
                  </w14:solidFill>
                </w14:textFill>
              </w:rPr>
              <w:t>达</w:t>
            </w:r>
            <w:r>
              <w:rPr>
                <w:color w:val="000000" w:themeColor="text1"/>
                <w:sz w:val="24"/>
                <w:szCs w:val="22"/>
                <w14:textFill>
                  <w14:solidFill>
                    <w14:schemeClr w14:val="tx1"/>
                  </w14:solidFill>
                </w14:textFill>
              </w:rPr>
              <w:t>标</w:t>
            </w:r>
            <w:r>
              <w:rPr>
                <w:color w:val="000000" w:themeColor="text1"/>
                <w:sz w:val="24"/>
                <w14:textFill>
                  <w14:solidFill>
                    <w14:schemeClr w14:val="tx1"/>
                  </w14:solidFill>
                </w14:textFill>
              </w:rPr>
              <w:t>后</w:t>
            </w:r>
            <w:r>
              <w:rPr>
                <w:rFonts w:hint="eastAsia"/>
                <w:color w:val="000000" w:themeColor="text1"/>
                <w:sz w:val="24"/>
                <w14:textFill>
                  <w14:solidFill>
                    <w14:schemeClr w14:val="tx1"/>
                  </w14:solidFill>
                </w14:textFill>
              </w:rPr>
              <w:t>用于厂区绿化</w:t>
            </w:r>
            <w:r>
              <w:rPr>
                <w:rFonts w:hint="eastAsia"/>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综上，</w:t>
            </w:r>
            <w:r>
              <w:rPr>
                <w:rFonts w:hint="eastAsia"/>
                <w:bCs/>
                <w:color w:val="000000" w:themeColor="text1"/>
                <w:sz w:val="24"/>
                <w14:textFill>
                  <w14:solidFill>
                    <w14:schemeClr w14:val="tx1"/>
                  </w14:solidFill>
                </w14:textFill>
              </w:rPr>
              <w:t>本项目</w:t>
            </w:r>
            <w:r>
              <w:rPr>
                <w:rFonts w:hint="eastAsia"/>
                <w:bCs/>
                <w:color w:val="000000" w:themeColor="text1"/>
                <w:sz w:val="24"/>
                <w:lang w:val="en-US" w:eastAsia="zh-CN"/>
                <w14:textFill>
                  <w14:solidFill>
                    <w14:schemeClr w14:val="tx1"/>
                  </w14:solidFill>
                </w14:textFill>
              </w:rPr>
              <w:t>无</w:t>
            </w:r>
            <w:r>
              <w:rPr>
                <w:rFonts w:hint="eastAsia"/>
                <w:bCs/>
                <w:color w:val="000000" w:themeColor="text1"/>
                <w:sz w:val="24"/>
                <w14:textFill>
                  <w14:solidFill>
                    <w14:schemeClr w14:val="tx1"/>
                  </w14:solidFill>
                </w14:textFill>
              </w:rPr>
              <w:t>废水外排</w:t>
            </w:r>
            <w:r>
              <w:rPr>
                <w:rFonts w:hint="eastAsia"/>
                <w:bCs/>
                <w:color w:val="000000" w:themeColor="text1"/>
                <w:sz w:val="24"/>
                <w:lang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不执行废水相关排</w:t>
            </w:r>
            <w:r>
              <w:rPr>
                <w:rFonts w:hint="eastAsia" w:ascii="Times New Roman" w:hAnsi="Times New Roman" w:eastAsia="宋体" w:cs="Times New Roman"/>
                <w:color w:val="000000" w:themeColor="text1"/>
                <w:sz w:val="24"/>
                <w:lang w:val="en-US" w:eastAsia="zh-CN"/>
                <w14:textFill>
                  <w14:solidFill>
                    <w14:schemeClr w14:val="tx1"/>
                  </w14:solidFill>
                </w14:textFill>
              </w:rPr>
              <w:t>放标准</w:t>
            </w:r>
            <w:r>
              <w:rPr>
                <w:rFonts w:hint="eastAsia" w:ascii="Times New Roman" w:hAnsi="Times New Roman" w:eastAsia="宋体" w:cs="Times New Roman"/>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 xml:space="preserve">固废 </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本项目固体废物的处理、处置均应满足</w:t>
            </w:r>
            <w:bookmarkStart w:id="2" w:name="OLE_LINK33"/>
            <w:r>
              <w:rPr>
                <w:rFonts w:hint="default" w:ascii="Times New Roman" w:hAnsi="Times New Roman" w:eastAsia="宋体" w:cs="Times New Roman"/>
                <w:color w:val="000000" w:themeColor="text1"/>
                <w:sz w:val="24"/>
                <w14:textFill>
                  <w14:solidFill>
                    <w14:schemeClr w14:val="tx1"/>
                  </w14:solidFill>
                </w14:textFill>
              </w:rPr>
              <w:t>《中华人民共和国固体废物污染环境防治法》</w:t>
            </w:r>
            <w:bookmarkEnd w:id="2"/>
            <w:r>
              <w:rPr>
                <w:rFonts w:hint="default" w:ascii="Times New Roman" w:hAnsi="Times New Roman" w:eastAsia="宋体" w:cs="Times New Roman"/>
                <w:color w:val="000000" w:themeColor="text1"/>
                <w:sz w:val="24"/>
                <w14:textFill>
                  <w14:solidFill>
                    <w14:schemeClr w14:val="tx1"/>
                  </w14:solidFill>
                </w14:textFill>
              </w:rPr>
              <w:t>中的有关规定要求</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危险废物的贮存应按照《危险废物贮存污染控制标准》（GB18597-2001）及其修改单（环境保护部公告，公告 2013年 第36号）的规定执行</w:t>
            </w:r>
            <w:r>
              <w:rPr>
                <w:rFonts w:hint="eastAsia" w:ascii="Times New Roman" w:hAnsi="Times New Roman" w:eastAsia="宋体" w:cs="Times New Roman"/>
                <w:color w:val="000000" w:themeColor="text1"/>
                <w:sz w:val="24"/>
                <w14:textFill>
                  <w14:solidFill>
                    <w14:schemeClr w14:val="tx1"/>
                  </w14:solidFill>
                </w14:textFill>
              </w:rPr>
              <w:t>。一般固废的贮存满足相应防渗漏、防雨淋、防扬尘等环境保护要求</w:t>
            </w:r>
            <w:r>
              <w:rPr>
                <w:rFonts w:hint="default" w:ascii="Times New Roman" w:hAnsi="Times New Roman" w:eastAsia="宋体" w:cs="Times New Roman"/>
                <w:color w:val="000000" w:themeColor="text1"/>
                <w:sz w:val="24"/>
                <w:lang w:val="zh-CN"/>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14:textFill>
                  <w14:solidFill>
                    <w14:schemeClr w14:val="tx1"/>
                  </w14:solidFill>
                </w14:textFill>
              </w:rPr>
              <w:t>噪声</w:t>
            </w:r>
          </w:p>
          <w:p>
            <w:pPr>
              <w:spacing w:line="360" w:lineRule="auto"/>
              <w:ind w:firstLine="480" w:firstLineChars="200"/>
              <w:rPr>
                <w:rFonts w:hint="default" w:ascii="Times New Roman" w:hAnsi="Times New Roman" w:cs="Times New Roman"/>
                <w:bCs/>
                <w:color w:val="000000" w:themeColor="text1"/>
                <w:sz w:val="24"/>
                <w:lang w:val="en-US"/>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本项目施工期噪声执行《建筑施工场界环境噪声排放标准》（GB12523-2011）。具体指标见表3</w:t>
            </w:r>
            <w:r>
              <w:rPr>
                <w:rFonts w:hint="default" w:ascii="Times New Roman" w:hAnsi="Times New Roman" w:cs="Times New Roman"/>
                <w:bCs/>
                <w:color w:val="000000" w:themeColor="text1"/>
                <w:sz w:val="24"/>
                <w:lang w:val="en-US" w:eastAsia="zh-CN"/>
                <w14:textFill>
                  <w14:solidFill>
                    <w14:schemeClr w14:val="tx1"/>
                  </w14:solidFill>
                </w14:textFill>
              </w:rPr>
              <w:t>-</w:t>
            </w:r>
            <w:r>
              <w:rPr>
                <w:rFonts w:hint="eastAsia" w:cs="Times New Roman"/>
                <w:bCs/>
                <w:color w:val="000000" w:themeColor="text1"/>
                <w:sz w:val="24"/>
                <w:lang w:val="en-US" w:eastAsia="zh-CN"/>
                <w14:textFill>
                  <w14:solidFill>
                    <w14:schemeClr w14:val="tx1"/>
                  </w14:solidFill>
                </w14:textFill>
              </w:rPr>
              <w:t>10</w:t>
            </w:r>
            <w:r>
              <w:rPr>
                <w:rFonts w:hint="default" w:ascii="Times New Roman" w:hAnsi="Times New Roman" w:cs="Times New Roman"/>
                <w:bCs/>
                <w:color w:val="000000" w:themeColor="text1"/>
                <w:sz w:val="24"/>
                <w:lang w:val="en-US" w:eastAsia="zh-CN"/>
                <w14:textFill>
                  <w14:solidFill>
                    <w14:schemeClr w14:val="tx1"/>
                  </w14:solidFill>
                </w14:textFill>
              </w:rPr>
              <w:t>。</w:t>
            </w:r>
          </w:p>
          <w:p>
            <w:pPr>
              <w:pStyle w:val="10"/>
              <w:snapToGrid/>
              <w:spacing w:before="0" w:after="0" w:line="240" w:lineRule="auto"/>
              <w:ind w:right="0"/>
              <w:jc w:val="center"/>
              <w:rPr>
                <w:rFonts w:hint="default" w:ascii="Times New Roman" w:hAnsi="Times New Roman" w:cs="Times New Roman"/>
                <w:b/>
                <w:color w:val="000000" w:themeColor="text1"/>
                <w:sz w:val="21"/>
                <w:szCs w:val="21"/>
                <w:lang w:val="en-US" w:eastAsia="zh-CN"/>
                <w14:textFill>
                  <w14:solidFill>
                    <w14:schemeClr w14:val="tx1"/>
                  </w14:solidFill>
                </w14:textFill>
              </w:rPr>
            </w:pPr>
            <w:r>
              <w:rPr>
                <w:rFonts w:hint="default" w:ascii="Times New Roman" w:hAnsi="Times New Roman" w:cs="Times New Roman"/>
                <w:b/>
                <w:color w:val="000000" w:themeColor="text1"/>
                <w:sz w:val="24"/>
                <w:lang w:val="en-US" w:eastAsia="zh-CN"/>
                <w14:textFill>
                  <w14:solidFill>
                    <w14:schemeClr w14:val="tx1"/>
                  </w14:solidFill>
                </w14:textFill>
              </w:rPr>
              <w:t>表3-1</w:t>
            </w:r>
            <w:r>
              <w:rPr>
                <w:rFonts w:hint="eastAsia" w:cs="Times New Roman"/>
                <w:b/>
                <w:color w:val="000000" w:themeColor="text1"/>
                <w:sz w:val="24"/>
                <w:lang w:val="en-US" w:eastAsia="zh-CN"/>
                <w14:textFill>
                  <w14:solidFill>
                    <w14:schemeClr w14:val="tx1"/>
                  </w14:solidFill>
                </w14:textFill>
              </w:rPr>
              <w:t>0</w:t>
            </w:r>
            <w:r>
              <w:rPr>
                <w:rFonts w:hint="default" w:ascii="Times New Roman" w:hAnsi="Times New Roman" w:cs="Times New Roman"/>
                <w:b/>
                <w:color w:val="000000" w:themeColor="text1"/>
                <w:sz w:val="24"/>
                <w:lang w:val="en-US" w:eastAsia="zh-CN"/>
                <w14:textFill>
                  <w14:solidFill>
                    <w14:schemeClr w14:val="tx1"/>
                  </w14:solidFill>
                </w14:textFill>
              </w:rPr>
              <w:t xml:space="preserve">  建筑施工场界环境噪声排放标准  </w:t>
            </w:r>
            <w:r>
              <w:rPr>
                <w:rFonts w:hint="default" w:ascii="Times New Roman" w:hAnsi="Times New Roman" w:cs="Times New Roman"/>
                <w:b/>
                <w:color w:val="000000" w:themeColor="text1"/>
                <w:sz w:val="21"/>
                <w:szCs w:val="21"/>
                <w:lang w:val="en-US" w:eastAsia="zh-CN"/>
                <w14:textFill>
                  <w14:solidFill>
                    <w14:schemeClr w14:val="tx1"/>
                  </w14:solidFill>
                </w14:textFill>
              </w:rPr>
              <w:t>单位：dB（A）</w:t>
            </w:r>
          </w:p>
          <w:tbl>
            <w:tblPr>
              <w:tblStyle w:val="22"/>
              <w:tblW w:w="5000"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4016"/>
              <w:gridCol w:w="4016"/>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340" w:hRule="atLeast"/>
                <w:jc w:val="center"/>
              </w:trPr>
              <w:tc>
                <w:tcPr>
                  <w:tcW w:w="4070" w:type="dxa"/>
                  <w:noWrap w:val="0"/>
                  <w:vAlign w:val="center"/>
                </w:tcPr>
                <w:p>
                  <w:pPr>
                    <w:pStyle w:val="6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smallCaps/>
                      <w:color w:val="000000" w:themeColor="text1"/>
                      <w:sz w:val="21"/>
                      <w:szCs w:val="21"/>
                      <w14:textFill>
                        <w14:solidFill>
                          <w14:schemeClr w14:val="tx1"/>
                        </w14:solidFill>
                      </w14:textFill>
                    </w:rPr>
                  </w:pPr>
                  <w:r>
                    <w:rPr>
                      <w:rFonts w:hint="default" w:ascii="Times New Roman" w:hAnsi="Times New Roman" w:cs="Times New Roman"/>
                      <w:bCs/>
                      <w:smallCaps/>
                      <w:color w:val="000000" w:themeColor="text1"/>
                      <w:sz w:val="21"/>
                      <w:szCs w:val="21"/>
                      <w14:textFill>
                        <w14:solidFill>
                          <w14:schemeClr w14:val="tx1"/>
                        </w14:solidFill>
                      </w14:textFill>
                    </w:rPr>
                    <w:t>昼间</w:t>
                  </w:r>
                </w:p>
              </w:tc>
              <w:tc>
                <w:tcPr>
                  <w:tcW w:w="4069" w:type="dxa"/>
                  <w:noWrap w:val="0"/>
                  <w:vAlign w:val="center"/>
                </w:tcPr>
                <w:p>
                  <w:pPr>
                    <w:pStyle w:val="6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smallCaps/>
                      <w:color w:val="000000" w:themeColor="text1"/>
                      <w:sz w:val="21"/>
                      <w:szCs w:val="21"/>
                      <w14:textFill>
                        <w14:solidFill>
                          <w14:schemeClr w14:val="tx1"/>
                        </w14:solidFill>
                      </w14:textFill>
                    </w:rPr>
                  </w:pPr>
                  <w:r>
                    <w:rPr>
                      <w:rFonts w:hint="default" w:ascii="Times New Roman" w:hAnsi="Times New Roman" w:cs="Times New Roman"/>
                      <w:bCs/>
                      <w:smallCaps/>
                      <w:color w:val="000000" w:themeColor="text1"/>
                      <w:sz w:val="21"/>
                      <w:szCs w:val="21"/>
                      <w14:textFill>
                        <w14:solidFill>
                          <w14:schemeClr w14:val="tx1"/>
                        </w14:solidFill>
                      </w14:textFill>
                    </w:rPr>
                    <w:t>夜间</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0" w:type="dxa"/>
                  <w:noWrap w:val="0"/>
                  <w:vAlign w:val="center"/>
                </w:tcPr>
                <w:p>
                  <w:pPr>
                    <w:pStyle w:val="6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mallCaps/>
                      <w:color w:val="000000" w:themeColor="text1"/>
                      <w:sz w:val="21"/>
                      <w:szCs w:val="21"/>
                      <w14:textFill>
                        <w14:solidFill>
                          <w14:schemeClr w14:val="tx1"/>
                        </w14:solidFill>
                      </w14:textFill>
                    </w:rPr>
                  </w:pPr>
                  <w:r>
                    <w:rPr>
                      <w:rFonts w:hint="default" w:ascii="Times New Roman" w:hAnsi="Times New Roman" w:cs="Times New Roman"/>
                      <w:smallCaps/>
                      <w:color w:val="000000" w:themeColor="text1"/>
                      <w:sz w:val="21"/>
                      <w:szCs w:val="21"/>
                      <w14:textFill>
                        <w14:solidFill>
                          <w14:schemeClr w14:val="tx1"/>
                        </w14:solidFill>
                      </w14:textFill>
                    </w:rPr>
                    <w:t>70</w:t>
                  </w:r>
                </w:p>
              </w:tc>
              <w:tc>
                <w:tcPr>
                  <w:tcW w:w="4069" w:type="dxa"/>
                  <w:noWrap w:val="0"/>
                  <w:vAlign w:val="center"/>
                </w:tcPr>
                <w:p>
                  <w:pPr>
                    <w:pStyle w:val="6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mallCaps/>
                      <w:color w:val="000000" w:themeColor="text1"/>
                      <w:sz w:val="21"/>
                      <w:szCs w:val="21"/>
                      <w14:textFill>
                        <w14:solidFill>
                          <w14:schemeClr w14:val="tx1"/>
                        </w14:solidFill>
                      </w14:textFill>
                    </w:rPr>
                  </w:pPr>
                  <w:r>
                    <w:rPr>
                      <w:rFonts w:hint="default" w:ascii="Times New Roman" w:hAnsi="Times New Roman" w:cs="Times New Roman"/>
                      <w:smallCaps/>
                      <w:color w:val="000000" w:themeColor="text1"/>
                      <w:sz w:val="21"/>
                      <w:szCs w:val="21"/>
                      <w14:textFill>
                        <w14:solidFill>
                          <w14:schemeClr w14:val="tx1"/>
                        </w14:solidFill>
                      </w14:textFill>
                    </w:rPr>
                    <w:t>55</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本项目营运期</w:t>
            </w:r>
            <w:r>
              <w:rPr>
                <w:rFonts w:hint="default" w:ascii="Times New Roman" w:hAnsi="Times New Roman" w:cs="Times New Roman"/>
                <w:bCs/>
                <w:color w:val="000000" w:themeColor="text1"/>
                <w:sz w:val="24"/>
                <w:lang w:val="en-US" w:eastAsia="zh-CN"/>
                <w14:textFill>
                  <w14:solidFill>
                    <w14:schemeClr w14:val="tx1"/>
                  </w14:solidFill>
                </w14:textFill>
              </w:rPr>
              <w:t>各</w:t>
            </w:r>
            <w:r>
              <w:rPr>
                <w:rFonts w:hint="default" w:ascii="Times New Roman" w:hAnsi="Times New Roman" w:cs="Times New Roman"/>
                <w:bCs/>
                <w:color w:val="000000" w:themeColor="text1"/>
                <w:sz w:val="24"/>
                <w14:textFill>
                  <w14:solidFill>
                    <w14:schemeClr w14:val="tx1"/>
                  </w14:solidFill>
                </w14:textFill>
              </w:rPr>
              <w:t>侧厂界昼夜间噪声排放执行《工业企业厂界环境噪声排放标准》（GB 12348-2008）中的</w:t>
            </w:r>
            <w:r>
              <w:rPr>
                <w:rFonts w:hint="default" w:ascii="Times New Roman" w:hAnsi="Times New Roman" w:eastAsia="宋体" w:cs="Times New Roman"/>
                <w:bCs/>
                <w:color w:val="000000" w:themeColor="text1"/>
                <w:sz w:val="24"/>
                <w:lang w:val="en-US" w:eastAsia="zh-CN"/>
                <w14:textFill>
                  <w14:solidFill>
                    <w14:schemeClr w14:val="tx1"/>
                  </w14:solidFill>
                </w14:textFill>
              </w:rPr>
              <w:t>2</w:t>
            </w:r>
            <w:r>
              <w:rPr>
                <w:rFonts w:hint="default" w:ascii="Times New Roman" w:hAnsi="Times New Roman" w:cs="Times New Roman"/>
                <w:bCs/>
                <w:color w:val="000000" w:themeColor="text1"/>
                <w:sz w:val="24"/>
                <w14:textFill>
                  <w14:solidFill>
                    <w14:schemeClr w14:val="tx1"/>
                  </w14:solidFill>
                </w14:textFill>
              </w:rPr>
              <w:t>类标准。标准值见表3-</w:t>
            </w:r>
            <w:r>
              <w:rPr>
                <w:rFonts w:hint="default" w:ascii="Times New Roman" w:hAnsi="Times New Roman" w:cs="Times New Roman"/>
                <w:bCs/>
                <w:color w:val="000000" w:themeColor="text1"/>
                <w:sz w:val="24"/>
                <w:lang w:val="en-US" w:eastAsia="zh-CN"/>
                <w14:textFill>
                  <w14:solidFill>
                    <w14:schemeClr w14:val="tx1"/>
                  </w14:solidFill>
                </w14:textFill>
              </w:rPr>
              <w:t>1</w:t>
            </w:r>
            <w:r>
              <w:rPr>
                <w:rFonts w:hint="eastAsia" w:cs="Times New Roman"/>
                <w:bCs/>
                <w:color w:val="000000" w:themeColor="text1"/>
                <w:sz w:val="24"/>
                <w:lang w:val="en-US" w:eastAsia="zh-CN"/>
                <w14:textFill>
                  <w14:solidFill>
                    <w14:schemeClr w14:val="tx1"/>
                  </w14:solidFill>
                </w14:textFill>
              </w:rPr>
              <w:t>1</w:t>
            </w:r>
            <w:r>
              <w:rPr>
                <w:rFonts w:hint="default" w:ascii="Times New Roman" w:hAnsi="Times New Roman" w:cs="Times New Roman"/>
                <w:bCs/>
                <w:color w:val="000000" w:themeColor="text1"/>
                <w:sz w:val="24"/>
                <w14:textFill>
                  <w14:solidFill>
                    <w14:schemeClr w14:val="tx1"/>
                  </w14:solidFill>
                </w14:textFill>
              </w:rPr>
              <w:t>。</w:t>
            </w:r>
          </w:p>
          <w:p>
            <w:pPr>
              <w:pStyle w:val="10"/>
              <w:snapToGrid/>
              <w:spacing w:before="0" w:after="0" w:line="240" w:lineRule="auto"/>
              <w:ind w:right="0"/>
              <w:jc w:val="center"/>
              <w:rPr>
                <w:rFonts w:hint="default" w:ascii="Times New Roman" w:hAnsi="Times New Roman" w:cs="Times New Roman"/>
                <w:bCs/>
                <w:color w:val="000000" w:themeColor="text1"/>
                <w:sz w:val="24"/>
                <w:lang w:val="en-US" w:eastAsia="zh-CN"/>
                <w14:textFill>
                  <w14:solidFill>
                    <w14:schemeClr w14:val="tx1"/>
                  </w14:solidFill>
                </w14:textFill>
              </w:rPr>
            </w:pPr>
            <w:r>
              <w:rPr>
                <w:rFonts w:hint="default" w:ascii="Times New Roman" w:hAnsi="Times New Roman" w:cs="Times New Roman"/>
                <w:b/>
                <w:color w:val="000000" w:themeColor="text1"/>
                <w:sz w:val="24"/>
                <w:lang w:val="en-US" w:eastAsia="zh-CN"/>
                <w14:textFill>
                  <w14:solidFill>
                    <w14:schemeClr w14:val="tx1"/>
                  </w14:solidFill>
                </w14:textFill>
              </w:rPr>
              <w:t>表3-1</w:t>
            </w:r>
            <w:r>
              <w:rPr>
                <w:rFonts w:hint="eastAsia" w:cs="Times New Roman"/>
                <w:b/>
                <w:color w:val="000000" w:themeColor="text1"/>
                <w:sz w:val="24"/>
                <w:lang w:val="en-US" w:eastAsia="zh-CN"/>
                <w14:textFill>
                  <w14:solidFill>
                    <w14:schemeClr w14:val="tx1"/>
                  </w14:solidFill>
                </w14:textFill>
              </w:rPr>
              <w:t>1</w:t>
            </w:r>
            <w:r>
              <w:rPr>
                <w:rFonts w:hint="default" w:ascii="Times New Roman" w:hAnsi="Times New Roman" w:cs="Times New Roman"/>
                <w:b/>
                <w:color w:val="000000" w:themeColor="text1"/>
                <w:sz w:val="24"/>
                <w:lang w:val="en-US" w:eastAsia="zh-CN"/>
                <w14:textFill>
                  <w14:solidFill>
                    <w14:schemeClr w14:val="tx1"/>
                  </w14:solidFill>
                </w14:textFill>
              </w:rPr>
              <w:t xml:space="preserve">  工业企业厂界环境噪声排放标准  </w:t>
            </w:r>
            <w:r>
              <w:rPr>
                <w:rFonts w:hint="default" w:ascii="Times New Roman" w:hAnsi="Times New Roman" w:cs="Times New Roman"/>
                <w:b/>
                <w:color w:val="000000" w:themeColor="text1"/>
                <w:sz w:val="21"/>
                <w:szCs w:val="21"/>
                <w:lang w:val="en-US" w:eastAsia="zh-CN"/>
                <w14:textFill>
                  <w14:solidFill>
                    <w14:schemeClr w14:val="tx1"/>
                  </w14:solidFill>
                </w14:textFill>
              </w:rPr>
              <w:t>单位：dB（A）</w:t>
            </w:r>
          </w:p>
          <w:tbl>
            <w:tblPr>
              <w:tblStyle w:val="22"/>
              <w:tblW w:w="4999"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2665"/>
              <w:gridCol w:w="2681"/>
              <w:gridCol w:w="2682"/>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类别</w:t>
                  </w:r>
                </w:p>
              </w:tc>
              <w:tc>
                <w:tcPr>
                  <w:tcW w:w="2661" w:type="dxa"/>
                  <w:noWrap w:val="0"/>
                  <w:vAlign w:val="center"/>
                </w:tcPr>
                <w:p>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昼间</w:t>
                  </w:r>
                </w:p>
              </w:tc>
              <w:tc>
                <w:tcPr>
                  <w:tcW w:w="2662" w:type="dxa"/>
                  <w:noWrap w:val="0"/>
                  <w:vAlign w:val="center"/>
                </w:tcPr>
                <w:p>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夜间</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lang w:eastAsia="zh-CN"/>
                      <w14:textFill>
                        <w14:solidFill>
                          <w14:schemeClr w14:val="tx1"/>
                        </w14:solidFill>
                      </w14:textFill>
                    </w:rPr>
                  </w:pPr>
                  <w:r>
                    <w:rPr>
                      <w:rFonts w:hint="default" w:ascii="Times New Roman" w:hAnsi="Times New Roman" w:eastAsia="宋体" w:cs="Times New Roman"/>
                      <w:bCs/>
                      <w:color w:val="000000" w:themeColor="text1"/>
                      <w:lang w:val="en-US" w:eastAsia="zh-CN"/>
                      <w14:textFill>
                        <w14:solidFill>
                          <w14:schemeClr w14:val="tx1"/>
                        </w14:solidFill>
                      </w14:textFill>
                    </w:rPr>
                    <w:t>2</w:t>
                  </w:r>
                </w:p>
              </w:tc>
              <w:tc>
                <w:tcPr>
                  <w:tcW w:w="26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lang w:val="en-US" w:eastAsia="zh-CN"/>
                      <w14:textFill>
                        <w14:solidFill>
                          <w14:schemeClr w14:val="tx1"/>
                        </w14:solidFill>
                      </w14:textFill>
                    </w:rPr>
                  </w:pPr>
                  <w:r>
                    <w:rPr>
                      <w:rFonts w:hint="default" w:ascii="Times New Roman" w:hAnsi="Times New Roman" w:eastAsia="宋体" w:cs="Times New Roman"/>
                      <w:bCs/>
                      <w:color w:val="000000" w:themeColor="text1"/>
                      <w:lang w:val="en-US" w:eastAsia="zh-CN"/>
                      <w14:textFill>
                        <w14:solidFill>
                          <w14:schemeClr w14:val="tx1"/>
                        </w14:solidFill>
                      </w14:textFill>
                    </w:rPr>
                    <w:t>60</w:t>
                  </w:r>
                </w:p>
              </w:tc>
              <w:tc>
                <w:tcPr>
                  <w:tcW w:w="2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lang w:val="en-US" w:eastAsia="zh-CN"/>
                      <w14:textFill>
                        <w14:solidFill>
                          <w14:schemeClr w14:val="tx1"/>
                        </w14:solidFill>
                      </w14:textFill>
                    </w:rPr>
                  </w:pPr>
                  <w:r>
                    <w:rPr>
                      <w:rFonts w:hint="default" w:ascii="Times New Roman" w:hAnsi="Times New Roman" w:eastAsia="宋体" w:cs="Times New Roman"/>
                      <w:bCs/>
                      <w:color w:val="000000" w:themeColor="text1"/>
                      <w:lang w:val="en-US" w:eastAsia="zh-CN"/>
                      <w14:textFill>
                        <w14:solidFill>
                          <w14:schemeClr w14:val="tx1"/>
                        </w14:solidFill>
                      </w14:textFill>
                    </w:rPr>
                    <w:t>50</w:t>
                  </w:r>
                </w:p>
              </w:tc>
            </w:tr>
          </w:tbl>
          <w:p>
            <w:pPr>
              <w:keepNext/>
              <w:keepLines/>
              <w:adjustRightInd w:val="0"/>
              <w:spacing w:line="360" w:lineRule="auto"/>
              <w:ind w:firstLine="480" w:firstLineChars="0"/>
              <w:outlineLvl w:val="2"/>
              <w:rPr>
                <w:rFonts w:hint="default" w:ascii="Times New Roman" w:hAnsi="Times New Roman" w:cs="Times New Roman"/>
                <w:color w:val="000000" w:themeColor="text1"/>
                <w:sz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904" w:type="dxa"/>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其他</w:t>
            </w:r>
          </w:p>
        </w:tc>
        <w:tc>
          <w:tcPr>
            <w:tcW w:w="8253"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结合本项目排污特点，</w:t>
            </w:r>
            <w:r>
              <w:rPr>
                <w:rFonts w:hint="default" w:ascii="Times New Roman" w:hAnsi="Times New Roman" w:cs="Times New Roman"/>
                <w:bCs/>
                <w:color w:val="000000" w:themeColor="text1"/>
                <w:sz w:val="24"/>
                <w:szCs w:val="24"/>
                <w14:textFill>
                  <w14:solidFill>
                    <w14:schemeClr w14:val="tx1"/>
                  </w14:solidFill>
                </w14:textFill>
              </w:rPr>
              <w:t>运营期</w:t>
            </w:r>
            <w:r>
              <w:rPr>
                <w:rFonts w:hint="default" w:ascii="Times New Roman" w:hAnsi="Times New Roman" w:cs="Times New Roman"/>
                <w:color w:val="000000" w:themeColor="text1"/>
                <w:sz w:val="24"/>
                <w:szCs w:val="24"/>
                <w14:textFill>
                  <w14:solidFill>
                    <w14:schemeClr w14:val="tx1"/>
                  </w14:solidFill>
                </w14:textFill>
              </w:rPr>
              <w:t>本项目废水</w:t>
            </w:r>
            <w:r>
              <w:rPr>
                <w:rFonts w:hint="default" w:ascii="Times New Roman" w:hAnsi="Times New Roman" w:cs="Times New Roman"/>
                <w:color w:val="000000" w:themeColor="text1"/>
                <w:sz w:val="24"/>
                <w:szCs w:val="24"/>
                <w:lang w:val="en-US" w:eastAsia="zh-CN"/>
                <w14:textFill>
                  <w14:solidFill>
                    <w14:schemeClr w14:val="tx1"/>
                  </w14:solidFill>
                </w14:textFill>
              </w:rPr>
              <w:t>不外排</w:t>
            </w:r>
            <w:r>
              <w:rPr>
                <w:rFonts w:hint="default" w:ascii="Times New Roman" w:hAnsi="Times New Roman" w:cs="Times New Roman"/>
                <w:color w:val="000000" w:themeColor="text1"/>
                <w:sz w:val="24"/>
                <w:szCs w:val="24"/>
                <w14:textFill>
                  <w14:solidFill>
                    <w14:schemeClr w14:val="tx1"/>
                  </w14:solidFill>
                </w14:textFill>
              </w:rPr>
              <w:t>，故本项目不申请水污染物总量控制指标</w:t>
            </w:r>
            <w:r>
              <w:rPr>
                <w:rFonts w:hint="default" w:ascii="Times New Roman" w:hAnsi="Times New Roman" w:cs="Times New Roman"/>
                <w:bCs/>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Cs/>
                <w:color w:val="000000" w:themeColor="text1"/>
                <w:sz w:val="24"/>
                <w:szCs w:val="24"/>
                <w:lang w:val="en-US" w:eastAsia="zh-CN"/>
                <w14:textFill>
                  <w14:solidFill>
                    <w14:schemeClr w14:val="tx1"/>
                  </w14:solidFill>
                </w14:textFill>
              </w:rPr>
              <w:t>运营期</w:t>
            </w:r>
            <w:r>
              <w:rPr>
                <w:rFonts w:hint="eastAsia" w:cs="Times New Roman"/>
                <w:color w:val="000000" w:themeColor="text1"/>
                <w:kern w:val="0"/>
                <w:sz w:val="24"/>
                <w:lang w:val="en-US" w:eastAsia="zh-CN"/>
                <w14:textFill>
                  <w14:solidFill>
                    <w14:schemeClr w14:val="tx1"/>
                  </w14:solidFill>
                </w14:textFill>
              </w:rPr>
              <w:t>本</w:t>
            </w:r>
            <w:r>
              <w:rPr>
                <w:rFonts w:hint="default" w:ascii="Times New Roman" w:hAnsi="Times New Roman" w:eastAsia="宋体" w:cs="Times New Roman"/>
                <w:color w:val="000000" w:themeColor="text1"/>
                <w:kern w:val="0"/>
                <w:sz w:val="24"/>
                <w14:textFill>
                  <w14:solidFill>
                    <w14:schemeClr w14:val="tx1"/>
                  </w14:solidFill>
                </w14:textFill>
              </w:rPr>
              <w:t>项目</w:t>
            </w:r>
            <w:r>
              <w:rPr>
                <w:rFonts w:hint="eastAsia" w:cs="Times New Roman"/>
                <w:color w:val="000000" w:themeColor="text1"/>
                <w:kern w:val="0"/>
                <w:sz w:val="24"/>
                <w:lang w:eastAsia="zh-CN"/>
                <w14:textFill>
                  <w14:solidFill>
                    <w14:schemeClr w14:val="tx1"/>
                  </w14:solidFill>
                </w14:textFill>
              </w:rPr>
              <w:t>锅炉燃气废气</w:t>
            </w:r>
            <w:r>
              <w:rPr>
                <w:rFonts w:hint="default" w:ascii="Times New Roman" w:hAnsi="Times New Roman" w:eastAsia="宋体" w:cs="Times New Roman"/>
                <w:color w:val="000000" w:themeColor="text1"/>
                <w:kern w:val="0"/>
                <w:sz w:val="24"/>
                <w14:textFill>
                  <w14:solidFill>
                    <w14:schemeClr w14:val="tx1"/>
                  </w14:solidFill>
                </w14:textFill>
              </w:rPr>
              <w:t>中</w:t>
            </w:r>
            <w:r>
              <w:rPr>
                <w:rFonts w:hint="default" w:ascii="Times New Roman" w:hAnsi="Times New Roman" w:eastAsia="宋体" w:cs="Times New Roman"/>
                <w:color w:val="000000" w:themeColor="text1"/>
                <w:sz w:val="24"/>
                <w14:textFill>
                  <w14:solidFill>
                    <w14:schemeClr w14:val="tx1"/>
                  </w14:solidFill>
                </w14:textFill>
              </w:rPr>
              <w:t>颗粒物、SO</w:t>
            </w:r>
            <w:r>
              <w:rPr>
                <w:rFonts w:hint="default" w:ascii="Times New Roman" w:hAnsi="Times New Roman" w:eastAsia="宋体" w:cs="Times New Roman"/>
                <w:color w:val="000000" w:themeColor="text1"/>
                <w:sz w:val="24"/>
                <w:vertAlign w:val="sub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、NO</w:t>
            </w:r>
            <w:r>
              <w:rPr>
                <w:rFonts w:hint="default" w:ascii="Times New Roman" w:hAnsi="Times New Roman" w:eastAsia="宋体" w:cs="Times New Roman"/>
                <w:color w:val="000000" w:themeColor="text1"/>
                <w:sz w:val="24"/>
                <w:vertAlign w:val="subscript"/>
                <w14:textFill>
                  <w14:solidFill>
                    <w14:schemeClr w14:val="tx1"/>
                  </w14:solidFill>
                </w14:textFill>
              </w:rPr>
              <w:t>X</w:t>
            </w:r>
            <w:r>
              <w:rPr>
                <w:rFonts w:hint="default" w:ascii="Times New Roman" w:hAnsi="Times New Roman" w:eastAsia="宋体" w:cs="Times New Roman"/>
                <w:color w:val="000000" w:themeColor="text1"/>
                <w:sz w:val="24"/>
                <w14:textFill>
                  <w14:solidFill>
                    <w14:schemeClr w14:val="tx1"/>
                  </w14:solidFill>
                </w14:textFill>
              </w:rPr>
              <w:t>排放量为分别为</w:t>
            </w:r>
            <w:r>
              <w:rPr>
                <w:rFonts w:hint="eastAsia" w:cs="Times New Roman"/>
                <w:color w:val="000000" w:themeColor="text1"/>
                <w:sz w:val="24"/>
                <w:lang w:val="en-US" w:eastAsia="zh-CN"/>
                <w14:textFill>
                  <w14:solidFill>
                    <w14:schemeClr w14:val="tx1"/>
                  </w14:solidFill>
                </w14:textFill>
              </w:rPr>
              <w:t>0.01</w:t>
            </w:r>
            <w:r>
              <w:rPr>
                <w:rFonts w:hint="default" w:ascii="Times New Roman" w:hAnsi="Times New Roman" w:eastAsia="宋体" w:cs="Times New Roman"/>
                <w:color w:val="000000" w:themeColor="text1"/>
                <w:sz w:val="24"/>
                <w14:textFill>
                  <w14:solidFill>
                    <w14:schemeClr w14:val="tx1"/>
                  </w14:solidFill>
                </w14:textFill>
              </w:rPr>
              <w:t>t/a、</w:t>
            </w:r>
            <w:r>
              <w:rPr>
                <w:rFonts w:hint="eastAsia" w:cs="Times New Roman"/>
                <w:color w:val="000000" w:themeColor="text1"/>
                <w:sz w:val="24"/>
                <w:lang w:val="en-US" w:eastAsia="zh-CN"/>
                <w14:textFill>
                  <w14:solidFill>
                    <w14:schemeClr w14:val="tx1"/>
                  </w14:solidFill>
                </w14:textFill>
              </w:rPr>
              <w:t>0.02</w:t>
            </w:r>
            <w:r>
              <w:rPr>
                <w:rFonts w:hint="default" w:ascii="Times New Roman" w:hAnsi="Times New Roman" w:eastAsia="宋体" w:cs="Times New Roman"/>
                <w:color w:val="000000" w:themeColor="text1"/>
                <w:sz w:val="24"/>
                <w14:textFill>
                  <w14:solidFill>
                    <w14:schemeClr w14:val="tx1"/>
                  </w14:solidFill>
                </w14:textFill>
              </w:rPr>
              <w:t>t/a、0.</w:t>
            </w:r>
            <w:r>
              <w:rPr>
                <w:rFonts w:hint="eastAsia" w:cs="Times New Roman"/>
                <w:color w:val="000000" w:themeColor="text1"/>
                <w:sz w:val="24"/>
                <w:lang w:val="en-US" w:eastAsia="zh-CN"/>
                <w14:textFill>
                  <w14:solidFill>
                    <w14:schemeClr w14:val="tx1"/>
                  </w14:solidFill>
                </w14:textFill>
              </w:rPr>
              <w:t>03</w:t>
            </w:r>
            <w:r>
              <w:rPr>
                <w:rFonts w:hint="default" w:ascii="Times New Roman" w:hAnsi="Times New Roman" w:eastAsia="宋体" w:cs="Times New Roman"/>
                <w:color w:val="000000" w:themeColor="text1"/>
                <w:sz w:val="24"/>
                <w14:textFill>
                  <w14:solidFill>
                    <w14:schemeClr w14:val="tx1"/>
                  </w14:solidFill>
                </w14:textFill>
              </w:rPr>
              <w:t>t/a。</w:t>
            </w:r>
            <w:r>
              <w:rPr>
                <w:rFonts w:hint="default" w:ascii="Times New Roman" w:hAnsi="Times New Roman" w:cs="Times New Roman"/>
                <w:bCs/>
                <w:color w:val="000000" w:themeColor="text1"/>
                <w:sz w:val="24"/>
                <w:szCs w:val="24"/>
                <w14:textFill>
                  <w14:solidFill>
                    <w14:schemeClr w14:val="tx1"/>
                  </w14:solidFill>
                </w14:textFill>
              </w:rPr>
              <w:t>本项目废气总量控制建议指标为SO</w:t>
            </w:r>
            <w:r>
              <w:rPr>
                <w:rFonts w:hint="default" w:ascii="Times New Roman" w:hAnsi="Times New Roman" w:cs="Times New Roman"/>
                <w:bCs/>
                <w:color w:val="000000" w:themeColor="text1"/>
                <w:sz w:val="24"/>
                <w:szCs w:val="24"/>
                <w:vertAlign w:val="subscript"/>
                <w14:textFill>
                  <w14:solidFill>
                    <w14:schemeClr w14:val="tx1"/>
                  </w14:solidFill>
                </w14:textFill>
              </w:rPr>
              <w:t>2</w:t>
            </w:r>
            <w:r>
              <w:rPr>
                <w:rFonts w:hint="default" w:ascii="Times New Roman" w:hAnsi="Times New Roman" w:cs="Times New Roman"/>
                <w:bCs/>
                <w:color w:val="000000" w:themeColor="text1"/>
                <w:sz w:val="24"/>
                <w:szCs w:val="24"/>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0.02</w:t>
            </w:r>
            <w:r>
              <w:rPr>
                <w:rFonts w:hint="default" w:ascii="Times New Roman" w:hAnsi="Times New Roman" w:cs="Times New Roman"/>
                <w:snapToGrid w:val="0"/>
                <w:color w:val="000000" w:themeColor="text1"/>
                <w:kern w:val="21"/>
                <w:sz w:val="24"/>
                <w:szCs w:val="24"/>
                <w14:textFill>
                  <w14:solidFill>
                    <w14:schemeClr w14:val="tx1"/>
                  </w14:solidFill>
                </w14:textFill>
              </w:rPr>
              <w:t>t</w:t>
            </w:r>
            <w:r>
              <w:rPr>
                <w:rFonts w:hint="default" w:ascii="Times New Roman" w:hAnsi="Times New Roman" w:cs="Times New Roman"/>
                <w:bCs/>
                <w:color w:val="000000" w:themeColor="text1"/>
                <w:sz w:val="24"/>
                <w:szCs w:val="24"/>
                <w14:textFill>
                  <w14:solidFill>
                    <w14:schemeClr w14:val="tx1"/>
                  </w14:solidFill>
                </w14:textFill>
              </w:rPr>
              <w:t>/a，NO</w:t>
            </w:r>
            <w:r>
              <w:rPr>
                <w:rFonts w:hint="default" w:ascii="Times New Roman" w:hAnsi="Times New Roman" w:cs="Times New Roman"/>
                <w:bCs/>
                <w:color w:val="000000" w:themeColor="text1"/>
                <w:sz w:val="24"/>
                <w:szCs w:val="24"/>
                <w:vertAlign w:val="subscript"/>
                <w14:textFill>
                  <w14:solidFill>
                    <w14:schemeClr w14:val="tx1"/>
                  </w14:solidFill>
                </w14:textFill>
              </w:rPr>
              <w:t>X</w:t>
            </w:r>
            <w:r>
              <w:rPr>
                <w:rFonts w:hint="default" w:ascii="Times New Roman" w:hAnsi="Times New Roman" w:cs="Times New Roman"/>
                <w:bCs/>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0.</w:t>
            </w:r>
            <w:r>
              <w:rPr>
                <w:rFonts w:hint="eastAsia" w:cs="Times New Roman"/>
                <w:color w:val="000000" w:themeColor="text1"/>
                <w:sz w:val="24"/>
                <w:lang w:val="en-US" w:eastAsia="zh-CN"/>
                <w14:textFill>
                  <w14:solidFill>
                    <w14:schemeClr w14:val="tx1"/>
                  </w14:solidFill>
                </w14:textFill>
              </w:rPr>
              <w:t>03</w:t>
            </w:r>
            <w:r>
              <w:rPr>
                <w:rFonts w:hint="default" w:ascii="Times New Roman" w:hAnsi="Times New Roman" w:cs="Times New Roman"/>
                <w:snapToGrid w:val="0"/>
                <w:color w:val="000000" w:themeColor="text1"/>
                <w:kern w:val="21"/>
                <w:sz w:val="24"/>
                <w:szCs w:val="24"/>
                <w14:textFill>
                  <w14:solidFill>
                    <w14:schemeClr w14:val="tx1"/>
                  </w14:solidFill>
                </w14:textFill>
              </w:rPr>
              <w:t>t</w:t>
            </w:r>
            <w:r>
              <w:rPr>
                <w:rFonts w:hint="default" w:ascii="Times New Roman" w:hAnsi="Times New Roman" w:cs="Times New Roman"/>
                <w:bCs/>
                <w:color w:val="000000" w:themeColor="text1"/>
                <w:sz w:val="24"/>
                <w:szCs w:val="24"/>
                <w14:textFill>
                  <w14:solidFill>
                    <w14:schemeClr w14:val="tx1"/>
                  </w14:solidFill>
                </w14:textFill>
              </w:rPr>
              <w:t>/a</w:t>
            </w:r>
            <w:r>
              <w:rPr>
                <w:rFonts w:hint="default" w:ascii="Times New Roman" w:hAnsi="Times New Roman" w:cs="Times New Roman"/>
                <w:color w:val="000000" w:themeColor="text1"/>
                <w:sz w:val="24"/>
                <w:szCs w:val="24"/>
                <w14:textFill>
                  <w14:solidFill>
                    <w14:schemeClr w14:val="tx1"/>
                  </w14:solidFill>
                </w14:textFill>
              </w:rPr>
              <w:t>。</w:t>
            </w:r>
          </w:p>
          <w:p>
            <w:pPr>
              <w:pStyle w:val="3"/>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p>
          <w:p>
            <w:pPr>
              <w:pStyle w:val="3"/>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p>
          <w:p>
            <w:pPr>
              <w:pStyle w:val="3"/>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p>
          <w:p>
            <w:pPr>
              <w:pStyle w:val="3"/>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p>
          <w:p>
            <w:pPr>
              <w:pStyle w:val="3"/>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p>
          <w:p>
            <w:pPr>
              <w:pStyle w:val="3"/>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p>
          <w:p>
            <w:pPr>
              <w:pStyle w:val="3"/>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p>
          <w:p>
            <w:pPr>
              <w:pStyle w:val="3"/>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p>
          <w:p>
            <w:pPr>
              <w:pStyle w:val="3"/>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p>
          <w:p>
            <w:pPr>
              <w:pStyle w:val="3"/>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p>
          <w:p>
            <w:pPr>
              <w:pStyle w:val="3"/>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p>
          <w:p>
            <w:pPr>
              <w:pStyle w:val="3"/>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p>
          <w:p>
            <w:pPr>
              <w:pStyle w:val="3"/>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p>
          <w:p>
            <w:pPr>
              <w:pStyle w:val="3"/>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Times New Roman" w:hAnsi="Times New Roman" w:cs="Times New Roman"/>
                <w:b w:val="0"/>
                <w:bCs w:val="0"/>
                <w:color w:val="000000" w:themeColor="text1"/>
                <w:sz w:val="24"/>
                <w:szCs w:val="24"/>
                <w14:textFill>
                  <w14:solidFill>
                    <w14:schemeClr w14:val="tx1"/>
                  </w14:solidFill>
                </w14:textFill>
              </w:rPr>
            </w:pPr>
          </w:p>
          <w:p>
            <w:pPr>
              <w:pStyle w:val="3"/>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Times New Roman" w:hAnsi="Times New Roman" w:cs="Times New Roman"/>
                <w:b w:val="0"/>
                <w:bCs w:val="0"/>
                <w:color w:val="000000" w:themeColor="text1"/>
                <w:sz w:val="24"/>
                <w:szCs w:val="24"/>
                <w14:textFill>
                  <w14:solidFill>
                    <w14:schemeClr w14:val="tx1"/>
                  </w14:solidFill>
                </w14:textFill>
              </w:rPr>
            </w:pPr>
          </w:p>
          <w:p>
            <w:pPr>
              <w:pStyle w:val="3"/>
              <w:pageBreakBefore w:val="0"/>
              <w:widowControl w:val="0"/>
              <w:kinsoku/>
              <w:wordWrap/>
              <w:overflowPunct/>
              <w:topLinePunct w:val="0"/>
              <w:autoSpaceDE/>
              <w:autoSpaceDN/>
              <w:bidi w:val="0"/>
              <w:adjustRightInd/>
              <w:snapToGrid/>
              <w:spacing w:before="0" w:after="0" w:line="360" w:lineRule="auto"/>
              <w:ind w:firstLine="562" w:firstLineChars="200"/>
              <w:textAlignment w:val="auto"/>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p>
        </w:tc>
      </w:tr>
    </w:tbl>
    <w:p>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15" w:lineRule="auto"/>
        <w:jc w:val="center"/>
        <w:textAlignment w:val="auto"/>
        <w:outlineLvl w:val="9"/>
        <w:rPr>
          <w:rFonts w:ascii="黑体" w:hAnsi="黑体" w:eastAsia="黑体"/>
          <w:snapToGrid w:val="0"/>
          <w:color w:val="000000" w:themeColor="text1"/>
          <w:kern w:val="2"/>
          <w:sz w:val="36"/>
          <w:szCs w:val="36"/>
          <w14:textFill>
            <w14:solidFill>
              <w14:schemeClr w14:val="tx1"/>
            </w14:solidFill>
          </w14:textFill>
        </w:rPr>
      </w:pPr>
    </w:p>
    <w:p>
      <w:pPr>
        <w:pStyle w:val="19"/>
        <w:jc w:val="center"/>
        <w:outlineLvl w:val="0"/>
        <w:rPr>
          <w:rFonts w:ascii="黑体" w:hAnsi="黑体" w:eastAsia="黑体"/>
          <w:snapToGrid w:val="0"/>
          <w:color w:val="000000" w:themeColor="text1"/>
          <w:sz w:val="30"/>
          <w:szCs w:val="30"/>
          <w14:textFill>
            <w14:solidFill>
              <w14:schemeClr w14:val="tx1"/>
            </w14:solidFill>
          </w14:textFill>
        </w:rPr>
      </w:pPr>
      <w:r>
        <w:rPr>
          <w:rFonts w:ascii="黑体" w:hAnsi="黑体" w:eastAsia="黑体"/>
          <w:snapToGrid w:val="0"/>
          <w:color w:val="000000" w:themeColor="text1"/>
          <w:kern w:val="2"/>
          <w:sz w:val="36"/>
          <w:szCs w:val="36"/>
          <w14:textFill>
            <w14:solidFill>
              <w14:schemeClr w14:val="tx1"/>
            </w14:solidFill>
          </w14:textFill>
        </w:rPr>
        <w:br w:type="page"/>
      </w:r>
      <w:r>
        <w:rPr>
          <w:rFonts w:hint="eastAsia" w:ascii="黑体" w:hAnsi="黑体" w:eastAsia="宋体"/>
          <w:snapToGrid w:val="0"/>
          <w:color w:val="000000" w:themeColor="text1"/>
          <w:sz w:val="30"/>
          <w:szCs w:val="30"/>
          <w14:textFill>
            <w14:solidFill>
              <w14:schemeClr w14:val="tx1"/>
            </w14:solidFill>
          </w14:textFill>
        </w:rPr>
        <w:t>四、生态环境影响分析</w:t>
      </w:r>
    </w:p>
    <w:tbl>
      <w:tblPr>
        <w:tblStyle w:val="22"/>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9"/>
        <w:gridCol w:w="83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879" w:type="dxa"/>
            <w:tcMar>
              <w:left w:w="28" w:type="dxa"/>
              <w:right w:w="28" w:type="dxa"/>
            </w:tcMar>
            <w:vAlign w:val="center"/>
          </w:tcPr>
          <w:p>
            <w:pPr>
              <w:pStyle w:val="19"/>
              <w:adjustRightInd w:val="0"/>
              <w:snapToGrid w:val="0"/>
              <w:spacing w:before="0" w:beforeAutospacing="0" w:after="0" w:afterAutospacing="0"/>
              <w:jc w:val="center"/>
              <w:rPr>
                <w:rFonts w:hint="default" w:ascii="Times New Roman" w:hAnsi="Times New Roman" w:cs="Times New Roman"/>
                <w:bCs/>
                <w:color w:val="000000" w:themeColor="text1"/>
                <w:kern w:val="2"/>
                <w:sz w:val="21"/>
                <w:szCs w:val="21"/>
                <w14:textFill>
                  <w14:solidFill>
                    <w14:schemeClr w14:val="tx1"/>
                  </w14:solidFill>
                </w14:textFill>
              </w:rPr>
            </w:pPr>
            <w:bookmarkStart w:id="3" w:name="_Hlk49796138"/>
            <w:r>
              <w:rPr>
                <w:rFonts w:hint="default" w:ascii="Times New Roman" w:hAnsi="Times New Roman" w:eastAsia="宋体" w:cs="Times New Roman"/>
                <w:bCs/>
                <w:color w:val="000000" w:themeColor="text1"/>
                <w:spacing w:val="10"/>
                <w:kern w:val="2"/>
                <w:sz w:val="21"/>
                <w:szCs w:val="21"/>
                <w14:textFill>
                  <w14:solidFill>
                    <w14:schemeClr w14:val="tx1"/>
                  </w14:solidFill>
                </w14:textFill>
              </w:rPr>
              <w:t>施工期生态环境影响分析</w:t>
            </w:r>
            <w:bookmarkEnd w:id="3"/>
          </w:p>
        </w:tc>
        <w:tc>
          <w:tcPr>
            <w:tcW w:w="8363"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1、施工期产污环节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根据前述施工工艺，本项目对环境的影响主要包括以下几个方面。</w:t>
            </w:r>
          </w:p>
          <w:p>
            <w:pPr>
              <w:pStyle w:val="37"/>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b/>
                <w:bCs w:val="0"/>
                <w:color w:val="000000" w:themeColor="text1"/>
                <w:sz w:val="24"/>
                <w:szCs w:val="24"/>
                <w14:textFill>
                  <w14:solidFill>
                    <w14:schemeClr w14:val="tx1"/>
                  </w14:solidFill>
                </w14:textFill>
              </w:rPr>
            </w:pPr>
            <w:r>
              <w:rPr>
                <w:rFonts w:hint="default" w:ascii="Times New Roman" w:hAnsi="Times New Roman" w:eastAsia="宋体" w:cs="Times New Roman"/>
                <w:b/>
                <w:bCs w:val="0"/>
                <w:color w:val="000000" w:themeColor="text1"/>
                <w:sz w:val="24"/>
                <w:szCs w:val="24"/>
                <w14:textFill>
                  <w14:solidFill>
                    <w14:schemeClr w14:val="tx1"/>
                  </w14:solidFill>
                </w14:textFill>
              </w:rPr>
              <w:t>表</w:t>
            </w: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 xml:space="preserve">4-1  </w:t>
            </w:r>
            <w:r>
              <w:rPr>
                <w:rFonts w:hint="default" w:ascii="Times New Roman" w:hAnsi="Times New Roman" w:eastAsia="宋体" w:cs="Times New Roman"/>
                <w:b/>
                <w:bCs w:val="0"/>
                <w:color w:val="000000" w:themeColor="text1"/>
                <w:sz w:val="24"/>
                <w:szCs w:val="24"/>
                <w14:textFill>
                  <w14:solidFill>
                    <w14:schemeClr w14:val="tx1"/>
                  </w14:solidFill>
                </w14:textFill>
              </w:rPr>
              <w:t>主要污染工序一览表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
              <w:gridCol w:w="781"/>
              <w:gridCol w:w="906"/>
              <w:gridCol w:w="1846"/>
              <w:gridCol w:w="4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8" w:type="pct"/>
                  <w:vAlign w:val="center"/>
                </w:tcPr>
                <w:p>
                  <w:pPr>
                    <w:pStyle w:val="38"/>
                    <w:rPr>
                      <w:rFonts w:hint="default" w:ascii="Times New Roman" w:hAnsi="Times New Roman" w:cs="Times New Roman"/>
                      <w:color w:val="000000" w:themeColor="text1"/>
                      <w:w w:val="100"/>
                      <w:kern w:val="18"/>
                      <w:sz w:val="21"/>
                      <w:szCs w:val="21"/>
                      <w14:textFill>
                        <w14:solidFill>
                          <w14:schemeClr w14:val="tx1"/>
                        </w14:solidFill>
                      </w14:textFill>
                    </w:rPr>
                  </w:pPr>
                  <w:r>
                    <w:rPr>
                      <w:rFonts w:hint="default" w:ascii="Times New Roman" w:hAnsi="Times New Roman" w:eastAsia="宋体" w:cs="Times New Roman"/>
                      <w:color w:val="000000" w:themeColor="text1"/>
                      <w:w w:val="100"/>
                      <w:kern w:val="18"/>
                      <w:sz w:val="21"/>
                      <w:szCs w:val="21"/>
                      <w14:textFill>
                        <w14:solidFill>
                          <w14:schemeClr w14:val="tx1"/>
                        </w14:solidFill>
                      </w14:textFill>
                    </w:rPr>
                    <w:t>时段</w:t>
                  </w:r>
                </w:p>
              </w:tc>
              <w:tc>
                <w:tcPr>
                  <w:tcW w:w="479" w:type="pct"/>
                  <w:vAlign w:val="center"/>
                </w:tcPr>
                <w:p>
                  <w:pPr>
                    <w:pStyle w:val="38"/>
                    <w:rPr>
                      <w:rFonts w:hint="default" w:ascii="Times New Roman" w:hAnsi="Times New Roman" w:cs="Times New Roman"/>
                      <w:color w:val="000000" w:themeColor="text1"/>
                      <w:w w:val="100"/>
                      <w:kern w:val="18"/>
                      <w:sz w:val="21"/>
                      <w:szCs w:val="21"/>
                      <w14:textFill>
                        <w14:solidFill>
                          <w14:schemeClr w14:val="tx1"/>
                        </w14:solidFill>
                      </w14:textFill>
                    </w:rPr>
                  </w:pPr>
                  <w:r>
                    <w:rPr>
                      <w:rFonts w:hint="default" w:ascii="Times New Roman" w:hAnsi="Times New Roman" w:eastAsia="宋体" w:cs="Times New Roman"/>
                      <w:color w:val="000000" w:themeColor="text1"/>
                      <w:w w:val="100"/>
                      <w:kern w:val="18"/>
                      <w:sz w:val="21"/>
                      <w:szCs w:val="21"/>
                      <w14:textFill>
                        <w14:solidFill>
                          <w14:schemeClr w14:val="tx1"/>
                        </w14:solidFill>
                      </w14:textFill>
                    </w:rPr>
                    <w:t>污染</w:t>
                  </w:r>
                </w:p>
                <w:p>
                  <w:pPr>
                    <w:pStyle w:val="38"/>
                    <w:rPr>
                      <w:rFonts w:hint="default" w:ascii="Times New Roman" w:hAnsi="Times New Roman" w:cs="Times New Roman"/>
                      <w:color w:val="000000" w:themeColor="text1"/>
                      <w:w w:val="100"/>
                      <w:kern w:val="18"/>
                      <w:sz w:val="21"/>
                      <w:szCs w:val="21"/>
                      <w14:textFill>
                        <w14:solidFill>
                          <w14:schemeClr w14:val="tx1"/>
                        </w14:solidFill>
                      </w14:textFill>
                    </w:rPr>
                  </w:pPr>
                  <w:r>
                    <w:rPr>
                      <w:rFonts w:hint="default" w:ascii="Times New Roman" w:hAnsi="Times New Roman" w:eastAsia="宋体" w:cs="Times New Roman"/>
                      <w:color w:val="000000" w:themeColor="text1"/>
                      <w:w w:val="100"/>
                      <w:kern w:val="18"/>
                      <w:sz w:val="21"/>
                      <w:szCs w:val="21"/>
                      <w14:textFill>
                        <w14:solidFill>
                          <w14:schemeClr w14:val="tx1"/>
                        </w14:solidFill>
                      </w14:textFill>
                    </w:rPr>
                    <w:t>因子</w:t>
                  </w:r>
                </w:p>
              </w:tc>
              <w:tc>
                <w:tcPr>
                  <w:tcW w:w="556" w:type="pct"/>
                  <w:vAlign w:val="center"/>
                </w:tcPr>
                <w:p>
                  <w:pPr>
                    <w:pStyle w:val="38"/>
                    <w:rPr>
                      <w:rFonts w:hint="default" w:ascii="Times New Roman" w:hAnsi="Times New Roman" w:cs="Times New Roman"/>
                      <w:color w:val="000000" w:themeColor="text1"/>
                      <w:w w:val="100"/>
                      <w:kern w:val="18"/>
                      <w:sz w:val="21"/>
                      <w:szCs w:val="21"/>
                      <w14:textFill>
                        <w14:solidFill>
                          <w14:schemeClr w14:val="tx1"/>
                        </w14:solidFill>
                      </w14:textFill>
                    </w:rPr>
                  </w:pPr>
                  <w:r>
                    <w:rPr>
                      <w:rFonts w:hint="default" w:ascii="Times New Roman" w:hAnsi="Times New Roman" w:eastAsia="宋体" w:cs="Times New Roman"/>
                      <w:color w:val="000000" w:themeColor="text1"/>
                      <w:w w:val="100"/>
                      <w:kern w:val="18"/>
                      <w:sz w:val="21"/>
                      <w:szCs w:val="21"/>
                      <w14:textFill>
                        <w14:solidFill>
                          <w14:schemeClr w14:val="tx1"/>
                        </w14:solidFill>
                      </w14:textFill>
                    </w:rPr>
                    <w:t>主要影响环节</w:t>
                  </w:r>
                </w:p>
              </w:tc>
              <w:tc>
                <w:tcPr>
                  <w:tcW w:w="1134" w:type="pct"/>
                  <w:vAlign w:val="center"/>
                </w:tcPr>
                <w:p>
                  <w:pPr>
                    <w:pStyle w:val="38"/>
                    <w:rPr>
                      <w:rFonts w:hint="default" w:ascii="Times New Roman" w:hAnsi="Times New Roman" w:cs="Times New Roman"/>
                      <w:color w:val="000000" w:themeColor="text1"/>
                      <w:w w:val="100"/>
                      <w:kern w:val="18"/>
                      <w:sz w:val="21"/>
                      <w:szCs w:val="21"/>
                      <w14:textFill>
                        <w14:solidFill>
                          <w14:schemeClr w14:val="tx1"/>
                        </w14:solidFill>
                      </w14:textFill>
                    </w:rPr>
                  </w:pPr>
                  <w:r>
                    <w:rPr>
                      <w:rFonts w:hint="default" w:ascii="Times New Roman" w:hAnsi="Times New Roman" w:eastAsia="宋体" w:cs="Times New Roman"/>
                      <w:color w:val="000000" w:themeColor="text1"/>
                      <w:w w:val="100"/>
                      <w:kern w:val="18"/>
                      <w:sz w:val="21"/>
                      <w:szCs w:val="21"/>
                      <w14:textFill>
                        <w14:solidFill>
                          <w14:schemeClr w14:val="tx1"/>
                        </w14:solidFill>
                      </w14:textFill>
                    </w:rPr>
                    <w:t>影响因素</w:t>
                  </w:r>
                </w:p>
              </w:tc>
              <w:tc>
                <w:tcPr>
                  <w:tcW w:w="2580" w:type="pct"/>
                  <w:vAlign w:val="center"/>
                </w:tcPr>
                <w:p>
                  <w:pPr>
                    <w:pStyle w:val="38"/>
                    <w:rPr>
                      <w:rFonts w:hint="default" w:ascii="Times New Roman" w:hAnsi="Times New Roman" w:cs="Times New Roman"/>
                      <w:color w:val="000000" w:themeColor="text1"/>
                      <w:w w:val="100"/>
                      <w:kern w:val="18"/>
                      <w:sz w:val="21"/>
                      <w:szCs w:val="21"/>
                      <w14:textFill>
                        <w14:solidFill>
                          <w14:schemeClr w14:val="tx1"/>
                        </w14:solidFill>
                      </w14:textFill>
                    </w:rPr>
                  </w:pPr>
                  <w:r>
                    <w:rPr>
                      <w:rFonts w:hint="default" w:ascii="Times New Roman" w:hAnsi="Times New Roman" w:eastAsia="宋体" w:cs="Times New Roman"/>
                      <w:color w:val="000000" w:themeColor="text1"/>
                      <w:w w:val="100"/>
                      <w:kern w:val="18"/>
                      <w:sz w:val="21"/>
                      <w:szCs w:val="21"/>
                      <w14:textFill>
                        <w14:solidFill>
                          <w14:schemeClr w14:val="tx1"/>
                        </w14:solidFill>
                      </w14:textFill>
                    </w:rPr>
                    <w:t>影响途径和性质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8" w:type="pct"/>
                  <w:vMerge w:val="restart"/>
                  <w:vAlign w:val="center"/>
                </w:tcPr>
                <w:p>
                  <w:pPr>
                    <w:pStyle w:val="38"/>
                    <w:rPr>
                      <w:rFonts w:hint="default" w:ascii="Times New Roman" w:hAnsi="Times New Roman" w:cs="Times New Roman"/>
                      <w:color w:val="000000" w:themeColor="text1"/>
                      <w:w w:val="100"/>
                      <w:kern w:val="18"/>
                      <w:sz w:val="21"/>
                      <w:szCs w:val="21"/>
                      <w14:textFill>
                        <w14:solidFill>
                          <w14:schemeClr w14:val="tx1"/>
                        </w14:solidFill>
                      </w14:textFill>
                    </w:rPr>
                  </w:pPr>
                  <w:r>
                    <w:rPr>
                      <w:rFonts w:hint="default" w:ascii="Times New Roman" w:hAnsi="Times New Roman" w:eastAsia="宋体" w:cs="Times New Roman"/>
                      <w:color w:val="000000" w:themeColor="text1"/>
                      <w:w w:val="100"/>
                      <w:kern w:val="18"/>
                      <w:sz w:val="21"/>
                      <w:szCs w:val="21"/>
                      <w14:textFill>
                        <w14:solidFill>
                          <w14:schemeClr w14:val="tx1"/>
                        </w14:solidFill>
                      </w14:textFill>
                    </w:rPr>
                    <w:t>施</w:t>
                  </w:r>
                </w:p>
                <w:p>
                  <w:pPr>
                    <w:pStyle w:val="38"/>
                    <w:rPr>
                      <w:rFonts w:hint="default" w:ascii="Times New Roman" w:hAnsi="Times New Roman" w:cs="Times New Roman"/>
                      <w:color w:val="000000" w:themeColor="text1"/>
                      <w:w w:val="100"/>
                      <w:kern w:val="18"/>
                      <w:sz w:val="21"/>
                      <w:szCs w:val="21"/>
                      <w14:textFill>
                        <w14:solidFill>
                          <w14:schemeClr w14:val="tx1"/>
                        </w14:solidFill>
                      </w14:textFill>
                    </w:rPr>
                  </w:pPr>
                  <w:r>
                    <w:rPr>
                      <w:rFonts w:hint="default" w:ascii="Times New Roman" w:hAnsi="Times New Roman" w:eastAsia="宋体" w:cs="Times New Roman"/>
                      <w:color w:val="000000" w:themeColor="text1"/>
                      <w:w w:val="100"/>
                      <w:kern w:val="18"/>
                      <w:sz w:val="21"/>
                      <w:szCs w:val="21"/>
                      <w14:textFill>
                        <w14:solidFill>
                          <w14:schemeClr w14:val="tx1"/>
                        </w14:solidFill>
                      </w14:textFill>
                    </w:rPr>
                    <w:t>工</w:t>
                  </w:r>
                </w:p>
                <w:p>
                  <w:pPr>
                    <w:pStyle w:val="38"/>
                    <w:rPr>
                      <w:rFonts w:hint="default" w:ascii="Times New Roman" w:hAnsi="Times New Roman" w:cs="Times New Roman"/>
                      <w:color w:val="000000" w:themeColor="text1"/>
                      <w:w w:val="100"/>
                      <w:kern w:val="18"/>
                      <w:sz w:val="21"/>
                      <w:szCs w:val="21"/>
                      <w14:textFill>
                        <w14:solidFill>
                          <w14:schemeClr w14:val="tx1"/>
                        </w14:solidFill>
                      </w14:textFill>
                    </w:rPr>
                  </w:pPr>
                  <w:r>
                    <w:rPr>
                      <w:rFonts w:hint="default" w:ascii="Times New Roman" w:hAnsi="Times New Roman" w:eastAsia="宋体" w:cs="Times New Roman"/>
                      <w:color w:val="000000" w:themeColor="text1"/>
                      <w:w w:val="100"/>
                      <w:kern w:val="18"/>
                      <w:sz w:val="21"/>
                      <w:szCs w:val="21"/>
                      <w14:textFill>
                        <w14:solidFill>
                          <w14:schemeClr w14:val="tx1"/>
                        </w14:solidFill>
                      </w14:textFill>
                    </w:rPr>
                    <w:t>期</w:t>
                  </w:r>
                </w:p>
              </w:tc>
              <w:tc>
                <w:tcPr>
                  <w:tcW w:w="479" w:type="pct"/>
                  <w:vAlign w:val="center"/>
                </w:tcPr>
                <w:p>
                  <w:pPr>
                    <w:pStyle w:val="38"/>
                    <w:rPr>
                      <w:rFonts w:hint="default" w:ascii="Times New Roman" w:hAnsi="Times New Roman" w:cs="Times New Roman"/>
                      <w:color w:val="000000" w:themeColor="text1"/>
                      <w:w w:val="100"/>
                      <w:kern w:val="18"/>
                      <w:sz w:val="21"/>
                      <w:szCs w:val="21"/>
                      <w14:textFill>
                        <w14:solidFill>
                          <w14:schemeClr w14:val="tx1"/>
                        </w14:solidFill>
                      </w14:textFill>
                    </w:rPr>
                  </w:pPr>
                  <w:r>
                    <w:rPr>
                      <w:rFonts w:hint="default" w:ascii="Times New Roman" w:hAnsi="Times New Roman" w:eastAsia="宋体" w:cs="Times New Roman"/>
                      <w:color w:val="000000" w:themeColor="text1"/>
                      <w:w w:val="100"/>
                      <w:kern w:val="18"/>
                      <w:sz w:val="21"/>
                      <w:szCs w:val="21"/>
                      <w14:textFill>
                        <w14:solidFill>
                          <w14:schemeClr w14:val="tx1"/>
                        </w14:solidFill>
                      </w14:textFill>
                    </w:rPr>
                    <w:t>废气</w:t>
                  </w:r>
                </w:p>
              </w:tc>
              <w:tc>
                <w:tcPr>
                  <w:tcW w:w="556" w:type="pct"/>
                  <w:vAlign w:val="center"/>
                </w:tcPr>
                <w:p>
                  <w:pPr>
                    <w:pStyle w:val="38"/>
                    <w:rPr>
                      <w:rFonts w:hint="default" w:ascii="Times New Roman" w:hAnsi="Times New Roman" w:cs="Times New Roman"/>
                      <w:color w:val="000000" w:themeColor="text1"/>
                      <w:w w:val="100"/>
                      <w:kern w:val="18"/>
                      <w:sz w:val="21"/>
                      <w:szCs w:val="21"/>
                      <w14:textFill>
                        <w14:solidFill>
                          <w14:schemeClr w14:val="tx1"/>
                        </w14:solidFill>
                      </w14:textFill>
                    </w:rPr>
                  </w:pPr>
                  <w:r>
                    <w:rPr>
                      <w:rFonts w:hint="default" w:ascii="Times New Roman" w:hAnsi="Times New Roman" w:eastAsia="宋体" w:cs="Times New Roman"/>
                      <w:color w:val="000000" w:themeColor="text1"/>
                      <w:w w:val="100"/>
                      <w:kern w:val="18"/>
                      <w:sz w:val="21"/>
                      <w:szCs w:val="21"/>
                      <w14:textFill>
                        <w14:solidFill>
                          <w14:schemeClr w14:val="tx1"/>
                        </w14:solidFill>
                      </w14:textFill>
                    </w:rPr>
                    <w:t>施工</w:t>
                  </w:r>
                </w:p>
                <w:p>
                  <w:pPr>
                    <w:pStyle w:val="38"/>
                    <w:rPr>
                      <w:rFonts w:hint="default" w:ascii="Times New Roman" w:hAnsi="Times New Roman" w:cs="Times New Roman"/>
                      <w:color w:val="000000" w:themeColor="text1"/>
                      <w:w w:val="100"/>
                      <w:kern w:val="18"/>
                      <w:sz w:val="21"/>
                      <w:szCs w:val="21"/>
                      <w14:textFill>
                        <w14:solidFill>
                          <w14:schemeClr w14:val="tx1"/>
                        </w14:solidFill>
                      </w14:textFill>
                    </w:rPr>
                  </w:pPr>
                  <w:r>
                    <w:rPr>
                      <w:rFonts w:hint="default" w:ascii="Times New Roman" w:hAnsi="Times New Roman" w:eastAsia="宋体" w:cs="Times New Roman"/>
                      <w:color w:val="000000" w:themeColor="text1"/>
                      <w:w w:val="100"/>
                      <w:kern w:val="18"/>
                      <w:sz w:val="21"/>
                      <w:szCs w:val="21"/>
                      <w14:textFill>
                        <w14:solidFill>
                          <w14:schemeClr w14:val="tx1"/>
                        </w14:solidFill>
                      </w14:textFill>
                    </w:rPr>
                    <w:t>过程</w:t>
                  </w:r>
                </w:p>
              </w:tc>
              <w:tc>
                <w:tcPr>
                  <w:tcW w:w="1134" w:type="pct"/>
                  <w:vAlign w:val="center"/>
                </w:tcPr>
                <w:p>
                  <w:pPr>
                    <w:pStyle w:val="38"/>
                    <w:rPr>
                      <w:rFonts w:hint="default" w:ascii="Times New Roman" w:hAnsi="Times New Roman" w:eastAsia="宋体" w:cs="Times New Roman"/>
                      <w:color w:val="000000" w:themeColor="text1"/>
                      <w:w w:val="100"/>
                      <w:kern w:val="18"/>
                      <w:sz w:val="21"/>
                      <w:szCs w:val="21"/>
                      <w14:textFill>
                        <w14:solidFill>
                          <w14:schemeClr w14:val="tx1"/>
                        </w14:solidFill>
                      </w14:textFill>
                    </w:rPr>
                  </w:pPr>
                  <w:r>
                    <w:rPr>
                      <w:rFonts w:hint="default" w:ascii="Times New Roman" w:hAnsi="Times New Roman" w:eastAsia="宋体" w:cs="Times New Roman"/>
                      <w:color w:val="000000" w:themeColor="text1"/>
                      <w:w w:val="100"/>
                      <w:kern w:val="18"/>
                      <w:sz w:val="21"/>
                      <w:szCs w:val="21"/>
                      <w14:textFill>
                        <w14:solidFill>
                          <w14:schemeClr w14:val="tx1"/>
                        </w14:solidFill>
                      </w14:textFill>
                    </w:rPr>
                    <w:t>施工扬尘、运输扬尘、燃油废气等</w:t>
                  </w:r>
                </w:p>
              </w:tc>
              <w:tc>
                <w:tcPr>
                  <w:tcW w:w="2580" w:type="pct"/>
                  <w:vAlign w:val="center"/>
                </w:tcPr>
                <w:p>
                  <w:pPr>
                    <w:pStyle w:val="38"/>
                    <w:rPr>
                      <w:rFonts w:hint="default" w:ascii="Times New Roman" w:hAnsi="Times New Roman" w:cs="Times New Roman"/>
                      <w:color w:val="000000" w:themeColor="text1"/>
                      <w:w w:val="100"/>
                      <w:kern w:val="18"/>
                      <w:sz w:val="21"/>
                      <w:szCs w:val="21"/>
                      <w14:textFill>
                        <w14:solidFill>
                          <w14:schemeClr w14:val="tx1"/>
                        </w14:solidFill>
                      </w14:textFill>
                    </w:rPr>
                  </w:pPr>
                  <w:r>
                    <w:rPr>
                      <w:rFonts w:hint="default" w:ascii="Times New Roman" w:hAnsi="Times New Roman" w:eastAsia="宋体" w:cs="Times New Roman"/>
                      <w:color w:val="000000" w:themeColor="text1"/>
                      <w:w w:val="100"/>
                      <w:kern w:val="18"/>
                      <w:sz w:val="21"/>
                      <w:szCs w:val="21"/>
                      <w14:textFill>
                        <w14:solidFill>
                          <w14:schemeClr w14:val="tx1"/>
                        </w14:solidFill>
                      </w14:textFill>
                    </w:rPr>
                    <w:t>施工扬尘、运输扬尘、燃油废气扩散，对保护目标造成短暂影响。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8" w:type="pct"/>
                  <w:vMerge w:val="continue"/>
                  <w:vAlign w:val="center"/>
                </w:tcPr>
                <w:p>
                  <w:pPr>
                    <w:pStyle w:val="38"/>
                    <w:rPr>
                      <w:rFonts w:hint="default" w:ascii="Times New Roman" w:hAnsi="Times New Roman" w:cs="Times New Roman"/>
                      <w:color w:val="000000" w:themeColor="text1"/>
                      <w:w w:val="100"/>
                      <w:kern w:val="18"/>
                      <w:sz w:val="21"/>
                      <w:szCs w:val="21"/>
                      <w14:textFill>
                        <w14:solidFill>
                          <w14:schemeClr w14:val="tx1"/>
                        </w14:solidFill>
                      </w14:textFill>
                    </w:rPr>
                  </w:pPr>
                </w:p>
              </w:tc>
              <w:tc>
                <w:tcPr>
                  <w:tcW w:w="479" w:type="pct"/>
                  <w:vAlign w:val="center"/>
                </w:tcPr>
                <w:p>
                  <w:pPr>
                    <w:pStyle w:val="38"/>
                    <w:rPr>
                      <w:rFonts w:hint="default" w:ascii="Times New Roman" w:hAnsi="Times New Roman" w:cs="Times New Roman"/>
                      <w:color w:val="000000" w:themeColor="text1"/>
                      <w:w w:val="100"/>
                      <w:kern w:val="18"/>
                      <w:sz w:val="21"/>
                      <w:szCs w:val="21"/>
                      <w14:textFill>
                        <w14:solidFill>
                          <w14:schemeClr w14:val="tx1"/>
                        </w14:solidFill>
                      </w14:textFill>
                    </w:rPr>
                  </w:pPr>
                  <w:r>
                    <w:rPr>
                      <w:rFonts w:hint="default" w:ascii="Times New Roman" w:hAnsi="Times New Roman" w:eastAsia="宋体" w:cs="Times New Roman"/>
                      <w:color w:val="000000" w:themeColor="text1"/>
                      <w:w w:val="100"/>
                      <w:kern w:val="18"/>
                      <w:sz w:val="21"/>
                      <w:szCs w:val="21"/>
                      <w14:textFill>
                        <w14:solidFill>
                          <w14:schemeClr w14:val="tx1"/>
                        </w14:solidFill>
                      </w14:textFill>
                    </w:rPr>
                    <w:t>废水</w:t>
                  </w:r>
                </w:p>
              </w:tc>
              <w:tc>
                <w:tcPr>
                  <w:tcW w:w="556" w:type="pct"/>
                  <w:vAlign w:val="center"/>
                </w:tcPr>
                <w:p>
                  <w:pPr>
                    <w:pStyle w:val="38"/>
                    <w:rPr>
                      <w:rFonts w:hint="default" w:ascii="Times New Roman" w:hAnsi="Times New Roman" w:cs="Times New Roman"/>
                      <w:color w:val="000000" w:themeColor="text1"/>
                      <w:w w:val="100"/>
                      <w:kern w:val="18"/>
                      <w:sz w:val="21"/>
                      <w:szCs w:val="21"/>
                      <w14:textFill>
                        <w14:solidFill>
                          <w14:schemeClr w14:val="tx1"/>
                        </w14:solidFill>
                      </w14:textFill>
                    </w:rPr>
                  </w:pPr>
                  <w:r>
                    <w:rPr>
                      <w:rFonts w:hint="default" w:ascii="Times New Roman" w:hAnsi="Times New Roman" w:eastAsia="宋体" w:cs="Times New Roman"/>
                      <w:color w:val="000000" w:themeColor="text1"/>
                      <w:w w:val="100"/>
                      <w:kern w:val="18"/>
                      <w:sz w:val="21"/>
                      <w:szCs w:val="21"/>
                      <w14:textFill>
                        <w14:solidFill>
                          <w14:schemeClr w14:val="tx1"/>
                        </w14:solidFill>
                      </w14:textFill>
                    </w:rPr>
                    <w:t>施工</w:t>
                  </w:r>
                </w:p>
                <w:p>
                  <w:pPr>
                    <w:pStyle w:val="38"/>
                    <w:rPr>
                      <w:rFonts w:hint="default" w:ascii="Times New Roman" w:hAnsi="Times New Roman" w:cs="Times New Roman"/>
                      <w:color w:val="000000" w:themeColor="text1"/>
                      <w:w w:val="100"/>
                      <w:kern w:val="18"/>
                      <w:sz w:val="21"/>
                      <w:szCs w:val="21"/>
                      <w14:textFill>
                        <w14:solidFill>
                          <w14:schemeClr w14:val="tx1"/>
                        </w14:solidFill>
                      </w14:textFill>
                    </w:rPr>
                  </w:pPr>
                  <w:r>
                    <w:rPr>
                      <w:rFonts w:hint="default" w:ascii="Times New Roman" w:hAnsi="Times New Roman" w:eastAsia="宋体" w:cs="Times New Roman"/>
                      <w:color w:val="000000" w:themeColor="text1"/>
                      <w:w w:val="100"/>
                      <w:kern w:val="18"/>
                      <w:sz w:val="21"/>
                      <w:szCs w:val="21"/>
                      <w14:textFill>
                        <w14:solidFill>
                          <w14:schemeClr w14:val="tx1"/>
                        </w14:solidFill>
                      </w14:textFill>
                    </w:rPr>
                    <w:t>过程</w:t>
                  </w:r>
                </w:p>
              </w:tc>
              <w:tc>
                <w:tcPr>
                  <w:tcW w:w="1134" w:type="pct"/>
                  <w:vAlign w:val="center"/>
                </w:tcPr>
                <w:p>
                  <w:pPr>
                    <w:pStyle w:val="38"/>
                    <w:rPr>
                      <w:rFonts w:hint="default" w:ascii="Times New Roman" w:hAnsi="Times New Roman" w:cs="Times New Roman"/>
                      <w:color w:val="000000" w:themeColor="text1"/>
                      <w:w w:val="100"/>
                      <w:kern w:val="18"/>
                      <w:sz w:val="21"/>
                      <w:szCs w:val="21"/>
                      <w14:textFill>
                        <w14:solidFill>
                          <w14:schemeClr w14:val="tx1"/>
                        </w14:solidFill>
                      </w14:textFill>
                    </w:rPr>
                  </w:pPr>
                  <w:r>
                    <w:rPr>
                      <w:rFonts w:hint="default" w:ascii="Times New Roman" w:hAnsi="Times New Roman" w:eastAsia="宋体" w:cs="Times New Roman"/>
                      <w:color w:val="000000" w:themeColor="text1"/>
                      <w:w w:val="100"/>
                      <w:kern w:val="18"/>
                      <w:sz w:val="21"/>
                      <w:szCs w:val="21"/>
                      <w14:textFill>
                        <w14:solidFill>
                          <w14:schemeClr w14:val="tx1"/>
                        </w14:solidFill>
                      </w14:textFill>
                    </w:rPr>
                    <w:t>施工废水（COD、BOD</w:t>
                  </w:r>
                  <w:r>
                    <w:rPr>
                      <w:rFonts w:hint="default" w:ascii="Times New Roman" w:hAnsi="Times New Roman" w:eastAsia="宋体" w:cs="Times New Roman"/>
                      <w:color w:val="000000" w:themeColor="text1"/>
                      <w:w w:val="100"/>
                      <w:kern w:val="18"/>
                      <w:sz w:val="21"/>
                      <w:szCs w:val="21"/>
                      <w:vertAlign w:val="subscript"/>
                      <w14:textFill>
                        <w14:solidFill>
                          <w14:schemeClr w14:val="tx1"/>
                        </w14:solidFill>
                      </w14:textFill>
                    </w:rPr>
                    <w:t>5</w:t>
                  </w:r>
                  <w:r>
                    <w:rPr>
                      <w:rFonts w:hint="default" w:ascii="Times New Roman" w:hAnsi="Times New Roman" w:eastAsia="宋体" w:cs="Times New Roman"/>
                      <w:color w:val="000000" w:themeColor="text1"/>
                      <w:w w:val="100"/>
                      <w:kern w:val="18"/>
                      <w:sz w:val="21"/>
                      <w:szCs w:val="21"/>
                      <w14:textFill>
                        <w14:solidFill>
                          <w14:schemeClr w14:val="tx1"/>
                        </w14:solidFill>
                      </w14:textFill>
                    </w:rPr>
                    <w:t>、SS、石油类、氨氮）</w:t>
                  </w:r>
                </w:p>
              </w:tc>
              <w:tc>
                <w:tcPr>
                  <w:tcW w:w="2580" w:type="pct"/>
                  <w:vAlign w:val="center"/>
                </w:tcPr>
                <w:p>
                  <w:pPr>
                    <w:pStyle w:val="38"/>
                    <w:rPr>
                      <w:rFonts w:hint="default" w:ascii="Times New Roman" w:hAnsi="Times New Roman" w:cs="Times New Roman"/>
                      <w:color w:val="000000" w:themeColor="text1"/>
                      <w:w w:val="100"/>
                      <w:kern w:val="18"/>
                      <w:sz w:val="21"/>
                      <w:szCs w:val="21"/>
                      <w14:textFill>
                        <w14:solidFill>
                          <w14:schemeClr w14:val="tx1"/>
                        </w14:solidFill>
                      </w14:textFill>
                    </w:rPr>
                  </w:pPr>
                  <w:r>
                    <w:rPr>
                      <w:rFonts w:hint="default" w:ascii="Times New Roman" w:hAnsi="Times New Roman" w:eastAsia="宋体" w:cs="Times New Roman"/>
                      <w:color w:val="000000" w:themeColor="text1"/>
                      <w:w w:val="100"/>
                      <w:kern w:val="18"/>
                      <w:sz w:val="21"/>
                      <w:szCs w:val="21"/>
                      <w14:textFill>
                        <w14:solidFill>
                          <w14:schemeClr w14:val="tx1"/>
                        </w14:solidFill>
                      </w14:textFill>
                    </w:rPr>
                    <w:t>施工废水入河对废水排放区域及下游</w:t>
                  </w:r>
                  <w:r>
                    <w:rPr>
                      <w:rFonts w:hint="default" w:ascii="Times New Roman" w:hAnsi="Times New Roman" w:eastAsia="宋体" w:cs="Times New Roman"/>
                      <w:color w:val="000000" w:themeColor="text1"/>
                      <w:w w:val="100"/>
                      <w:kern w:val="18"/>
                      <w:sz w:val="21"/>
                      <w:szCs w:val="21"/>
                      <w:lang w:val="en-US" w:eastAsia="zh-CN"/>
                      <w14:textFill>
                        <w14:solidFill>
                          <w14:schemeClr w14:val="tx1"/>
                        </w14:solidFill>
                      </w14:textFill>
                    </w:rPr>
                    <w:t>千</w:t>
                  </w:r>
                  <w:r>
                    <w:rPr>
                      <w:rFonts w:hint="default" w:ascii="Times New Roman" w:hAnsi="Times New Roman" w:eastAsia="宋体" w:cs="Times New Roman"/>
                      <w:color w:val="000000" w:themeColor="text1"/>
                      <w:w w:val="100"/>
                      <w:kern w:val="18"/>
                      <w:sz w:val="21"/>
                      <w:szCs w:val="21"/>
                      <w14:textFill>
                        <w14:solidFill>
                          <w14:schemeClr w14:val="tx1"/>
                        </w14:solidFill>
                      </w14:textFill>
                    </w:rPr>
                    <w:t>河水质造成污染，废水排放量大的可能造成千河水质污染。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8" w:type="pct"/>
                  <w:vMerge w:val="continue"/>
                  <w:vAlign w:val="center"/>
                </w:tcPr>
                <w:p>
                  <w:pPr>
                    <w:pStyle w:val="38"/>
                    <w:rPr>
                      <w:rFonts w:hint="default" w:ascii="Times New Roman" w:hAnsi="Times New Roman" w:cs="Times New Roman"/>
                      <w:color w:val="000000" w:themeColor="text1"/>
                      <w:w w:val="100"/>
                      <w:kern w:val="18"/>
                      <w:sz w:val="21"/>
                      <w:szCs w:val="21"/>
                      <w14:textFill>
                        <w14:solidFill>
                          <w14:schemeClr w14:val="tx1"/>
                        </w14:solidFill>
                      </w14:textFill>
                    </w:rPr>
                  </w:pPr>
                </w:p>
              </w:tc>
              <w:tc>
                <w:tcPr>
                  <w:tcW w:w="479" w:type="pct"/>
                  <w:vAlign w:val="center"/>
                </w:tcPr>
                <w:p>
                  <w:pPr>
                    <w:pStyle w:val="38"/>
                    <w:rPr>
                      <w:rFonts w:hint="default" w:ascii="Times New Roman" w:hAnsi="Times New Roman" w:cs="Times New Roman"/>
                      <w:color w:val="000000" w:themeColor="text1"/>
                      <w:w w:val="100"/>
                      <w:kern w:val="18"/>
                      <w:sz w:val="21"/>
                      <w:szCs w:val="21"/>
                      <w14:textFill>
                        <w14:solidFill>
                          <w14:schemeClr w14:val="tx1"/>
                        </w14:solidFill>
                      </w14:textFill>
                    </w:rPr>
                  </w:pPr>
                  <w:r>
                    <w:rPr>
                      <w:rFonts w:hint="default" w:ascii="Times New Roman" w:hAnsi="Times New Roman" w:eastAsia="宋体" w:cs="Times New Roman"/>
                      <w:color w:val="000000" w:themeColor="text1"/>
                      <w:w w:val="100"/>
                      <w:kern w:val="18"/>
                      <w:sz w:val="21"/>
                      <w:szCs w:val="21"/>
                      <w14:textFill>
                        <w14:solidFill>
                          <w14:schemeClr w14:val="tx1"/>
                        </w14:solidFill>
                      </w14:textFill>
                    </w:rPr>
                    <w:t>噪声</w:t>
                  </w:r>
                </w:p>
              </w:tc>
              <w:tc>
                <w:tcPr>
                  <w:tcW w:w="556" w:type="pct"/>
                  <w:vAlign w:val="center"/>
                </w:tcPr>
                <w:p>
                  <w:pPr>
                    <w:pStyle w:val="38"/>
                    <w:rPr>
                      <w:rFonts w:hint="default" w:ascii="Times New Roman" w:hAnsi="Times New Roman" w:cs="Times New Roman"/>
                      <w:color w:val="000000" w:themeColor="text1"/>
                      <w:w w:val="100"/>
                      <w:kern w:val="18"/>
                      <w:sz w:val="21"/>
                      <w:szCs w:val="21"/>
                      <w14:textFill>
                        <w14:solidFill>
                          <w14:schemeClr w14:val="tx1"/>
                        </w14:solidFill>
                      </w14:textFill>
                    </w:rPr>
                  </w:pPr>
                  <w:r>
                    <w:rPr>
                      <w:rFonts w:hint="default" w:ascii="Times New Roman" w:hAnsi="Times New Roman" w:eastAsia="宋体" w:cs="Times New Roman"/>
                      <w:color w:val="000000" w:themeColor="text1"/>
                      <w:w w:val="100"/>
                      <w:kern w:val="18"/>
                      <w:sz w:val="21"/>
                      <w:szCs w:val="21"/>
                      <w14:textFill>
                        <w14:solidFill>
                          <w14:schemeClr w14:val="tx1"/>
                        </w14:solidFill>
                      </w14:textFill>
                    </w:rPr>
                    <w:t>施工</w:t>
                  </w:r>
                </w:p>
                <w:p>
                  <w:pPr>
                    <w:pStyle w:val="38"/>
                    <w:rPr>
                      <w:rFonts w:hint="default" w:ascii="Times New Roman" w:hAnsi="Times New Roman" w:cs="Times New Roman"/>
                      <w:color w:val="000000" w:themeColor="text1"/>
                      <w:w w:val="100"/>
                      <w:kern w:val="18"/>
                      <w:sz w:val="21"/>
                      <w:szCs w:val="21"/>
                      <w14:textFill>
                        <w14:solidFill>
                          <w14:schemeClr w14:val="tx1"/>
                        </w14:solidFill>
                      </w14:textFill>
                    </w:rPr>
                  </w:pPr>
                  <w:r>
                    <w:rPr>
                      <w:rFonts w:hint="default" w:ascii="Times New Roman" w:hAnsi="Times New Roman" w:eastAsia="宋体" w:cs="Times New Roman"/>
                      <w:color w:val="000000" w:themeColor="text1"/>
                      <w:w w:val="100"/>
                      <w:kern w:val="18"/>
                      <w:sz w:val="21"/>
                      <w:szCs w:val="21"/>
                      <w14:textFill>
                        <w14:solidFill>
                          <w14:schemeClr w14:val="tx1"/>
                        </w14:solidFill>
                      </w14:textFill>
                    </w:rPr>
                    <w:t>机械</w:t>
                  </w:r>
                </w:p>
              </w:tc>
              <w:tc>
                <w:tcPr>
                  <w:tcW w:w="1134" w:type="pct"/>
                  <w:vAlign w:val="center"/>
                </w:tcPr>
                <w:p>
                  <w:pPr>
                    <w:pStyle w:val="38"/>
                    <w:rPr>
                      <w:rFonts w:hint="default" w:ascii="Times New Roman" w:hAnsi="Times New Roman" w:cs="Times New Roman"/>
                      <w:color w:val="000000" w:themeColor="text1"/>
                      <w:w w:val="100"/>
                      <w:kern w:val="18"/>
                      <w:sz w:val="21"/>
                      <w:szCs w:val="21"/>
                      <w14:textFill>
                        <w14:solidFill>
                          <w14:schemeClr w14:val="tx1"/>
                        </w14:solidFill>
                      </w14:textFill>
                    </w:rPr>
                  </w:pPr>
                  <w:r>
                    <w:rPr>
                      <w:rFonts w:hint="default" w:ascii="Times New Roman" w:hAnsi="Times New Roman" w:eastAsia="宋体" w:cs="Times New Roman"/>
                      <w:color w:val="000000" w:themeColor="text1"/>
                      <w:w w:val="100"/>
                      <w:kern w:val="18"/>
                      <w:sz w:val="21"/>
                      <w:szCs w:val="21"/>
                      <w14:textFill>
                        <w14:solidFill>
                          <w14:schemeClr w14:val="tx1"/>
                        </w14:solidFill>
                      </w14:textFill>
                    </w:rPr>
                    <w:t>机械噪声</w:t>
                  </w:r>
                </w:p>
              </w:tc>
              <w:tc>
                <w:tcPr>
                  <w:tcW w:w="2580" w:type="pct"/>
                  <w:vAlign w:val="center"/>
                </w:tcPr>
                <w:p>
                  <w:pPr>
                    <w:pStyle w:val="38"/>
                    <w:rPr>
                      <w:rFonts w:hint="default" w:ascii="Times New Roman" w:hAnsi="Times New Roman" w:cs="Times New Roman"/>
                      <w:color w:val="000000" w:themeColor="text1"/>
                      <w:w w:val="100"/>
                      <w:kern w:val="18"/>
                      <w:sz w:val="21"/>
                      <w:szCs w:val="21"/>
                      <w14:textFill>
                        <w14:solidFill>
                          <w14:schemeClr w14:val="tx1"/>
                        </w14:solidFill>
                      </w14:textFill>
                    </w:rPr>
                  </w:pPr>
                  <w:r>
                    <w:rPr>
                      <w:rFonts w:hint="default" w:ascii="Times New Roman" w:hAnsi="Times New Roman" w:eastAsia="宋体" w:cs="Times New Roman"/>
                      <w:color w:val="000000" w:themeColor="text1"/>
                      <w:w w:val="100"/>
                      <w:kern w:val="18"/>
                      <w:sz w:val="21"/>
                      <w:szCs w:val="21"/>
                      <w14:textFill>
                        <w14:solidFill>
                          <w14:schemeClr w14:val="tx1"/>
                        </w14:solidFill>
                      </w14:textFill>
                    </w:rPr>
                    <w:t>各类施工机械均可对保护目标造成影响，施工停止影响即刻消失。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8" w:type="pct"/>
                  <w:vMerge w:val="continue"/>
                  <w:vAlign w:val="center"/>
                </w:tcPr>
                <w:p>
                  <w:pPr>
                    <w:pStyle w:val="38"/>
                    <w:rPr>
                      <w:rFonts w:hint="default" w:ascii="Times New Roman" w:hAnsi="Times New Roman" w:cs="Times New Roman"/>
                      <w:color w:val="000000" w:themeColor="text1"/>
                      <w:w w:val="100"/>
                      <w:kern w:val="18"/>
                      <w:sz w:val="21"/>
                      <w:szCs w:val="21"/>
                      <w14:textFill>
                        <w14:solidFill>
                          <w14:schemeClr w14:val="tx1"/>
                        </w14:solidFill>
                      </w14:textFill>
                    </w:rPr>
                  </w:pPr>
                </w:p>
              </w:tc>
              <w:tc>
                <w:tcPr>
                  <w:tcW w:w="479" w:type="pct"/>
                  <w:vAlign w:val="center"/>
                </w:tcPr>
                <w:p>
                  <w:pPr>
                    <w:pStyle w:val="38"/>
                    <w:rPr>
                      <w:rFonts w:hint="default" w:ascii="Times New Roman" w:hAnsi="Times New Roman" w:cs="Times New Roman"/>
                      <w:color w:val="000000" w:themeColor="text1"/>
                      <w:w w:val="100"/>
                      <w:kern w:val="18"/>
                      <w:sz w:val="21"/>
                      <w:szCs w:val="21"/>
                      <w14:textFill>
                        <w14:solidFill>
                          <w14:schemeClr w14:val="tx1"/>
                        </w14:solidFill>
                      </w14:textFill>
                    </w:rPr>
                  </w:pPr>
                  <w:r>
                    <w:rPr>
                      <w:rFonts w:hint="default" w:ascii="Times New Roman" w:hAnsi="Times New Roman" w:eastAsia="宋体" w:cs="Times New Roman"/>
                      <w:color w:val="000000" w:themeColor="text1"/>
                      <w:w w:val="100"/>
                      <w:kern w:val="18"/>
                      <w:sz w:val="21"/>
                      <w:szCs w:val="21"/>
                      <w14:textFill>
                        <w14:solidFill>
                          <w14:schemeClr w14:val="tx1"/>
                        </w14:solidFill>
                      </w14:textFill>
                    </w:rPr>
                    <w:t>固体</w:t>
                  </w:r>
                </w:p>
                <w:p>
                  <w:pPr>
                    <w:pStyle w:val="38"/>
                    <w:rPr>
                      <w:rFonts w:hint="default" w:ascii="Times New Roman" w:hAnsi="Times New Roman" w:cs="Times New Roman"/>
                      <w:color w:val="000000" w:themeColor="text1"/>
                      <w:w w:val="100"/>
                      <w:kern w:val="18"/>
                      <w:sz w:val="21"/>
                      <w:szCs w:val="21"/>
                      <w14:textFill>
                        <w14:solidFill>
                          <w14:schemeClr w14:val="tx1"/>
                        </w14:solidFill>
                      </w14:textFill>
                    </w:rPr>
                  </w:pPr>
                  <w:r>
                    <w:rPr>
                      <w:rFonts w:hint="default" w:ascii="Times New Roman" w:hAnsi="Times New Roman" w:eastAsia="宋体" w:cs="Times New Roman"/>
                      <w:color w:val="000000" w:themeColor="text1"/>
                      <w:w w:val="100"/>
                      <w:kern w:val="18"/>
                      <w:sz w:val="21"/>
                      <w:szCs w:val="21"/>
                      <w14:textFill>
                        <w14:solidFill>
                          <w14:schemeClr w14:val="tx1"/>
                        </w14:solidFill>
                      </w14:textFill>
                    </w:rPr>
                    <w:t>废物</w:t>
                  </w:r>
                </w:p>
              </w:tc>
              <w:tc>
                <w:tcPr>
                  <w:tcW w:w="556" w:type="pct"/>
                  <w:vAlign w:val="center"/>
                </w:tcPr>
                <w:p>
                  <w:pPr>
                    <w:pStyle w:val="38"/>
                    <w:rPr>
                      <w:rFonts w:hint="default" w:ascii="Times New Roman" w:hAnsi="Times New Roman" w:cs="Times New Roman"/>
                      <w:color w:val="000000" w:themeColor="text1"/>
                      <w:w w:val="100"/>
                      <w:kern w:val="18"/>
                      <w:sz w:val="21"/>
                      <w:szCs w:val="21"/>
                      <w14:textFill>
                        <w14:solidFill>
                          <w14:schemeClr w14:val="tx1"/>
                        </w14:solidFill>
                      </w14:textFill>
                    </w:rPr>
                  </w:pPr>
                  <w:r>
                    <w:rPr>
                      <w:rFonts w:hint="default" w:ascii="Times New Roman" w:hAnsi="Times New Roman" w:eastAsia="宋体" w:cs="Times New Roman"/>
                      <w:color w:val="000000" w:themeColor="text1"/>
                      <w:w w:val="100"/>
                      <w:kern w:val="18"/>
                      <w:sz w:val="21"/>
                      <w:szCs w:val="21"/>
                      <w14:textFill>
                        <w14:solidFill>
                          <w14:schemeClr w14:val="tx1"/>
                        </w14:solidFill>
                      </w14:textFill>
                    </w:rPr>
                    <w:t>施工</w:t>
                  </w:r>
                </w:p>
                <w:p>
                  <w:pPr>
                    <w:pStyle w:val="38"/>
                    <w:rPr>
                      <w:rFonts w:hint="default" w:ascii="Times New Roman" w:hAnsi="Times New Roman" w:cs="Times New Roman"/>
                      <w:color w:val="000000" w:themeColor="text1"/>
                      <w:w w:val="100"/>
                      <w:kern w:val="18"/>
                      <w:sz w:val="21"/>
                      <w:szCs w:val="21"/>
                      <w14:textFill>
                        <w14:solidFill>
                          <w14:schemeClr w14:val="tx1"/>
                        </w14:solidFill>
                      </w14:textFill>
                    </w:rPr>
                  </w:pPr>
                  <w:r>
                    <w:rPr>
                      <w:rFonts w:hint="default" w:ascii="Times New Roman" w:hAnsi="Times New Roman" w:eastAsia="宋体" w:cs="Times New Roman"/>
                      <w:color w:val="000000" w:themeColor="text1"/>
                      <w:w w:val="100"/>
                      <w:kern w:val="18"/>
                      <w:sz w:val="21"/>
                      <w:szCs w:val="21"/>
                      <w14:textFill>
                        <w14:solidFill>
                          <w14:schemeClr w14:val="tx1"/>
                        </w14:solidFill>
                      </w14:textFill>
                    </w:rPr>
                    <w:t>过程</w:t>
                  </w:r>
                </w:p>
              </w:tc>
              <w:tc>
                <w:tcPr>
                  <w:tcW w:w="1134" w:type="pct"/>
                  <w:vAlign w:val="center"/>
                </w:tcPr>
                <w:p>
                  <w:pPr>
                    <w:pStyle w:val="38"/>
                    <w:rPr>
                      <w:rFonts w:hint="default" w:ascii="Times New Roman" w:hAnsi="Times New Roman" w:cs="Times New Roman"/>
                      <w:color w:val="000000" w:themeColor="text1"/>
                      <w:w w:val="100"/>
                      <w:kern w:val="18"/>
                      <w:sz w:val="21"/>
                      <w:szCs w:val="21"/>
                      <w14:textFill>
                        <w14:solidFill>
                          <w14:schemeClr w14:val="tx1"/>
                        </w14:solidFill>
                      </w14:textFill>
                    </w:rPr>
                  </w:pPr>
                  <w:r>
                    <w:rPr>
                      <w:rFonts w:hint="default" w:ascii="Times New Roman" w:hAnsi="Times New Roman" w:eastAsia="宋体" w:cs="Times New Roman"/>
                      <w:color w:val="000000" w:themeColor="text1"/>
                      <w:w w:val="100"/>
                      <w:kern w:val="18"/>
                      <w:sz w:val="21"/>
                      <w:szCs w:val="21"/>
                      <w14:textFill>
                        <w14:solidFill>
                          <w14:schemeClr w14:val="tx1"/>
                        </w14:solidFill>
                      </w14:textFill>
                    </w:rPr>
                    <w:t>生活垃圾、施工废弃土石方</w:t>
                  </w:r>
                </w:p>
              </w:tc>
              <w:tc>
                <w:tcPr>
                  <w:tcW w:w="2580" w:type="pct"/>
                  <w:vAlign w:val="center"/>
                </w:tcPr>
                <w:p>
                  <w:pPr>
                    <w:pStyle w:val="38"/>
                    <w:rPr>
                      <w:rFonts w:hint="default" w:ascii="Times New Roman" w:hAnsi="Times New Roman" w:cs="Times New Roman"/>
                      <w:color w:val="000000" w:themeColor="text1"/>
                      <w:w w:val="100"/>
                      <w:kern w:val="18"/>
                      <w:sz w:val="21"/>
                      <w:szCs w:val="21"/>
                      <w14:textFill>
                        <w14:solidFill>
                          <w14:schemeClr w14:val="tx1"/>
                        </w14:solidFill>
                      </w14:textFill>
                    </w:rPr>
                  </w:pPr>
                  <w:r>
                    <w:rPr>
                      <w:rFonts w:hint="default" w:ascii="Times New Roman" w:hAnsi="Times New Roman" w:eastAsia="宋体" w:cs="Times New Roman"/>
                      <w:color w:val="000000" w:themeColor="text1"/>
                      <w:w w:val="100"/>
                      <w:kern w:val="18"/>
                      <w:sz w:val="21"/>
                      <w:szCs w:val="21"/>
                      <w14:textFill>
                        <w14:solidFill>
                          <w14:schemeClr w14:val="tx1"/>
                        </w14:solidFill>
                      </w14:textFill>
                    </w:rPr>
                    <w:t>施工过程的废弃土石方</w:t>
                  </w:r>
                  <w:r>
                    <w:rPr>
                      <w:rFonts w:hint="default" w:ascii="Times New Roman" w:hAnsi="Times New Roman" w:eastAsia="宋体" w:cs="Times New Roman"/>
                      <w:color w:val="000000" w:themeColor="text1"/>
                      <w:w w:val="100"/>
                      <w:kern w:val="18"/>
                      <w:sz w:val="21"/>
                      <w:szCs w:val="21"/>
                      <w:lang w:eastAsia="zh-CN"/>
                      <w14:textFill>
                        <w14:solidFill>
                          <w14:schemeClr w14:val="tx1"/>
                        </w14:solidFill>
                      </w14:textFill>
                    </w:rPr>
                    <w:t>、</w:t>
                  </w:r>
                  <w:r>
                    <w:rPr>
                      <w:rFonts w:hint="default" w:ascii="Times New Roman" w:hAnsi="Times New Roman" w:eastAsia="宋体" w:cs="Times New Roman"/>
                      <w:color w:val="000000" w:themeColor="text1"/>
                      <w:w w:val="100"/>
                      <w:kern w:val="18"/>
                      <w:sz w:val="21"/>
                      <w:szCs w:val="21"/>
                      <w14:textFill>
                        <w14:solidFill>
                          <w14:schemeClr w14:val="tx1"/>
                        </w14:solidFill>
                      </w14:textFill>
                    </w:rPr>
                    <w:t>生活垃圾或危险废物入河将造成水质污染及生态破坏。</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2、环境影响分析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lang w:val="en-US" w:eastAsia="zh-CN"/>
                <w14:textFill>
                  <w14:solidFill>
                    <w14:schemeClr w14:val="tx1"/>
                  </w14:solidFill>
                </w14:textFill>
              </w:rPr>
              <w:t>1</w:t>
            </w:r>
            <w:r>
              <w:rPr>
                <w:rFonts w:hint="default" w:ascii="Times New Roman" w:hAnsi="Times New Roman" w:eastAsia="宋体"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废气影响分析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本项目施工过程中采用商品混凝土</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现场不设预制厂</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本</w:t>
            </w:r>
            <w:r>
              <w:rPr>
                <w:rFonts w:hint="default" w:ascii="Times New Roman" w:hAnsi="Times New Roman" w:eastAsia="宋体" w:cs="Times New Roman"/>
                <w:color w:val="000000" w:themeColor="text1"/>
                <w:spacing w:val="-4"/>
                <w:sz w:val="24"/>
                <w:szCs w:val="24"/>
                <w:lang w:val="en-US" w:eastAsia="zh-CN"/>
                <w14:textFill>
                  <w14:solidFill>
                    <w14:schemeClr w14:val="tx1"/>
                  </w14:solidFill>
                </w14:textFill>
              </w:rPr>
              <w:t>项目</w:t>
            </w:r>
            <w:r>
              <w:rPr>
                <w:rFonts w:hint="default" w:ascii="Times New Roman" w:hAnsi="Times New Roman" w:eastAsia="宋体" w:cs="Times New Roman"/>
                <w:color w:val="000000" w:themeColor="text1"/>
                <w:spacing w:val="-4"/>
                <w:sz w:val="24"/>
                <w:szCs w:val="24"/>
                <w14:textFill>
                  <w14:solidFill>
                    <w14:schemeClr w14:val="tx1"/>
                  </w14:solidFill>
                </w14:textFill>
              </w:rPr>
              <w:t>施工期废气污染物主要来源于项目建设施工过程的土石方开挖、</w:t>
            </w:r>
            <w:r>
              <w:rPr>
                <w:rFonts w:hint="default" w:ascii="Times New Roman" w:hAnsi="Times New Roman" w:eastAsia="宋体" w:cs="Times New Roman"/>
                <w:color w:val="000000" w:themeColor="text1"/>
                <w:spacing w:val="-3"/>
                <w:sz w:val="24"/>
                <w:szCs w:val="24"/>
                <w14:textFill>
                  <w14:solidFill>
                    <w14:schemeClr w14:val="tx1"/>
                  </w14:solidFill>
                </w14:textFill>
              </w:rPr>
              <w:t>弃土装运、建筑材料运输和装卸过程产生</w:t>
            </w:r>
            <w:r>
              <w:rPr>
                <w:rFonts w:hint="eastAsia" w:cs="Times New Roman"/>
                <w:color w:val="000000" w:themeColor="text1"/>
                <w:spacing w:val="-3"/>
                <w:sz w:val="24"/>
                <w:szCs w:val="24"/>
                <w:lang w:val="en-US" w:eastAsia="zh-CN"/>
                <w14:textFill>
                  <w14:solidFill>
                    <w14:schemeClr w14:val="tx1"/>
                  </w14:solidFill>
                </w14:textFill>
              </w:rPr>
              <w:t>的施工</w:t>
            </w:r>
            <w:r>
              <w:rPr>
                <w:rFonts w:hint="default" w:ascii="Times New Roman" w:hAnsi="Times New Roman" w:eastAsia="宋体" w:cs="Times New Roman"/>
                <w:color w:val="000000" w:themeColor="text1"/>
                <w:spacing w:val="-3"/>
                <w:sz w:val="24"/>
                <w:szCs w:val="24"/>
                <w14:textFill>
                  <w14:solidFill>
                    <w14:schemeClr w14:val="tx1"/>
                  </w14:solidFill>
                </w14:textFill>
              </w:rPr>
              <w:t>扬尘，各种施工机械和运输</w:t>
            </w:r>
            <w:r>
              <w:rPr>
                <w:rFonts w:hint="default" w:ascii="Times New Roman" w:hAnsi="Times New Roman" w:eastAsia="宋体" w:cs="Times New Roman"/>
                <w:color w:val="000000" w:themeColor="text1"/>
                <w:spacing w:val="-1"/>
                <w:sz w:val="24"/>
                <w:szCs w:val="24"/>
                <w14:textFill>
                  <w14:solidFill>
                    <w14:schemeClr w14:val="tx1"/>
                  </w14:solidFill>
                </w14:textFill>
              </w:rPr>
              <w:t>车辆</w:t>
            </w:r>
            <w:r>
              <w:rPr>
                <w:rFonts w:hint="default" w:ascii="Times New Roman" w:hAnsi="Times New Roman" w:cs="Times New Roman"/>
                <w:color w:val="000000" w:themeColor="text1"/>
                <w:sz w:val="24"/>
                <w14:textFill>
                  <w14:solidFill>
                    <w14:schemeClr w14:val="tx1"/>
                  </w14:solidFill>
                </w14:textFill>
              </w:rPr>
              <w:t>燃油废气</w:t>
            </w:r>
            <w:r>
              <w:rPr>
                <w:rFonts w:hint="default" w:ascii="Times New Roman" w:hAnsi="Times New Roman" w:eastAsia="宋体" w:cs="Times New Roman"/>
                <w:bCs/>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施工扬尘</w:t>
            </w:r>
          </w:p>
          <w:p>
            <w:pPr>
              <w:pStyle w:val="13"/>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建设阶段的大气污染物主要为施工扬尘，主要来自施工流程的</w:t>
            </w:r>
            <w:r>
              <w:rPr>
                <w:rFonts w:hint="default" w:ascii="Times New Roman" w:hAnsi="Times New Roman" w:cs="Times New Roman"/>
                <w:color w:val="000000" w:themeColor="text1"/>
                <w:sz w:val="24"/>
                <w:lang w:val="en-US" w:eastAsia="zh-CN"/>
                <w14:textFill>
                  <w14:solidFill>
                    <w14:schemeClr w14:val="tx1"/>
                  </w14:solidFill>
                </w14:textFill>
              </w:rPr>
              <w:t>三</w:t>
            </w:r>
            <w:r>
              <w:rPr>
                <w:rFonts w:hint="default" w:ascii="Times New Roman" w:hAnsi="Times New Roman" w:cs="Times New Roman"/>
                <w:color w:val="000000" w:themeColor="text1"/>
                <w:sz w:val="24"/>
                <w14:textFill>
                  <w14:solidFill>
                    <w14:schemeClr w14:val="tx1"/>
                  </w14:solidFill>
                </w14:textFill>
              </w:rPr>
              <w:t xml:space="preserve">个方面：①表土的清除；②建筑材料及废弃物的运输起尘；③露天堆场的风力扬尘。 </w:t>
            </w:r>
          </w:p>
          <w:p>
            <w:pPr>
              <w:pStyle w:val="13"/>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A、首先是表土的清除，</w:t>
            </w:r>
            <w:r>
              <w:rPr>
                <w:rFonts w:hint="default" w:ascii="Times New Roman" w:hAnsi="Times New Roman" w:cs="Times New Roman"/>
                <w:color w:val="000000" w:themeColor="text1"/>
                <w:sz w:val="24"/>
                <w:lang w:val="en-US" w:eastAsia="zh-CN"/>
                <w14:textFill>
                  <w14:solidFill>
                    <w14:schemeClr w14:val="tx1"/>
                  </w14:solidFill>
                </w14:textFill>
              </w:rPr>
              <w:t>推</w:t>
            </w:r>
            <w:r>
              <w:rPr>
                <w:rFonts w:hint="default" w:ascii="Times New Roman" w:hAnsi="Times New Roman" w:cs="Times New Roman"/>
                <w:color w:val="000000" w:themeColor="text1"/>
                <w:sz w:val="24"/>
                <w14:textFill>
                  <w14:solidFill>
                    <w14:schemeClr w14:val="tx1"/>
                  </w14:solidFill>
                </w14:textFill>
              </w:rPr>
              <w:t xml:space="preserve">土机等机械在装运土石碎渣的过程中由于铲、装、翻等机械动作伴随扬尘的出现。 </w:t>
            </w:r>
          </w:p>
          <w:p>
            <w:pPr>
              <w:pStyle w:val="13"/>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B、建筑材料和废弃物的运输过程中也会产生扬尘。这主要来自两个方面，一个是汽车在运输过程中由于风力等作用将使运输土被风力剥离产生扬尘，另一方面汽车轮在运转过程中与地面土接触从而粘满土壤，通过离心作用产生扬尘。</w:t>
            </w:r>
          </w:p>
          <w:p>
            <w:pPr>
              <w:pStyle w:val="13"/>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车辆行驶产生的扬尘，在完全干燥情况下，可</w:t>
            </w:r>
            <w:r>
              <w:rPr>
                <w:rFonts w:hint="default" w:ascii="Times New Roman" w:hAnsi="Times New Roman" w:cs="Times New Roman"/>
                <w:color w:val="000000" w:themeColor="text1"/>
                <w:sz w:val="24"/>
                <w:lang w:val="en-US" w:eastAsia="zh-CN"/>
                <w14:textFill>
                  <w14:solidFill>
                    <w14:schemeClr w14:val="tx1"/>
                  </w14:solidFill>
                </w14:textFill>
              </w:rPr>
              <w:t>采用</w:t>
            </w:r>
            <w:r>
              <w:rPr>
                <w:rFonts w:hint="default" w:ascii="Times New Roman" w:hAnsi="Times New Roman" w:cs="Times New Roman"/>
                <w:color w:val="000000" w:themeColor="text1"/>
                <w:sz w:val="24"/>
                <w14:textFill>
                  <w14:solidFill>
                    <w14:schemeClr w14:val="tx1"/>
                  </w14:solidFill>
                </w14:textFill>
              </w:rPr>
              <w:t>上海港环境保护中心与原武汉水运学院提出的关于汽车在有散装物料的道路上的扬尘量</w:t>
            </w:r>
            <w:r>
              <w:rPr>
                <w:rFonts w:hint="default" w:ascii="Times New Roman" w:hAnsi="Times New Roman" w:cs="Times New Roman"/>
                <w:color w:val="000000" w:themeColor="text1"/>
                <w:sz w:val="24"/>
                <w:lang w:val="en-US" w:eastAsia="zh-CN"/>
                <w14:textFill>
                  <w14:solidFill>
                    <w14:schemeClr w14:val="tx1"/>
                  </w14:solidFill>
                </w14:textFill>
              </w:rPr>
              <w:t>计算</w:t>
            </w:r>
            <w:r>
              <w:rPr>
                <w:rFonts w:hint="default" w:ascii="Times New Roman" w:hAnsi="Times New Roman" w:cs="Times New Roman"/>
                <w:color w:val="000000" w:themeColor="text1"/>
                <w:sz w:val="24"/>
                <w14:textFill>
                  <w14:solidFill>
                    <w14:schemeClr w14:val="tx1"/>
                  </w14:solidFill>
                </w14:textFill>
              </w:rPr>
              <w:t>经验公式计算：</w:t>
            </w:r>
          </w:p>
          <w:p>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object>
                <v:shape id="_x0000_i1025" o:spt="75" type="#_x0000_t75" style="height:17.65pt;width:197.25pt;" o:ole="t" filled="f" o:preferrelative="t" stroked="f" coordsize="21600,21600">
                  <v:path/>
                  <v:fill on="f" focussize="0,0"/>
                  <v:stroke on="f"/>
                  <v:imagedata r:id="rId23" o:title=""/>
                  <o:lock v:ext="edit" aspectratio="t"/>
                  <w10:wrap type="none"/>
                  <w10:anchorlock/>
                </v:shape>
                <o:OLEObject Type="Embed" ProgID="Equation.3" ShapeID="_x0000_i1025" DrawAspect="Content" ObjectID="_1468075730" r:id="rId22">
                  <o:LockedField>false</o:LockedField>
                </o:OLEObject>
              </w:object>
            </w:r>
          </w:p>
          <w:p>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式中：Q——汽车行驶的扬尘，kg/km·辆；</w:t>
            </w:r>
          </w:p>
          <w:p>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V——汽车速度，km/hr；</w:t>
            </w:r>
          </w:p>
          <w:p>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W——汽车载重量，t；</w:t>
            </w:r>
          </w:p>
          <w:p>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P——道路表面粉尘量，kg/m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w:t>
            </w:r>
          </w:p>
          <w:p>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一辆10t卡车，通过一段长度为1km的路面时，不同路面清洁程度，不同行驶速度情况下的扬尘量</w:t>
            </w:r>
            <w:r>
              <w:rPr>
                <w:rFonts w:hint="eastAsia" w:ascii="Times New Roman" w:cs="Times New Roman"/>
                <w:color w:val="000000" w:themeColor="text1"/>
                <w:sz w:val="24"/>
                <w:lang w:val="en-US" w:eastAsia="zh-CN"/>
                <w14:textFill>
                  <w14:solidFill>
                    <w14:schemeClr w14:val="tx1"/>
                  </w14:solidFill>
                </w14:textFill>
              </w:rPr>
              <w:t>见表4-2</w:t>
            </w:r>
            <w:r>
              <w:rPr>
                <w:rFonts w:hint="default" w:ascii="Times New Roman" w:hAnsi="Times New Roman" w:cs="Times New Roman"/>
                <w:color w:val="000000" w:themeColor="text1"/>
                <w:sz w:val="24"/>
                <w14:textFill>
                  <w14:solidFill>
                    <w14:schemeClr w14:val="tx1"/>
                  </w14:solidFill>
                </w14:textFill>
              </w:rPr>
              <w:t>。</w:t>
            </w:r>
          </w:p>
          <w:p>
            <w:pPr>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表</w:t>
            </w:r>
            <w:r>
              <w:rPr>
                <w:rFonts w:hint="eastAsia" w:cs="Times New Roman"/>
                <w:b/>
                <w:color w:val="000000" w:themeColor="text1"/>
                <w:sz w:val="24"/>
                <w:lang w:val="en-US" w:eastAsia="zh-CN"/>
                <w14:textFill>
                  <w14:solidFill>
                    <w14:schemeClr w14:val="tx1"/>
                  </w14:solidFill>
                </w14:textFill>
              </w:rPr>
              <w:t>4</w:t>
            </w:r>
            <w:r>
              <w:rPr>
                <w:rFonts w:hint="default" w:ascii="Times New Roman" w:hAnsi="Times New Roman" w:cs="Times New Roman"/>
                <w:b/>
                <w:color w:val="000000" w:themeColor="text1"/>
                <w:sz w:val="24"/>
                <w:lang w:val="en-US" w:eastAsia="zh-CN"/>
                <w14:textFill>
                  <w14:solidFill>
                    <w14:schemeClr w14:val="tx1"/>
                  </w14:solidFill>
                </w14:textFill>
              </w:rPr>
              <w:t>-2</w:t>
            </w:r>
            <w:r>
              <w:rPr>
                <w:rFonts w:hint="default" w:ascii="Times New Roman" w:hAnsi="Times New Roman" w:cs="Times New Roman"/>
                <w:b/>
                <w:color w:val="000000" w:themeColor="text1"/>
                <w:sz w:val="24"/>
                <w14:textFill>
                  <w14:solidFill>
                    <w14:schemeClr w14:val="tx1"/>
                  </w14:solidFill>
                </w14:textFill>
              </w:rPr>
              <w:t xml:space="preserve">  在不同车速和地面清洁程度的汽车扬尘，单位：kg/辆·km</w:t>
            </w:r>
          </w:p>
          <w:tbl>
            <w:tblPr>
              <w:tblStyle w:val="22"/>
              <w:tblW w:w="5000"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686"/>
              <w:gridCol w:w="1074"/>
              <w:gridCol w:w="1075"/>
              <w:gridCol w:w="1076"/>
              <w:gridCol w:w="1076"/>
              <w:gridCol w:w="1076"/>
              <w:gridCol w:w="1077"/>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dxa"/>
                  <w:tcBorders>
                    <w:tl2br w:val="nil"/>
                    <w:tr2bl w:val="nil"/>
                  </w:tcBorders>
                  <w:noWrap w:val="0"/>
                  <w:vAlign w:val="center"/>
                </w:tcPr>
                <w:p>
                  <w:pPr>
                    <w:pStyle w:val="13"/>
                    <w:spacing w:after="0" w:line="360" w:lineRule="exact"/>
                    <w:ind w:left="0" w:leftChars="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pict>
                      <v:line id="直线 1065" o:spid="_x0000_s2200" o:spt="20" style="position:absolute;left:0pt;margin-left:-4.4pt;margin-top:-0.4pt;height:36.1pt;width:84.1pt;z-index:251665408;mso-width-relative:page;mso-height-relative:page;" filled="f" stroked="t" coordsize="21600,21600">
                        <v:path arrowok="t"/>
                        <v:fill on="f" focussize="0,0"/>
                        <v:stroke color="#000000"/>
                        <v:imagedata o:title=""/>
                        <o:lock v:ext="edit" aspectratio="f"/>
                      </v:line>
                    </w:pict>
                  </w:r>
                  <w:r>
                    <w:rPr>
                      <w:rFonts w:hint="default" w:ascii="Times New Roman" w:hAnsi="Times New Roman" w:cs="Times New Roman"/>
                      <w:color w:val="000000" w:themeColor="text1"/>
                      <w:szCs w:val="21"/>
                      <w14:textFill>
                        <w14:solidFill>
                          <w14:schemeClr w14:val="tx1"/>
                        </w14:solidFill>
                      </w14:textFill>
                    </w:rPr>
                    <w:t xml:space="preserve">    </w:t>
                  </w:r>
                  <w:r>
                    <w:rPr>
                      <w:rFonts w:hint="default" w:ascii="Times New Roman" w:hAnsi="Times New Roman" w:cs="Times New Roman"/>
                      <w:b/>
                      <w:color w:val="000000" w:themeColor="text1"/>
                      <w:szCs w:val="21"/>
                      <w14:textFill>
                        <w14:solidFill>
                          <w14:schemeClr w14:val="tx1"/>
                        </w14:solidFill>
                      </w14:textFill>
                    </w:rPr>
                    <w:t>粉尘量</w:t>
                  </w:r>
                </w:p>
                <w:p>
                  <w:pPr>
                    <w:pStyle w:val="13"/>
                    <w:spacing w:after="0" w:line="360" w:lineRule="exact"/>
                    <w:ind w:left="0" w:leftChars="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时速</w:t>
                  </w:r>
                </w:p>
              </w:tc>
              <w:tc>
                <w:tcPr>
                  <w:tcW w:w="1162" w:type="dxa"/>
                  <w:tcBorders>
                    <w:tl2br w:val="nil"/>
                    <w:tr2bl w:val="nil"/>
                  </w:tcBorders>
                  <w:noWrap w:val="0"/>
                  <w:vAlign w:val="center"/>
                </w:tcPr>
                <w:p>
                  <w:pPr>
                    <w:pStyle w:val="13"/>
                    <w:spacing w:after="0" w:line="360" w:lineRule="exact"/>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w:t>
                  </w:r>
                </w:p>
              </w:tc>
              <w:tc>
                <w:tcPr>
                  <w:tcW w:w="1162" w:type="dxa"/>
                  <w:tcBorders>
                    <w:tl2br w:val="nil"/>
                    <w:tr2bl w:val="nil"/>
                  </w:tcBorders>
                  <w:noWrap w:val="0"/>
                  <w:vAlign w:val="center"/>
                </w:tcPr>
                <w:p>
                  <w:pPr>
                    <w:pStyle w:val="13"/>
                    <w:spacing w:after="0" w:line="360" w:lineRule="exact"/>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0.2</w:t>
                  </w:r>
                </w:p>
              </w:tc>
              <w:tc>
                <w:tcPr>
                  <w:tcW w:w="1163" w:type="dxa"/>
                  <w:tcBorders>
                    <w:tl2br w:val="nil"/>
                    <w:tr2bl w:val="nil"/>
                  </w:tcBorders>
                  <w:noWrap w:val="0"/>
                  <w:vAlign w:val="center"/>
                </w:tcPr>
                <w:p>
                  <w:pPr>
                    <w:pStyle w:val="13"/>
                    <w:spacing w:after="0" w:line="360" w:lineRule="exact"/>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0.3</w:t>
                  </w:r>
                </w:p>
              </w:tc>
              <w:tc>
                <w:tcPr>
                  <w:tcW w:w="1163" w:type="dxa"/>
                  <w:tcBorders>
                    <w:tl2br w:val="nil"/>
                    <w:tr2bl w:val="nil"/>
                  </w:tcBorders>
                  <w:noWrap w:val="0"/>
                  <w:vAlign w:val="center"/>
                </w:tcPr>
                <w:p>
                  <w:pPr>
                    <w:pStyle w:val="13"/>
                    <w:spacing w:after="0" w:line="360" w:lineRule="exact"/>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0.4</w:t>
                  </w:r>
                </w:p>
              </w:tc>
              <w:tc>
                <w:tcPr>
                  <w:tcW w:w="1163" w:type="dxa"/>
                  <w:tcBorders>
                    <w:tl2br w:val="nil"/>
                    <w:tr2bl w:val="nil"/>
                  </w:tcBorders>
                  <w:noWrap w:val="0"/>
                  <w:vAlign w:val="center"/>
                </w:tcPr>
                <w:p>
                  <w:pPr>
                    <w:pStyle w:val="13"/>
                    <w:spacing w:after="0" w:line="360" w:lineRule="exact"/>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0.5</w:t>
                  </w:r>
                </w:p>
              </w:tc>
              <w:tc>
                <w:tcPr>
                  <w:tcW w:w="1164" w:type="dxa"/>
                  <w:tcBorders>
                    <w:tl2br w:val="nil"/>
                    <w:tr2bl w:val="nil"/>
                  </w:tcBorders>
                  <w:noWrap w:val="0"/>
                  <w:vAlign w:val="center"/>
                </w:tcPr>
                <w:p>
                  <w:pPr>
                    <w:pStyle w:val="13"/>
                    <w:spacing w:after="0" w:line="360" w:lineRule="exact"/>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dxa"/>
                  <w:tcBorders>
                    <w:tl2br w:val="nil"/>
                    <w:tr2bl w:val="nil"/>
                  </w:tcBorders>
                  <w:noWrap w:val="0"/>
                  <w:vAlign w:val="center"/>
                </w:tcPr>
                <w:p>
                  <w:pPr>
                    <w:pStyle w:val="13"/>
                    <w:spacing w:after="0" w:line="360" w:lineRule="exact"/>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5（km/h）</w:t>
                  </w:r>
                </w:p>
              </w:tc>
              <w:tc>
                <w:tcPr>
                  <w:tcW w:w="1162" w:type="dxa"/>
                  <w:tcBorders>
                    <w:tl2br w:val="nil"/>
                    <w:tr2bl w:val="nil"/>
                  </w:tcBorders>
                  <w:noWrap w:val="0"/>
                  <w:vAlign w:val="center"/>
                </w:tcPr>
                <w:p>
                  <w:pPr>
                    <w:pStyle w:val="13"/>
                    <w:spacing w:after="0" w:line="360" w:lineRule="exact"/>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0.0511</w:t>
                  </w:r>
                </w:p>
              </w:tc>
              <w:tc>
                <w:tcPr>
                  <w:tcW w:w="1162" w:type="dxa"/>
                  <w:tcBorders>
                    <w:tl2br w:val="nil"/>
                    <w:tr2bl w:val="nil"/>
                  </w:tcBorders>
                  <w:noWrap w:val="0"/>
                  <w:vAlign w:val="center"/>
                </w:tcPr>
                <w:p>
                  <w:pPr>
                    <w:pStyle w:val="13"/>
                    <w:spacing w:after="0" w:line="360" w:lineRule="exact"/>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0.0859</w:t>
                  </w:r>
                </w:p>
              </w:tc>
              <w:tc>
                <w:tcPr>
                  <w:tcW w:w="1163" w:type="dxa"/>
                  <w:tcBorders>
                    <w:tl2br w:val="nil"/>
                    <w:tr2bl w:val="nil"/>
                  </w:tcBorders>
                  <w:noWrap w:val="0"/>
                  <w:vAlign w:val="center"/>
                </w:tcPr>
                <w:p>
                  <w:pPr>
                    <w:pStyle w:val="13"/>
                    <w:spacing w:after="0" w:line="360" w:lineRule="exact"/>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0.1164</w:t>
                  </w:r>
                </w:p>
              </w:tc>
              <w:tc>
                <w:tcPr>
                  <w:tcW w:w="1163" w:type="dxa"/>
                  <w:tcBorders>
                    <w:tl2br w:val="nil"/>
                    <w:tr2bl w:val="nil"/>
                  </w:tcBorders>
                  <w:noWrap w:val="0"/>
                  <w:vAlign w:val="center"/>
                </w:tcPr>
                <w:p>
                  <w:pPr>
                    <w:pStyle w:val="13"/>
                    <w:spacing w:after="0" w:line="360" w:lineRule="exact"/>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0.1444</w:t>
                  </w:r>
                </w:p>
              </w:tc>
              <w:tc>
                <w:tcPr>
                  <w:tcW w:w="1163" w:type="dxa"/>
                  <w:tcBorders>
                    <w:tl2br w:val="nil"/>
                    <w:tr2bl w:val="nil"/>
                  </w:tcBorders>
                  <w:noWrap w:val="0"/>
                  <w:vAlign w:val="center"/>
                </w:tcPr>
                <w:p>
                  <w:pPr>
                    <w:pStyle w:val="13"/>
                    <w:spacing w:after="0" w:line="360" w:lineRule="exact"/>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0.1707</w:t>
                  </w:r>
                </w:p>
              </w:tc>
              <w:tc>
                <w:tcPr>
                  <w:tcW w:w="1164" w:type="dxa"/>
                  <w:tcBorders>
                    <w:tl2br w:val="nil"/>
                    <w:tr2bl w:val="nil"/>
                  </w:tcBorders>
                  <w:noWrap w:val="0"/>
                  <w:vAlign w:val="center"/>
                </w:tcPr>
                <w:p>
                  <w:pPr>
                    <w:pStyle w:val="13"/>
                    <w:spacing w:after="0" w:line="360" w:lineRule="exact"/>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0.2871</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dxa"/>
                  <w:tcBorders>
                    <w:tl2br w:val="nil"/>
                    <w:tr2bl w:val="nil"/>
                  </w:tcBorders>
                  <w:noWrap w:val="0"/>
                  <w:vAlign w:val="center"/>
                </w:tcPr>
                <w:p>
                  <w:pPr>
                    <w:pStyle w:val="13"/>
                    <w:spacing w:after="0" w:line="360" w:lineRule="exact"/>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10（km/h）</w:t>
                  </w:r>
                </w:p>
              </w:tc>
              <w:tc>
                <w:tcPr>
                  <w:tcW w:w="1162" w:type="dxa"/>
                  <w:tcBorders>
                    <w:tl2br w:val="nil"/>
                    <w:tr2bl w:val="nil"/>
                  </w:tcBorders>
                  <w:noWrap w:val="0"/>
                  <w:vAlign w:val="center"/>
                </w:tcPr>
                <w:p>
                  <w:pPr>
                    <w:pStyle w:val="13"/>
                    <w:spacing w:after="0" w:line="360" w:lineRule="exact"/>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0.1021</w:t>
                  </w:r>
                </w:p>
              </w:tc>
              <w:tc>
                <w:tcPr>
                  <w:tcW w:w="1162" w:type="dxa"/>
                  <w:tcBorders>
                    <w:tl2br w:val="nil"/>
                    <w:tr2bl w:val="nil"/>
                  </w:tcBorders>
                  <w:noWrap w:val="0"/>
                  <w:vAlign w:val="center"/>
                </w:tcPr>
                <w:p>
                  <w:pPr>
                    <w:pStyle w:val="13"/>
                    <w:spacing w:after="0" w:line="360" w:lineRule="exact"/>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0.1717</w:t>
                  </w:r>
                </w:p>
              </w:tc>
              <w:tc>
                <w:tcPr>
                  <w:tcW w:w="1163" w:type="dxa"/>
                  <w:tcBorders>
                    <w:tl2br w:val="nil"/>
                    <w:tr2bl w:val="nil"/>
                  </w:tcBorders>
                  <w:noWrap w:val="0"/>
                  <w:vAlign w:val="center"/>
                </w:tcPr>
                <w:p>
                  <w:pPr>
                    <w:pStyle w:val="13"/>
                    <w:spacing w:after="0" w:line="360" w:lineRule="exact"/>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0.2328</w:t>
                  </w:r>
                </w:p>
              </w:tc>
              <w:tc>
                <w:tcPr>
                  <w:tcW w:w="1163" w:type="dxa"/>
                  <w:tcBorders>
                    <w:tl2br w:val="nil"/>
                    <w:tr2bl w:val="nil"/>
                  </w:tcBorders>
                  <w:noWrap w:val="0"/>
                  <w:vAlign w:val="center"/>
                </w:tcPr>
                <w:p>
                  <w:pPr>
                    <w:pStyle w:val="13"/>
                    <w:spacing w:after="0" w:line="360" w:lineRule="exact"/>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0.2888</w:t>
                  </w:r>
                </w:p>
              </w:tc>
              <w:tc>
                <w:tcPr>
                  <w:tcW w:w="1163" w:type="dxa"/>
                  <w:tcBorders>
                    <w:tl2br w:val="nil"/>
                    <w:tr2bl w:val="nil"/>
                  </w:tcBorders>
                  <w:noWrap w:val="0"/>
                  <w:vAlign w:val="center"/>
                </w:tcPr>
                <w:p>
                  <w:pPr>
                    <w:pStyle w:val="13"/>
                    <w:spacing w:after="0" w:line="360" w:lineRule="exact"/>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0.3414</w:t>
                  </w:r>
                </w:p>
              </w:tc>
              <w:tc>
                <w:tcPr>
                  <w:tcW w:w="1164" w:type="dxa"/>
                  <w:tcBorders>
                    <w:tl2br w:val="nil"/>
                    <w:tr2bl w:val="nil"/>
                  </w:tcBorders>
                  <w:noWrap w:val="0"/>
                  <w:vAlign w:val="center"/>
                </w:tcPr>
                <w:p>
                  <w:pPr>
                    <w:pStyle w:val="13"/>
                    <w:spacing w:after="0" w:line="360" w:lineRule="exact"/>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0.5742</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dxa"/>
                  <w:tcBorders>
                    <w:tl2br w:val="nil"/>
                    <w:tr2bl w:val="nil"/>
                  </w:tcBorders>
                  <w:noWrap w:val="0"/>
                  <w:vAlign w:val="center"/>
                </w:tcPr>
                <w:p>
                  <w:pPr>
                    <w:pStyle w:val="13"/>
                    <w:spacing w:after="0" w:line="360" w:lineRule="exact"/>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15（km/h）</w:t>
                  </w:r>
                </w:p>
              </w:tc>
              <w:tc>
                <w:tcPr>
                  <w:tcW w:w="1162" w:type="dxa"/>
                  <w:tcBorders>
                    <w:tl2br w:val="nil"/>
                    <w:tr2bl w:val="nil"/>
                  </w:tcBorders>
                  <w:noWrap w:val="0"/>
                  <w:vAlign w:val="center"/>
                </w:tcPr>
                <w:p>
                  <w:pPr>
                    <w:pStyle w:val="13"/>
                    <w:spacing w:after="0" w:line="360" w:lineRule="exact"/>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0.1532</w:t>
                  </w:r>
                </w:p>
              </w:tc>
              <w:tc>
                <w:tcPr>
                  <w:tcW w:w="1162" w:type="dxa"/>
                  <w:tcBorders>
                    <w:tl2br w:val="nil"/>
                    <w:tr2bl w:val="nil"/>
                  </w:tcBorders>
                  <w:noWrap w:val="0"/>
                  <w:vAlign w:val="center"/>
                </w:tcPr>
                <w:p>
                  <w:pPr>
                    <w:pStyle w:val="13"/>
                    <w:spacing w:after="0" w:line="360" w:lineRule="exact"/>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0.2576</w:t>
                  </w:r>
                </w:p>
              </w:tc>
              <w:tc>
                <w:tcPr>
                  <w:tcW w:w="1163" w:type="dxa"/>
                  <w:tcBorders>
                    <w:tl2br w:val="nil"/>
                    <w:tr2bl w:val="nil"/>
                  </w:tcBorders>
                  <w:noWrap w:val="0"/>
                  <w:vAlign w:val="center"/>
                </w:tcPr>
                <w:p>
                  <w:pPr>
                    <w:pStyle w:val="13"/>
                    <w:spacing w:after="0" w:line="360" w:lineRule="exact"/>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0.3491</w:t>
                  </w:r>
                </w:p>
              </w:tc>
              <w:tc>
                <w:tcPr>
                  <w:tcW w:w="1163" w:type="dxa"/>
                  <w:tcBorders>
                    <w:tl2br w:val="nil"/>
                    <w:tr2bl w:val="nil"/>
                  </w:tcBorders>
                  <w:noWrap w:val="0"/>
                  <w:vAlign w:val="center"/>
                </w:tcPr>
                <w:p>
                  <w:pPr>
                    <w:pStyle w:val="13"/>
                    <w:spacing w:after="0" w:line="360" w:lineRule="exact"/>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0.4332</w:t>
                  </w:r>
                </w:p>
              </w:tc>
              <w:tc>
                <w:tcPr>
                  <w:tcW w:w="1163" w:type="dxa"/>
                  <w:tcBorders>
                    <w:tl2br w:val="nil"/>
                    <w:tr2bl w:val="nil"/>
                  </w:tcBorders>
                  <w:noWrap w:val="0"/>
                  <w:vAlign w:val="center"/>
                </w:tcPr>
                <w:p>
                  <w:pPr>
                    <w:pStyle w:val="13"/>
                    <w:spacing w:after="0" w:line="360" w:lineRule="exact"/>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0.5121</w:t>
                  </w:r>
                </w:p>
              </w:tc>
              <w:tc>
                <w:tcPr>
                  <w:tcW w:w="1164" w:type="dxa"/>
                  <w:tcBorders>
                    <w:tl2br w:val="nil"/>
                    <w:tr2bl w:val="nil"/>
                  </w:tcBorders>
                  <w:noWrap w:val="0"/>
                  <w:vAlign w:val="center"/>
                </w:tcPr>
                <w:p>
                  <w:pPr>
                    <w:pStyle w:val="13"/>
                    <w:spacing w:after="0" w:line="360" w:lineRule="exact"/>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0.8613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dxa"/>
                  <w:tcBorders>
                    <w:tl2br w:val="nil"/>
                    <w:tr2bl w:val="nil"/>
                  </w:tcBorders>
                  <w:noWrap w:val="0"/>
                  <w:vAlign w:val="center"/>
                </w:tcPr>
                <w:p>
                  <w:pPr>
                    <w:pStyle w:val="13"/>
                    <w:spacing w:after="0" w:line="360" w:lineRule="exact"/>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25（km/h）</w:t>
                  </w:r>
                </w:p>
              </w:tc>
              <w:tc>
                <w:tcPr>
                  <w:tcW w:w="1162" w:type="dxa"/>
                  <w:tcBorders>
                    <w:tl2br w:val="nil"/>
                    <w:tr2bl w:val="nil"/>
                  </w:tcBorders>
                  <w:noWrap w:val="0"/>
                  <w:vAlign w:val="center"/>
                </w:tcPr>
                <w:p>
                  <w:pPr>
                    <w:pStyle w:val="13"/>
                    <w:spacing w:after="0" w:line="360" w:lineRule="exact"/>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0.2553</w:t>
                  </w:r>
                </w:p>
              </w:tc>
              <w:tc>
                <w:tcPr>
                  <w:tcW w:w="1162" w:type="dxa"/>
                  <w:tcBorders>
                    <w:tl2br w:val="nil"/>
                    <w:tr2bl w:val="nil"/>
                  </w:tcBorders>
                  <w:noWrap w:val="0"/>
                  <w:vAlign w:val="center"/>
                </w:tcPr>
                <w:p>
                  <w:pPr>
                    <w:pStyle w:val="13"/>
                    <w:spacing w:after="0" w:line="360" w:lineRule="exact"/>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0.4293</w:t>
                  </w:r>
                </w:p>
              </w:tc>
              <w:tc>
                <w:tcPr>
                  <w:tcW w:w="1163" w:type="dxa"/>
                  <w:tcBorders>
                    <w:tl2br w:val="nil"/>
                    <w:tr2bl w:val="nil"/>
                  </w:tcBorders>
                  <w:noWrap w:val="0"/>
                  <w:vAlign w:val="center"/>
                </w:tcPr>
                <w:p>
                  <w:pPr>
                    <w:pStyle w:val="13"/>
                    <w:spacing w:after="0" w:line="360" w:lineRule="exact"/>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0.5819</w:t>
                  </w:r>
                </w:p>
              </w:tc>
              <w:tc>
                <w:tcPr>
                  <w:tcW w:w="1163" w:type="dxa"/>
                  <w:tcBorders>
                    <w:tl2br w:val="nil"/>
                    <w:tr2bl w:val="nil"/>
                  </w:tcBorders>
                  <w:noWrap w:val="0"/>
                  <w:vAlign w:val="center"/>
                </w:tcPr>
                <w:p>
                  <w:pPr>
                    <w:pStyle w:val="13"/>
                    <w:spacing w:after="0" w:line="360" w:lineRule="exact"/>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0.7220</w:t>
                  </w:r>
                </w:p>
              </w:tc>
              <w:tc>
                <w:tcPr>
                  <w:tcW w:w="1163" w:type="dxa"/>
                  <w:tcBorders>
                    <w:tl2br w:val="nil"/>
                    <w:tr2bl w:val="nil"/>
                  </w:tcBorders>
                  <w:noWrap w:val="0"/>
                  <w:vAlign w:val="center"/>
                </w:tcPr>
                <w:p>
                  <w:pPr>
                    <w:pStyle w:val="13"/>
                    <w:spacing w:after="0" w:line="360" w:lineRule="exact"/>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0.8536</w:t>
                  </w:r>
                </w:p>
              </w:tc>
              <w:tc>
                <w:tcPr>
                  <w:tcW w:w="1164" w:type="dxa"/>
                  <w:tcBorders>
                    <w:tl2br w:val="nil"/>
                    <w:tr2bl w:val="nil"/>
                  </w:tcBorders>
                  <w:noWrap w:val="0"/>
                  <w:vAlign w:val="center"/>
                </w:tcPr>
                <w:p>
                  <w:pPr>
                    <w:pStyle w:val="13"/>
                    <w:spacing w:after="0" w:line="360" w:lineRule="exact"/>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1.4355</w:t>
                  </w:r>
                </w:p>
              </w:tc>
            </w:tr>
          </w:tbl>
          <w:p>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C、露天堆场也将产生少量的扬尘，这部分扬尘主要与施工机械运动幅度大小以及当时的天气条件有关。施工扬尘主要表现在工地附近，尤其是天气干燥及风速较大时影响更为明显，使该区块及周围近地区大气中总悬浮颗粒（TSP）浓度增大。但粉尘的排放量大小直接与湿度、风力和施工期的管理措施有关，因此较难估算。</w:t>
            </w:r>
          </w:p>
          <w:p>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施工扬尘粒径较大、沉降快，一般影响范围较小。对无组织排放施工扬尘本次环境影响评价采用类比法。表</w:t>
            </w:r>
            <w:r>
              <w:rPr>
                <w:rFonts w:hint="eastAsia" w:ascii="Times New Roman"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为某施工场地实测资料。</w:t>
            </w:r>
          </w:p>
          <w:p>
            <w:pPr>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表</w:t>
            </w:r>
            <w:r>
              <w:rPr>
                <w:rFonts w:hint="eastAsia" w:cs="Times New Roman"/>
                <w:b/>
                <w:color w:val="000000" w:themeColor="text1"/>
                <w:sz w:val="24"/>
                <w:lang w:val="en-US" w:eastAsia="zh-CN"/>
                <w14:textFill>
                  <w14:solidFill>
                    <w14:schemeClr w14:val="tx1"/>
                  </w14:solidFill>
                </w14:textFill>
              </w:rPr>
              <w:t>4</w:t>
            </w:r>
            <w:r>
              <w:rPr>
                <w:rFonts w:hint="default" w:ascii="Times New Roman" w:hAnsi="Times New Roman" w:cs="Times New Roman"/>
                <w:b/>
                <w:color w:val="000000" w:themeColor="text1"/>
                <w:sz w:val="24"/>
                <w:lang w:val="en-US" w:eastAsia="zh-CN"/>
                <w14:textFill>
                  <w14:solidFill>
                    <w14:schemeClr w14:val="tx1"/>
                  </w14:solidFill>
                </w14:textFill>
              </w:rPr>
              <w:t>-3</w:t>
            </w:r>
            <w:r>
              <w:rPr>
                <w:rFonts w:hint="default" w:ascii="Times New Roman" w:hAnsi="Times New Roman" w:cs="Times New Roman"/>
                <w:b/>
                <w:color w:val="000000" w:themeColor="text1"/>
                <w:sz w:val="24"/>
                <w14:textFill>
                  <w14:solidFill>
                    <w14:schemeClr w14:val="tx1"/>
                  </w14:solidFill>
                </w14:textFill>
              </w:rPr>
              <w:t xml:space="preserve">  施工期环境空气中TSP</w:t>
            </w:r>
          </w:p>
          <w:tbl>
            <w:tblPr>
              <w:tblStyle w:val="22"/>
              <w:tblW w:w="5000"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425"/>
              <w:gridCol w:w="1310"/>
              <w:gridCol w:w="1335"/>
              <w:gridCol w:w="1357"/>
              <w:gridCol w:w="1357"/>
              <w:gridCol w:w="1357"/>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545" w:type="dxa"/>
                  <w:vMerge w:val="restart"/>
                  <w:tcBorders>
                    <w:tl2br w:val="nil"/>
                    <w:tr2bl w:val="nil"/>
                  </w:tcBorders>
                  <w:noWrap w:val="0"/>
                  <w:vAlign w:val="center"/>
                </w:tcPr>
                <w:p>
                  <w:pPr>
                    <w:pStyle w:val="12"/>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监测点位</w:t>
                  </w:r>
                </w:p>
              </w:tc>
              <w:tc>
                <w:tcPr>
                  <w:tcW w:w="1417" w:type="dxa"/>
                  <w:tcBorders>
                    <w:tl2br w:val="nil"/>
                    <w:tr2bl w:val="nil"/>
                  </w:tcBorders>
                  <w:noWrap w:val="0"/>
                  <w:vAlign w:val="center"/>
                </w:tcPr>
                <w:p>
                  <w:pPr>
                    <w:pStyle w:val="12"/>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上风向</w:t>
                  </w:r>
                </w:p>
              </w:tc>
              <w:tc>
                <w:tcPr>
                  <w:tcW w:w="5852" w:type="dxa"/>
                  <w:gridSpan w:val="4"/>
                  <w:tcBorders>
                    <w:tl2br w:val="nil"/>
                    <w:tr2bl w:val="nil"/>
                  </w:tcBorders>
                  <w:noWrap w:val="0"/>
                  <w:vAlign w:val="center"/>
                </w:tcPr>
                <w:p>
                  <w:pPr>
                    <w:pStyle w:val="12"/>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下风向</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545" w:type="dxa"/>
                  <w:vMerge w:val="continue"/>
                  <w:tcBorders>
                    <w:tl2br w:val="nil"/>
                    <w:tr2bl w:val="nil"/>
                  </w:tcBorders>
                  <w:noWrap w:val="0"/>
                  <w:vAlign w:val="center"/>
                </w:tcPr>
                <w:p>
                  <w:pPr>
                    <w:pStyle w:val="12"/>
                    <w:jc w:val="center"/>
                    <w:rPr>
                      <w:rFonts w:hint="default" w:ascii="Times New Roman" w:hAnsi="Times New Roman" w:cs="Times New Roman"/>
                      <w:color w:val="000000" w:themeColor="text1"/>
                      <w:sz w:val="21"/>
                      <w:szCs w:val="21"/>
                      <w14:textFill>
                        <w14:solidFill>
                          <w14:schemeClr w14:val="tx1"/>
                        </w14:solidFill>
                      </w14:textFill>
                    </w:rPr>
                  </w:pPr>
                </w:p>
              </w:tc>
              <w:tc>
                <w:tcPr>
                  <w:tcW w:w="1417" w:type="dxa"/>
                  <w:tcBorders>
                    <w:tl2br w:val="nil"/>
                    <w:tr2bl w:val="nil"/>
                  </w:tcBorders>
                  <w:noWrap w:val="0"/>
                  <w:vAlign w:val="center"/>
                </w:tcPr>
                <w:p>
                  <w:pPr>
                    <w:pStyle w:val="12"/>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1号点</w:t>
                  </w:r>
                </w:p>
              </w:tc>
              <w:tc>
                <w:tcPr>
                  <w:tcW w:w="1445" w:type="dxa"/>
                  <w:tcBorders>
                    <w:tl2br w:val="nil"/>
                    <w:tr2bl w:val="nil"/>
                  </w:tcBorders>
                  <w:noWrap w:val="0"/>
                  <w:vAlign w:val="center"/>
                </w:tcPr>
                <w:p>
                  <w:pPr>
                    <w:pStyle w:val="12"/>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2号点</w:t>
                  </w:r>
                </w:p>
              </w:tc>
              <w:tc>
                <w:tcPr>
                  <w:tcW w:w="1469" w:type="dxa"/>
                  <w:tcBorders>
                    <w:tl2br w:val="nil"/>
                    <w:tr2bl w:val="nil"/>
                  </w:tcBorders>
                  <w:noWrap w:val="0"/>
                  <w:vAlign w:val="center"/>
                </w:tcPr>
                <w:p>
                  <w:pPr>
                    <w:pStyle w:val="12"/>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3号点</w:t>
                  </w:r>
                </w:p>
              </w:tc>
              <w:tc>
                <w:tcPr>
                  <w:tcW w:w="1469" w:type="dxa"/>
                  <w:tcBorders>
                    <w:tl2br w:val="nil"/>
                    <w:tr2bl w:val="nil"/>
                  </w:tcBorders>
                  <w:noWrap w:val="0"/>
                  <w:vAlign w:val="center"/>
                </w:tcPr>
                <w:p>
                  <w:pPr>
                    <w:pStyle w:val="12"/>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4号点</w:t>
                  </w:r>
                </w:p>
              </w:tc>
              <w:tc>
                <w:tcPr>
                  <w:tcW w:w="1469" w:type="dxa"/>
                  <w:tcBorders>
                    <w:tl2br w:val="nil"/>
                    <w:tr2bl w:val="nil"/>
                  </w:tcBorders>
                  <w:noWrap w:val="0"/>
                  <w:vAlign w:val="center"/>
                </w:tcPr>
                <w:p>
                  <w:pPr>
                    <w:pStyle w:val="12"/>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5号点</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545" w:type="dxa"/>
                  <w:tcBorders>
                    <w:tl2br w:val="nil"/>
                    <w:tr2bl w:val="nil"/>
                  </w:tcBorders>
                  <w:noWrap w:val="0"/>
                  <w:vAlign w:val="center"/>
                </w:tcPr>
                <w:p>
                  <w:pPr>
                    <w:pStyle w:val="12"/>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距尘源距离</w:t>
                  </w:r>
                </w:p>
              </w:tc>
              <w:tc>
                <w:tcPr>
                  <w:tcW w:w="1417" w:type="dxa"/>
                  <w:tcBorders>
                    <w:tl2br w:val="nil"/>
                    <w:tr2bl w:val="nil"/>
                  </w:tcBorders>
                  <w:noWrap w:val="0"/>
                  <w:vAlign w:val="center"/>
                </w:tcPr>
                <w:p>
                  <w:pPr>
                    <w:pStyle w:val="12"/>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20m</w:t>
                  </w:r>
                </w:p>
              </w:tc>
              <w:tc>
                <w:tcPr>
                  <w:tcW w:w="1445" w:type="dxa"/>
                  <w:tcBorders>
                    <w:tl2br w:val="nil"/>
                    <w:tr2bl w:val="nil"/>
                  </w:tcBorders>
                  <w:noWrap w:val="0"/>
                  <w:vAlign w:val="center"/>
                </w:tcPr>
                <w:p>
                  <w:pPr>
                    <w:pStyle w:val="12"/>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10m</w:t>
                  </w:r>
                </w:p>
              </w:tc>
              <w:tc>
                <w:tcPr>
                  <w:tcW w:w="1469" w:type="dxa"/>
                  <w:tcBorders>
                    <w:tl2br w:val="nil"/>
                    <w:tr2bl w:val="nil"/>
                  </w:tcBorders>
                  <w:noWrap w:val="0"/>
                  <w:vAlign w:val="center"/>
                </w:tcPr>
                <w:p>
                  <w:pPr>
                    <w:pStyle w:val="12"/>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50m</w:t>
                  </w:r>
                </w:p>
              </w:tc>
              <w:tc>
                <w:tcPr>
                  <w:tcW w:w="1469" w:type="dxa"/>
                  <w:tcBorders>
                    <w:tl2br w:val="nil"/>
                    <w:tr2bl w:val="nil"/>
                  </w:tcBorders>
                  <w:noWrap w:val="0"/>
                  <w:vAlign w:val="center"/>
                </w:tcPr>
                <w:p>
                  <w:pPr>
                    <w:pStyle w:val="12"/>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100m</w:t>
                  </w:r>
                </w:p>
              </w:tc>
              <w:tc>
                <w:tcPr>
                  <w:tcW w:w="1469" w:type="dxa"/>
                  <w:tcBorders>
                    <w:tl2br w:val="nil"/>
                    <w:tr2bl w:val="nil"/>
                  </w:tcBorders>
                  <w:noWrap w:val="0"/>
                  <w:vAlign w:val="center"/>
                </w:tcPr>
                <w:p>
                  <w:pPr>
                    <w:pStyle w:val="12"/>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200m</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545" w:type="dxa"/>
                  <w:tcBorders>
                    <w:tl2br w:val="nil"/>
                    <w:tr2bl w:val="nil"/>
                  </w:tcBorders>
                  <w:noWrap w:val="0"/>
                  <w:vAlign w:val="center"/>
                </w:tcPr>
                <w:p>
                  <w:pPr>
                    <w:pStyle w:val="12"/>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浓度（mg/m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w:t>
                  </w:r>
                </w:p>
              </w:tc>
              <w:tc>
                <w:tcPr>
                  <w:tcW w:w="1417" w:type="dxa"/>
                  <w:tcBorders>
                    <w:tl2br w:val="nil"/>
                    <w:tr2bl w:val="nil"/>
                  </w:tcBorders>
                  <w:noWrap w:val="0"/>
                  <w:vAlign w:val="center"/>
                </w:tcPr>
                <w:p>
                  <w:pPr>
                    <w:pStyle w:val="12"/>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0.244~0.269</w:t>
                  </w:r>
                </w:p>
              </w:tc>
              <w:tc>
                <w:tcPr>
                  <w:tcW w:w="1445" w:type="dxa"/>
                  <w:tcBorders>
                    <w:tl2br w:val="nil"/>
                    <w:tr2bl w:val="nil"/>
                  </w:tcBorders>
                  <w:noWrap w:val="0"/>
                  <w:vAlign w:val="center"/>
                </w:tcPr>
                <w:p>
                  <w:pPr>
                    <w:pStyle w:val="12"/>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2.176</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3.435</w:t>
                  </w:r>
                </w:p>
              </w:tc>
              <w:tc>
                <w:tcPr>
                  <w:tcW w:w="1469" w:type="dxa"/>
                  <w:tcBorders>
                    <w:tl2br w:val="nil"/>
                    <w:tr2bl w:val="nil"/>
                  </w:tcBorders>
                  <w:noWrap w:val="0"/>
                  <w:vAlign w:val="center"/>
                </w:tcPr>
                <w:p>
                  <w:pPr>
                    <w:pStyle w:val="12"/>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0.856</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1.491</w:t>
                  </w:r>
                </w:p>
              </w:tc>
              <w:tc>
                <w:tcPr>
                  <w:tcW w:w="1469" w:type="dxa"/>
                  <w:tcBorders>
                    <w:tl2br w:val="nil"/>
                    <w:tr2bl w:val="nil"/>
                  </w:tcBorders>
                  <w:noWrap w:val="0"/>
                  <w:vAlign w:val="center"/>
                </w:tcPr>
                <w:p>
                  <w:pPr>
                    <w:pStyle w:val="12"/>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0.416</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0.513</w:t>
                  </w:r>
                </w:p>
              </w:tc>
              <w:tc>
                <w:tcPr>
                  <w:tcW w:w="1469" w:type="dxa"/>
                  <w:tcBorders>
                    <w:tl2br w:val="nil"/>
                    <w:tr2bl w:val="nil"/>
                  </w:tcBorders>
                  <w:noWrap w:val="0"/>
                  <w:vAlign w:val="center"/>
                </w:tcPr>
                <w:p>
                  <w:pPr>
                    <w:pStyle w:val="12"/>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0.250</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0.258</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545" w:type="dxa"/>
                  <w:tcBorders>
                    <w:tl2br w:val="nil"/>
                    <w:tr2bl w:val="nil"/>
                  </w:tcBorders>
                  <w:noWrap w:val="0"/>
                  <w:vAlign w:val="center"/>
                </w:tcPr>
                <w:p>
                  <w:pPr>
                    <w:pStyle w:val="12"/>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参考标准值</w:t>
                  </w:r>
                </w:p>
              </w:tc>
              <w:tc>
                <w:tcPr>
                  <w:tcW w:w="7269" w:type="dxa"/>
                  <w:gridSpan w:val="5"/>
                  <w:tcBorders>
                    <w:tl2br w:val="nil"/>
                    <w:tr2bl w:val="nil"/>
                  </w:tcBorders>
                  <w:noWrap w:val="0"/>
                  <w:vAlign w:val="center"/>
                </w:tcPr>
                <w:p>
                  <w:pPr>
                    <w:pStyle w:val="12"/>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拆除、土方及地基处理工程≤0.8mg/m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，基础、主体结构及装饰工程≤0.7mg/m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eastAsia" w:ascii="Times New Roman" w:cs="Times New Roman"/>
                      <w:color w:val="000000" w:themeColor="text1"/>
                      <w:sz w:val="21"/>
                      <w:szCs w:val="21"/>
                      <w:lang w:eastAsia="zh-CN"/>
                      <w14:textFill>
                        <w14:solidFill>
                          <w14:schemeClr w14:val="tx1"/>
                        </w14:solidFill>
                      </w14:textFill>
                    </w:rPr>
                    <w:t>。</w:t>
                  </w:r>
                </w:p>
              </w:tc>
            </w:tr>
          </w:tbl>
          <w:p>
            <w:pPr>
              <w:pStyle w:val="12"/>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000000" w:themeColor="text1"/>
                <w:sz w:val="24"/>
                <w14:textFill>
                  <w14:solidFill>
                    <w14:schemeClr w14:val="tx1"/>
                  </w14:solidFill>
                </w14:textFill>
              </w:rPr>
            </w:pPr>
            <w:r>
              <w:rPr>
                <w:rFonts w:hint="default" w:ascii="Times New Roman" w:hAnsi="Times New Roman" w:cs="Times New Roman"/>
                <w:b w:val="0"/>
                <w:bCs/>
                <w:color w:val="000000" w:themeColor="text1"/>
                <w:sz w:val="24"/>
                <w14:textFill>
                  <w14:solidFill>
                    <w14:schemeClr w14:val="tx1"/>
                  </w14:solidFill>
                </w14:textFill>
              </w:rPr>
              <w:t>注：参考无组织排放监控浓度值。</w:t>
            </w:r>
          </w:p>
          <w:p>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参照《施工场界扬尘排放限值》（DB</w:t>
            </w:r>
            <w:r>
              <w:rPr>
                <w:rFonts w:hint="eastAsia" w:ascii="Times New Roman" w:cs="Times New Roman"/>
                <w:color w:val="000000" w:themeColor="text1"/>
                <w:sz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61/1078-2017）中无组织粉尘监控点TSP浓度标准限值（拆除、土方及地基处理工程≤0.8mg/m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，基础、主体结构及装饰工程≤0.7mg/m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），从表</w:t>
            </w:r>
            <w:r>
              <w:rPr>
                <w:rFonts w:hint="default" w:ascii="Times New Roman" w:hAnsi="Times New Roman" w:cs="Times New Roman"/>
                <w:color w:val="000000" w:themeColor="text1"/>
                <w:sz w:val="24"/>
                <w:lang w:val="en-US" w:eastAsia="zh-CN"/>
                <w14:textFill>
                  <w14:solidFill>
                    <w14:schemeClr w14:val="tx1"/>
                  </w14:solidFill>
                </w14:textFill>
              </w:rPr>
              <w:t>5-3</w:t>
            </w:r>
            <w:r>
              <w:rPr>
                <w:rFonts w:hint="default" w:ascii="Times New Roman" w:hAnsi="Times New Roman" w:cs="Times New Roman"/>
                <w:color w:val="000000" w:themeColor="text1"/>
                <w:sz w:val="24"/>
                <w14:textFill>
                  <w14:solidFill>
                    <w14:schemeClr w14:val="tx1"/>
                  </w14:solidFill>
                </w14:textFill>
              </w:rPr>
              <w:t>可以看出：</w:t>
            </w:r>
          </w:p>
          <w:p>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a、施工场地及其下风向距离50m范围内，环境空气中TSP超标0~0.7倍（为下风向监测值减去上风向监测值与标准值相比结果）；</w:t>
            </w:r>
          </w:p>
          <w:p>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b、施工场地至下风向距离50m</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100m内，环境空气中TSP含量是其上风向监测结果的0~1.2倍；100m至下风向距离200m处环境空气中TSP含量趋近于其上风向背景值。</w:t>
            </w:r>
          </w:p>
          <w:p>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由此可见，影响施工扬尘的因素比较多，比如天气情况、车辆行驶速度、物料含水率、土壤情况、施工管理等，施工扬尘环境空气影响主要在下风向距离200m范围内，超标影响在下风向距离100m处，对周边环境及环境敏感点</w:t>
            </w:r>
            <w:r>
              <w:rPr>
                <w:rFonts w:hint="default" w:ascii="Times New Roman" w:hAnsi="Times New Roman" w:cs="Times New Roman"/>
                <w:color w:val="000000" w:themeColor="text1"/>
                <w:sz w:val="24"/>
                <w:lang w:val="en-US" w:eastAsia="zh-CN"/>
                <w14:textFill>
                  <w14:solidFill>
                    <w14:schemeClr w14:val="tx1"/>
                  </w14:solidFill>
                </w14:textFill>
              </w:rPr>
              <w:t>会产生一定影响</w:t>
            </w:r>
            <w:r>
              <w:rPr>
                <w:rFonts w:hint="default" w:ascii="Times New Roman" w:hAnsi="Times New Roman" w:cs="Times New Roman"/>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施工机械废气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施工机械产生的尾气主要来自推土机、挖掘机和运输车辆等机械作业时发动机产生燃油废气。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根据《非道路移动源大气污染物排放清单编制技术指南》以及《非道路移动机械用柴油机排气污染物排放限值及测量方法</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中国第三、四阶段</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》，本次评价选用的机械设备功率为37~75kW及75~130kW，污染物排放限值</w:t>
            </w:r>
            <w:r>
              <w:rPr>
                <w:rFonts w:hint="default" w:ascii="Times New Roman" w:hAnsi="Times New Roman" w:eastAsia="宋体" w:cs="Times New Roman"/>
                <w:color w:val="000000" w:themeColor="text1"/>
                <w:sz w:val="24"/>
                <w:lang w:val="en-US" w:eastAsia="zh-CN"/>
                <w14:textFill>
                  <w14:solidFill>
                    <w14:schemeClr w14:val="tx1"/>
                  </w14:solidFill>
                </w14:textFill>
              </w:rPr>
              <w:t>见</w:t>
            </w:r>
            <w:r>
              <w:rPr>
                <w:rFonts w:hint="default" w:ascii="Times New Roman" w:hAnsi="Times New Roman" w:eastAsia="宋体" w:cs="Times New Roman"/>
                <w:color w:val="000000" w:themeColor="text1"/>
                <w:sz w:val="24"/>
                <w14:textFill>
                  <w14:solidFill>
                    <w14:schemeClr w14:val="tx1"/>
                  </w14:solidFill>
                </w14:textFill>
              </w:rPr>
              <w:t>表</w:t>
            </w:r>
            <w:r>
              <w:rPr>
                <w:rFonts w:hint="default" w:ascii="Times New Roman" w:hAnsi="Times New Roman" w:eastAsia="宋体" w:cs="Times New Roman"/>
                <w:color w:val="000000" w:themeColor="text1"/>
                <w:sz w:val="24"/>
                <w:lang w:val="en-US" w:eastAsia="zh-CN"/>
                <w14:textFill>
                  <w14:solidFill>
                    <w14:schemeClr w14:val="tx1"/>
                  </w14:solidFill>
                </w14:textFill>
              </w:rPr>
              <w:t>4-</w:t>
            </w:r>
            <w:r>
              <w:rPr>
                <w:rFonts w:hint="eastAsia"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14:textFill>
                  <w14:solidFill>
                    <w14:schemeClr w14:val="tx1"/>
                  </w14:solidFill>
                </w14:textFill>
              </w:rPr>
              <w:t>。</w:t>
            </w:r>
          </w:p>
          <w:p>
            <w:pPr>
              <w:pStyle w:val="37"/>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b/>
                <w:bCs w:val="0"/>
                <w:color w:val="000000" w:themeColor="text1"/>
                <w:sz w:val="24"/>
                <w:szCs w:val="24"/>
                <w14:textFill>
                  <w14:solidFill>
                    <w14:schemeClr w14:val="tx1"/>
                  </w14:solidFill>
                </w14:textFill>
              </w:rPr>
            </w:pPr>
            <w:r>
              <w:rPr>
                <w:rFonts w:hint="default" w:ascii="Times New Roman" w:hAnsi="Times New Roman" w:eastAsia="宋体" w:cs="Times New Roman"/>
                <w:b/>
                <w:bCs w:val="0"/>
                <w:color w:val="000000" w:themeColor="text1"/>
                <w:sz w:val="24"/>
                <w:szCs w:val="24"/>
                <w14:textFill>
                  <w14:solidFill>
                    <w14:schemeClr w14:val="tx1"/>
                  </w14:solidFill>
                </w14:textFill>
              </w:rPr>
              <w:t>表</w:t>
            </w: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4-</w:t>
            </w:r>
            <w:r>
              <w:rPr>
                <w:rFonts w:hint="eastAsia" w:ascii="Times New Roman" w:eastAsia="宋体" w:cs="Times New Roman"/>
                <w:b/>
                <w:bCs w:val="0"/>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z w:val="24"/>
                <w:szCs w:val="24"/>
                <w14:textFill>
                  <w14:solidFill>
                    <w14:schemeClr w14:val="tx1"/>
                  </w14:solidFill>
                </w14:textFill>
              </w:rPr>
              <w:t>非道路移动机械用柴油机排气污染物排放限值</w:t>
            </w:r>
          </w:p>
          <w:tbl>
            <w:tblPr>
              <w:tblStyle w:val="23"/>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42"/>
              <w:gridCol w:w="1727"/>
              <w:gridCol w:w="1135"/>
              <w:gridCol w:w="1147"/>
              <w:gridCol w:w="1160"/>
              <w:gridCol w:w="1184"/>
              <w:gridCol w:w="114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42"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阶段</w:t>
                  </w:r>
                </w:p>
              </w:tc>
              <w:tc>
                <w:tcPr>
                  <w:tcW w:w="1727"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额定净功率（Pmax）（kW）</w:t>
                  </w:r>
                </w:p>
              </w:tc>
              <w:tc>
                <w:tcPr>
                  <w:tcW w:w="113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 xml:space="preserve">CO（g/kWh） </w:t>
                  </w:r>
                </w:p>
              </w:tc>
              <w:tc>
                <w:tcPr>
                  <w:tcW w:w="114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 xml:space="preserve">HC（g/kWh） </w:t>
                  </w:r>
                </w:p>
              </w:tc>
              <w:tc>
                <w:tcPr>
                  <w:tcW w:w="116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NOx（g/kWh）</w:t>
                  </w:r>
                </w:p>
              </w:tc>
              <w:tc>
                <w:tcPr>
                  <w:tcW w:w="11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HC+ NOx（g/kWh）</w:t>
                  </w:r>
                </w:p>
              </w:tc>
              <w:tc>
                <w:tcPr>
                  <w:tcW w:w="114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PM（g/kWh）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42" w:type="dxa"/>
                  <w:vMerge w:val="restar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第三阶段</w:t>
                  </w:r>
                </w:p>
              </w:tc>
              <w:tc>
                <w:tcPr>
                  <w:tcW w:w="1727"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75≤Pmax＜130</w:t>
                  </w:r>
                </w:p>
              </w:tc>
              <w:tc>
                <w:tcPr>
                  <w:tcW w:w="113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w:t>
                  </w:r>
                </w:p>
              </w:tc>
              <w:tc>
                <w:tcPr>
                  <w:tcW w:w="114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16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1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w:t>
                  </w:r>
                </w:p>
              </w:tc>
              <w:tc>
                <w:tcPr>
                  <w:tcW w:w="114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0.30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42"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727"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37≤Pmax＜75</w:t>
                  </w:r>
                </w:p>
              </w:tc>
              <w:tc>
                <w:tcPr>
                  <w:tcW w:w="113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w:t>
                  </w:r>
                </w:p>
              </w:tc>
              <w:tc>
                <w:tcPr>
                  <w:tcW w:w="114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16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1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w:t>
                  </w:r>
                </w:p>
              </w:tc>
              <w:tc>
                <w:tcPr>
                  <w:tcW w:w="114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0.40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42" w:type="dxa"/>
                  <w:vMerge w:val="restar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第四阶段</w:t>
                  </w:r>
                </w:p>
              </w:tc>
              <w:tc>
                <w:tcPr>
                  <w:tcW w:w="1727"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75≤Pmax＜130</w:t>
                  </w:r>
                </w:p>
              </w:tc>
              <w:tc>
                <w:tcPr>
                  <w:tcW w:w="113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w:t>
                  </w:r>
                </w:p>
              </w:tc>
              <w:tc>
                <w:tcPr>
                  <w:tcW w:w="114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0.19</w:t>
                  </w:r>
                </w:p>
              </w:tc>
              <w:tc>
                <w:tcPr>
                  <w:tcW w:w="116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3.3</w:t>
                  </w:r>
                </w:p>
              </w:tc>
              <w:tc>
                <w:tcPr>
                  <w:tcW w:w="11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14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0.025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42"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727"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56≤Pmax＜75</w:t>
                  </w:r>
                </w:p>
              </w:tc>
              <w:tc>
                <w:tcPr>
                  <w:tcW w:w="113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w:t>
                  </w:r>
                </w:p>
              </w:tc>
              <w:tc>
                <w:tcPr>
                  <w:tcW w:w="114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0.19</w:t>
                  </w:r>
                </w:p>
              </w:tc>
              <w:tc>
                <w:tcPr>
                  <w:tcW w:w="116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3.3</w:t>
                  </w:r>
                </w:p>
              </w:tc>
              <w:tc>
                <w:tcPr>
                  <w:tcW w:w="11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14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0.025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42"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727"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37≤Pmax＜56</w:t>
                  </w:r>
                </w:p>
              </w:tc>
              <w:tc>
                <w:tcPr>
                  <w:tcW w:w="113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w:t>
                  </w:r>
                </w:p>
              </w:tc>
              <w:tc>
                <w:tcPr>
                  <w:tcW w:w="114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16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1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7.5</w:t>
                  </w:r>
                </w:p>
              </w:tc>
              <w:tc>
                <w:tcPr>
                  <w:tcW w:w="114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0.025</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若一个柴油机系族中有多个功率段的柴油机，则源机和该系族内柴油机的排气污染物结果都必须满足相应的高功率段更加严格的排放要求。因此本次计算按照第四阶段高功率进行污染物排放量的计算，单台75≤P</w:t>
            </w:r>
            <w:r>
              <w:rPr>
                <w:rFonts w:hint="default" w:ascii="Times New Roman" w:hAnsi="Times New Roman" w:eastAsia="宋体" w:cs="Times New Roman"/>
                <w:color w:val="000000" w:themeColor="text1"/>
                <w:sz w:val="24"/>
                <w:vertAlign w:val="subscript"/>
                <w14:textFill>
                  <w14:solidFill>
                    <w14:schemeClr w14:val="tx1"/>
                  </w14:solidFill>
                </w14:textFill>
              </w:rPr>
              <w:t>max</w:t>
            </w:r>
            <w:r>
              <w:rPr>
                <w:rFonts w:hint="default" w:ascii="Times New Roman" w:hAnsi="Times New Roman" w:eastAsia="宋体" w:cs="Times New Roman"/>
                <w:color w:val="000000" w:themeColor="text1"/>
                <w:sz w:val="24"/>
                <w14:textFill>
                  <w14:solidFill>
                    <w14:schemeClr w14:val="tx1"/>
                  </w14:solidFill>
                </w14:textFill>
              </w:rPr>
              <w:t>＜130kW功率的柴油机械废气排放量为CO5.0g/h、HC0.19g/h、NO</w:t>
            </w:r>
            <w:r>
              <w:rPr>
                <w:rFonts w:hint="eastAsia" w:cs="Times New Roman"/>
                <w:color w:val="000000" w:themeColor="text1"/>
                <w:sz w:val="24"/>
                <w:vertAlign w:val="subscript"/>
                <w:lang w:val="en-US" w:eastAsia="zh-CN"/>
                <w14:textFill>
                  <w14:solidFill>
                    <w14:schemeClr w14:val="tx1"/>
                  </w14:solidFill>
                </w14:textFill>
              </w:rPr>
              <w:t>X</w:t>
            </w:r>
            <w:r>
              <w:rPr>
                <w:rFonts w:hint="default" w:ascii="Times New Roman" w:hAnsi="Times New Roman" w:eastAsia="宋体" w:cs="Times New Roman"/>
                <w:color w:val="000000" w:themeColor="text1"/>
                <w:sz w:val="24"/>
                <w14:textFill>
                  <w14:solidFill>
                    <w14:schemeClr w14:val="tx1"/>
                  </w14:solidFill>
                </w14:textFill>
              </w:rPr>
              <w:t>3.3 g/h、PM0.025g/h。由于发动机尾气仅会对近距离环境造成一定的影响，加上本</w:t>
            </w:r>
            <w:r>
              <w:rPr>
                <w:rFonts w:hint="default" w:ascii="Times New Roman" w:hAnsi="Times New Roman" w:eastAsia="宋体" w:cs="Times New Roman"/>
                <w:color w:val="000000" w:themeColor="text1"/>
                <w:sz w:val="24"/>
                <w:lang w:val="en-US" w:eastAsia="zh-CN"/>
                <w14:textFill>
                  <w14:solidFill>
                    <w14:schemeClr w14:val="tx1"/>
                  </w14:solidFill>
                </w14:textFill>
              </w:rPr>
              <w:t>项目</w:t>
            </w:r>
            <w:r>
              <w:rPr>
                <w:rFonts w:hint="eastAsia" w:cs="Times New Roman"/>
                <w:color w:val="000000" w:themeColor="text1"/>
                <w:sz w:val="24"/>
                <w:lang w:val="en-US" w:eastAsia="zh-CN"/>
                <w14:textFill>
                  <w14:solidFill>
                    <w14:schemeClr w14:val="tx1"/>
                  </w14:solidFill>
                </w14:textFill>
              </w:rPr>
              <w:t>采取分段作业，</w:t>
            </w:r>
            <w:r>
              <w:rPr>
                <w:rFonts w:hint="default" w:ascii="Times New Roman" w:hAnsi="Times New Roman" w:eastAsia="宋体" w:cs="Times New Roman"/>
                <w:color w:val="000000" w:themeColor="text1"/>
                <w:sz w:val="24"/>
                <w14:textFill>
                  <w14:solidFill>
                    <w14:schemeClr w14:val="tx1"/>
                  </w14:solidFill>
                </w14:textFill>
              </w:rPr>
              <w:t>施工机械数量有限，且施工均为间歇式作业，作业点也比较分散，因此排放的尾气对厂址以外周边环境影响不大。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本</w:t>
            </w:r>
            <w:r>
              <w:rPr>
                <w:rFonts w:hint="eastAsia" w:cs="Times New Roman"/>
                <w:color w:val="000000" w:themeColor="text1"/>
                <w:sz w:val="24"/>
                <w:lang w:val="en-US" w:eastAsia="zh-CN"/>
                <w14:textFill>
                  <w14:solidFill>
                    <w14:schemeClr w14:val="tx1"/>
                  </w14:solidFill>
                </w14:textFill>
              </w:rPr>
              <w:t>项目</w:t>
            </w:r>
            <w:r>
              <w:rPr>
                <w:rFonts w:hint="default" w:ascii="Times New Roman" w:hAnsi="Times New Roman" w:eastAsia="宋体" w:cs="Times New Roman"/>
                <w:color w:val="000000" w:themeColor="text1"/>
                <w:sz w:val="24"/>
                <w:lang w:eastAsia="zh-CN"/>
                <w14:textFill>
                  <w14:solidFill>
                    <w14:schemeClr w14:val="tx1"/>
                  </w14:solidFill>
                </w14:textFill>
              </w:rPr>
              <w:t>在施工阶段，伴随着土方的挖掘、装卸和运输等施工活动，其扬尘对区域大气环境有一定影响。因此建设单位必须充分重视扬尘所带来的环境污染问题，应从车辆途经路段、车辆行驶速度以及车辆轮胎清洁度，施工工地堆场、裸露地表等方面采取合理可行的污染控制措施，最大程度减轻其污染程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废水影响分析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lang w:val="en-US" w:eastAsia="zh-CN"/>
                <w14:textFill>
                  <w14:solidFill>
                    <w14:schemeClr w14:val="tx1"/>
                  </w14:solidFill>
                </w14:textFill>
              </w:rPr>
              <w:t>施工高峰</w:t>
            </w:r>
            <w:r>
              <w:rPr>
                <w:rFonts w:hint="eastAsia" w:ascii="Times New Roman" w:hAnsi="Times New Roman" w:eastAsia="宋体" w:cs="Times New Roman"/>
                <w:color w:val="000000" w:themeColor="text1"/>
                <w:sz w:val="24"/>
                <w:lang w:val="en-US" w:eastAsia="zh-CN"/>
                <w14:textFill>
                  <w14:solidFill>
                    <w14:schemeClr w14:val="tx1"/>
                  </w14:solidFill>
                </w14:textFill>
              </w:rPr>
              <w:t>期施工</w:t>
            </w:r>
            <w:r>
              <w:rPr>
                <w:rFonts w:hint="default" w:ascii="Times New Roman" w:hAnsi="Times New Roman" w:eastAsia="宋体" w:cs="Times New Roman"/>
                <w:color w:val="000000" w:themeColor="text1"/>
                <w:sz w:val="24"/>
                <w:lang w:val="en-US" w:eastAsia="zh-CN"/>
                <w14:textFill>
                  <w14:solidFill>
                    <w14:schemeClr w14:val="tx1"/>
                  </w14:solidFill>
                </w14:textFill>
              </w:rPr>
              <w:t>人数约50人</w:t>
            </w:r>
            <w:r>
              <w:rPr>
                <w:rFonts w:hint="default" w:ascii="Times New Roman" w:hAnsi="Times New Roman" w:eastAsia="宋体" w:cs="Times New Roman"/>
                <w:color w:val="000000" w:themeColor="text1"/>
                <w:sz w:val="24"/>
                <w:lang w:eastAsia="zh-CN"/>
                <w14:textFill>
                  <w14:solidFill>
                    <w14:schemeClr w14:val="tx1"/>
                  </w14:solidFill>
                </w14:textFill>
              </w:rPr>
              <w:t>，施工期间人员较为分散，施工人员均为附近村民，不在施工现场洗澡、做饭等，施工人员住宿及办公采用租用当地民房的方式</w:t>
            </w:r>
            <w:r>
              <w:rPr>
                <w:rFonts w:hint="eastAsia" w:ascii="Times New Roman" w:hAnsi="Times New Roman" w:eastAsia="宋体" w:cs="Times New Roman"/>
                <w:color w:val="000000" w:themeColor="text1"/>
                <w:sz w:val="24"/>
                <w14:textFill>
                  <w14:solidFill>
                    <w14:schemeClr w14:val="tx1"/>
                  </w14:solidFill>
                </w14:textFill>
              </w:rPr>
              <w:t>，生活污水</w:t>
            </w:r>
            <w:r>
              <w:rPr>
                <w:color w:val="000000" w:themeColor="text1"/>
                <w:sz w:val="24"/>
                <w14:textFill>
                  <w14:solidFill>
                    <w14:schemeClr w14:val="tx1"/>
                  </w14:solidFill>
                </w14:textFill>
              </w:rPr>
              <w:t>依托</w:t>
            </w:r>
            <w:r>
              <w:rPr>
                <w:rFonts w:hint="eastAsia"/>
                <w:color w:val="000000" w:themeColor="text1"/>
                <w:sz w:val="24"/>
                <w14:textFill>
                  <w14:solidFill>
                    <w14:schemeClr w14:val="tx1"/>
                  </w14:solidFill>
                </w14:textFill>
              </w:rPr>
              <w:t>现有处理设施处理</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施工期产生的废水主要为施工废水</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冲洗车辆废水</w:t>
            </w:r>
            <w:r>
              <w:rPr>
                <w:rFonts w:hint="default" w:ascii="Times New Roman" w:hAnsi="Times New Roman" w:cs="Times New Roman"/>
                <w:color w:val="000000" w:themeColor="text1"/>
                <w:sz w:val="24"/>
                <w:lang w:val="en-US" w:eastAsia="zh-CN"/>
                <w14:textFill>
                  <w14:solidFill>
                    <w14:schemeClr w14:val="tx1"/>
                  </w14:solidFill>
                </w14:textFill>
              </w:rPr>
              <w:t>及</w:t>
            </w:r>
            <w:r>
              <w:rPr>
                <w:rFonts w:hint="default" w:ascii="Times New Roman" w:hAnsi="Times New Roman" w:eastAsia="宋体" w:cs="Times New Roman"/>
                <w:color w:val="000000" w:themeColor="text1"/>
                <w:sz w:val="24"/>
                <w:szCs w:val="24"/>
                <w14:textFill>
                  <w14:solidFill>
                    <w14:schemeClr w14:val="tx1"/>
                  </w14:solidFill>
                </w14:textFill>
              </w:rPr>
              <w:t>闭水试压废水</w:t>
            </w:r>
            <w:r>
              <w:rPr>
                <w:rFonts w:hint="default" w:ascii="Times New Roman" w:hAnsi="Times New Roman" w:cs="Times New Roman"/>
                <w:color w:val="000000" w:themeColor="text1"/>
                <w:sz w:val="24"/>
                <w14:textFill>
                  <w14:solidFill>
                    <w14:schemeClr w14:val="tx1"/>
                  </w14:solidFill>
                </w14:textFill>
              </w:rPr>
              <w:t>。</w:t>
            </w:r>
          </w:p>
          <w:p>
            <w:pPr>
              <w:pStyle w:val="13"/>
              <w:keepNext w:val="0"/>
              <w:keepLines w:val="0"/>
              <w:pageBreakBefore w:val="0"/>
              <w:widowControl w:val="0"/>
              <w:tabs>
                <w:tab w:val="center" w:pos="4662"/>
              </w:tabs>
              <w:kinsoku/>
              <w:wordWrap/>
              <w:overflowPunct/>
              <w:topLinePunct w:val="0"/>
              <w:autoSpaceDE/>
              <w:autoSpaceDN/>
              <w:bidi w:val="0"/>
              <w:adjustRightInd/>
              <w:snapToGrid/>
              <w:spacing w:after="0" w:afterLines="0" w:line="360" w:lineRule="auto"/>
              <w:ind w:left="0"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）施工废水</w:t>
            </w:r>
          </w:p>
          <w:p>
            <w:pPr>
              <w:pStyle w:val="13"/>
              <w:keepNext w:val="0"/>
              <w:keepLines w:val="0"/>
              <w:pageBreakBefore w:val="0"/>
              <w:widowControl w:val="0"/>
              <w:tabs>
                <w:tab w:val="center" w:pos="4662"/>
              </w:tabs>
              <w:kinsoku/>
              <w:wordWrap/>
              <w:overflowPunct/>
              <w:topLinePunct w:val="0"/>
              <w:autoSpaceDE/>
              <w:autoSpaceDN/>
              <w:bidi w:val="0"/>
              <w:adjustRightInd/>
              <w:snapToGrid/>
              <w:spacing w:after="0" w:afterLines="0" w:line="360" w:lineRule="auto"/>
              <w:ind w:left="0" w:leftChars="0"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施工废水主要有开挖、钻孔等产生的废水。施工废水中主要含有大量悬浮物、石油类。</w:t>
            </w:r>
            <w:r>
              <w:rPr>
                <w:rFonts w:hint="default" w:ascii="Times New Roman" w:hAnsi="Times New Roman" w:cs="Times New Roman"/>
                <w:color w:val="000000" w:themeColor="text1"/>
                <w:sz w:val="24"/>
                <w:lang w:val="en-US" w:eastAsia="zh-CN"/>
                <w14:textFill>
                  <w14:solidFill>
                    <w14:schemeClr w14:val="tx1"/>
                  </w14:solidFill>
                </w14:textFill>
              </w:rPr>
              <w:t>根据工程特点，</w:t>
            </w:r>
            <w:r>
              <w:rPr>
                <w:rFonts w:hint="default" w:ascii="Times New Roman" w:hAnsi="Times New Roman" w:cs="Times New Roman"/>
                <w:color w:val="000000" w:themeColor="text1"/>
                <w:sz w:val="24"/>
                <w14:textFill>
                  <w14:solidFill>
                    <w14:schemeClr w14:val="tx1"/>
                  </w14:solidFill>
                </w14:textFill>
              </w:rPr>
              <w:t>以上施工废水排放量约</w:t>
            </w:r>
            <w:r>
              <w:rPr>
                <w:rFonts w:hint="default" w:ascii="Times New Roman" w:hAnsi="Times New Roman" w:cs="Times New Roman"/>
                <w:color w:val="000000" w:themeColor="text1"/>
                <w:sz w:val="24"/>
                <w:lang w:val="en-US" w:eastAsia="zh-CN"/>
                <w14:textFill>
                  <w14:solidFill>
                    <w14:schemeClr w14:val="tx1"/>
                  </w14:solidFill>
                </w14:textFill>
              </w:rPr>
              <w:t>10</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/d，废水中污染物主要是SS以及少量石油类等，其中SS为500mg/L，排放量为</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kg/d，石油类为15mg/L，排放量为</w:t>
            </w:r>
            <w:r>
              <w:rPr>
                <w:rFonts w:hint="default" w:ascii="Times New Roman" w:hAnsi="Times New Roman" w:cs="Times New Roman"/>
                <w:color w:val="000000" w:themeColor="text1"/>
                <w:sz w:val="24"/>
                <w:lang w:val="en-US" w:eastAsia="zh-CN"/>
                <w14:textFill>
                  <w14:solidFill>
                    <w14:schemeClr w14:val="tx1"/>
                  </w14:solidFill>
                </w14:textFill>
              </w:rPr>
              <w:t>0.1</w:t>
            </w:r>
            <w:r>
              <w:rPr>
                <w:rFonts w:hint="default" w:ascii="Times New Roman" w:hAnsi="Times New Roman" w:cs="Times New Roman"/>
                <w:color w:val="000000" w:themeColor="text1"/>
                <w:sz w:val="24"/>
                <w14:textFill>
                  <w14:solidFill>
                    <w14:schemeClr w14:val="tx1"/>
                  </w14:solidFill>
                </w14:textFill>
              </w:rPr>
              <w:t>5kg/d</w:t>
            </w:r>
            <w:r>
              <w:rPr>
                <w:rFonts w:hint="default" w:ascii="Times New Roman" w:hAnsi="Times New Roman" w:cs="Times New Roman"/>
                <w:color w:val="000000" w:themeColor="text1"/>
                <w:sz w:val="24"/>
                <w:lang w:eastAsia="zh-CN"/>
                <w14:textFill>
                  <w14:solidFill>
                    <w14:schemeClr w14:val="tx1"/>
                  </w14:solidFill>
                </w14:textFill>
              </w:rPr>
              <w:t>。</w:t>
            </w:r>
          </w:p>
          <w:p>
            <w:pPr>
              <w:pStyle w:val="13"/>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）冲洗车辆废水</w:t>
            </w:r>
          </w:p>
          <w:p>
            <w:pPr>
              <w:pStyle w:val="13"/>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施工工地需在出入口铺设硬质路面或30mm的铁板，设置冲洗台、沉淀池、冲洗器具。出工地的车辆，必须先对车身、车底、车轮进行冲洗，主要污染因子为SS。根据同类施工场地类比，每辆每天施工车辆进出场地3次，参照《建筑给排水设计</w:t>
            </w:r>
            <w:r>
              <w:rPr>
                <w:rFonts w:hint="eastAsia" w:ascii="Times New Roman" w:hAnsi="Times New Roman" w:cs="Times New Roman"/>
                <w:color w:val="000000" w:themeColor="text1"/>
                <w:sz w:val="24"/>
                <w:lang w:val="en-US" w:eastAsia="zh-CN"/>
                <w14:textFill>
                  <w14:solidFill>
                    <w14:schemeClr w14:val="tx1"/>
                  </w14:solidFill>
                </w14:textFill>
              </w:rPr>
              <w:t>标准</w:t>
            </w:r>
            <w:r>
              <w:rPr>
                <w:rFonts w:hint="default" w:ascii="Times New Roman" w:hAnsi="Times New Roman" w:cs="Times New Roman"/>
                <w:color w:val="000000" w:themeColor="text1"/>
                <w:sz w:val="24"/>
                <w14:textFill>
                  <w14:solidFill>
                    <w14:schemeClr w14:val="tx1"/>
                  </w14:solidFill>
                </w14:textFill>
              </w:rPr>
              <w:t>》（GB50015-20</w:t>
            </w:r>
            <w:r>
              <w:rPr>
                <w:rFonts w:hint="eastAsia" w:ascii="Times New Roman" w:hAnsi="Times New Roman" w:cs="Times New Roman"/>
                <w:color w:val="000000" w:themeColor="text1"/>
                <w:sz w:val="24"/>
                <w:lang w:val="en-US" w:eastAsia="zh-CN"/>
                <w14:textFill>
                  <w14:solidFill>
                    <w14:schemeClr w14:val="tx1"/>
                  </w14:solidFill>
                </w14:textFill>
              </w:rPr>
              <w:t>19</w:t>
            </w:r>
            <w:r>
              <w:rPr>
                <w:rFonts w:hint="default" w:ascii="Times New Roman" w:hAnsi="Times New Roman" w:cs="Times New Roman"/>
                <w:color w:val="000000" w:themeColor="text1"/>
                <w:sz w:val="24"/>
                <w14:textFill>
                  <w14:solidFill>
                    <w14:schemeClr w14:val="tx1"/>
                  </w14:solidFill>
                </w14:textFill>
              </w:rPr>
              <w:t>），施工车辆用水见表</w:t>
            </w:r>
            <w:r>
              <w:rPr>
                <w:rFonts w:hint="eastAsia" w:cs="Times New Roman"/>
                <w:color w:val="000000" w:themeColor="text1"/>
                <w:sz w:val="24"/>
                <w:lang w:val="en-US" w:eastAsia="zh-CN"/>
                <w14:textFill>
                  <w14:solidFill>
                    <w14:schemeClr w14:val="tx1"/>
                  </w14:solidFill>
                </w14:textFill>
              </w:rPr>
              <w:t>4-5</w:t>
            </w:r>
            <w:r>
              <w:rPr>
                <w:rFonts w:hint="default" w:ascii="Times New Roman" w:hAnsi="Times New Roman" w:cs="Times New Roman"/>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表</w:t>
            </w:r>
            <w:r>
              <w:rPr>
                <w:rFonts w:hint="eastAsia" w:cs="Times New Roman"/>
                <w:b/>
                <w:bCs/>
                <w:color w:val="000000" w:themeColor="text1"/>
                <w:sz w:val="24"/>
                <w:lang w:val="en-US" w:eastAsia="zh-CN"/>
                <w14:textFill>
                  <w14:solidFill>
                    <w14:schemeClr w14:val="tx1"/>
                  </w14:solidFill>
                </w14:textFill>
              </w:rPr>
              <w:t>4</w:t>
            </w:r>
            <w:r>
              <w:rPr>
                <w:rFonts w:hint="default" w:ascii="Times New Roman" w:hAnsi="Times New Roman" w:cs="Times New Roman"/>
                <w:b/>
                <w:bCs/>
                <w:color w:val="000000" w:themeColor="text1"/>
                <w:sz w:val="24"/>
                <w:lang w:val="en-US" w:eastAsia="zh-CN"/>
                <w14:textFill>
                  <w14:solidFill>
                    <w14:schemeClr w14:val="tx1"/>
                  </w14:solidFill>
                </w14:textFill>
              </w:rPr>
              <w:t>-</w:t>
            </w:r>
            <w:r>
              <w:rPr>
                <w:rFonts w:hint="eastAsia" w:cs="Times New Roman"/>
                <w:b/>
                <w:bCs/>
                <w:color w:val="000000" w:themeColor="text1"/>
                <w:sz w:val="24"/>
                <w:lang w:val="en-US" w:eastAsia="zh-CN"/>
                <w14:textFill>
                  <w14:solidFill>
                    <w14:schemeClr w14:val="tx1"/>
                  </w14:solidFill>
                </w14:textFill>
              </w:rPr>
              <w:t>5</w:t>
            </w:r>
            <w:r>
              <w:rPr>
                <w:rFonts w:hint="default" w:ascii="Times New Roman" w:hAnsi="Times New Roman" w:cs="Times New Roman"/>
                <w:b/>
                <w:bCs/>
                <w:color w:val="000000" w:themeColor="text1"/>
                <w:sz w:val="24"/>
                <w14:textFill>
                  <w14:solidFill>
                    <w14:schemeClr w14:val="tx1"/>
                  </w14:solidFill>
                </w14:textFill>
              </w:rPr>
              <w:t xml:space="preserve">  车辆冲洗用水情况</w:t>
            </w:r>
          </w:p>
          <w:tbl>
            <w:tblPr>
              <w:tblStyle w:val="22"/>
              <w:tblW w:w="5000"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788"/>
              <w:gridCol w:w="1789"/>
              <w:gridCol w:w="2816"/>
              <w:gridCol w:w="1747"/>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9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内容</w:t>
                  </w:r>
                </w:p>
              </w:tc>
              <w:tc>
                <w:tcPr>
                  <w:tcW w:w="19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数量</w:t>
                  </w:r>
                </w:p>
              </w:tc>
              <w:tc>
                <w:tcPr>
                  <w:tcW w:w="30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循环用水冲洗补水（</w:t>
                  </w:r>
                  <w:r>
                    <w:rPr>
                      <w:rFonts w:hint="default" w:ascii="Times New Roman" w:hAnsi="Times New Roman" w:cs="Times New Roman"/>
                      <w:bCs/>
                      <w:color w:val="000000" w:themeColor="text1"/>
                      <w:sz w:val="21"/>
                      <w:szCs w:val="21"/>
                      <w14:textFill>
                        <w14:solidFill>
                          <w14:schemeClr w14:val="tx1"/>
                        </w14:solidFill>
                      </w14:textFill>
                    </w:rPr>
                    <w:t>L/辆·次</w:t>
                  </w:r>
                  <w:r>
                    <w:rPr>
                      <w:rFonts w:hint="default" w:ascii="Times New Roman" w:hAnsi="Times New Roman" w:cs="Times New Roman"/>
                      <w:color w:val="000000" w:themeColor="text1"/>
                      <w:sz w:val="21"/>
                      <w:szCs w:val="21"/>
                      <w14:textFill>
                        <w14:solidFill>
                          <w14:schemeClr w14:val="tx1"/>
                        </w14:solidFill>
                      </w14:textFill>
                    </w:rPr>
                    <w:t>）</w:t>
                  </w:r>
                </w:p>
              </w:tc>
              <w:tc>
                <w:tcPr>
                  <w:tcW w:w="18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用水量（</w:t>
                  </w:r>
                  <w:r>
                    <w:rPr>
                      <w:rFonts w:hint="default" w:ascii="Times New Roman" w:hAnsi="Times New Roman" w:cs="Times New Roman"/>
                      <w:snapToGrid w:val="0"/>
                      <w:color w:val="000000" w:themeColor="text1"/>
                      <w:kern w:val="0"/>
                      <w:sz w:val="21"/>
                      <w:szCs w:val="21"/>
                      <w14:textFill>
                        <w14:solidFill>
                          <w14:schemeClr w14:val="tx1"/>
                        </w14:solidFill>
                      </w14:textFill>
                    </w:rPr>
                    <w:t>m</w:t>
                  </w:r>
                  <w:r>
                    <w:rPr>
                      <w:rFonts w:hint="default" w:ascii="Times New Roman" w:hAnsi="Times New Roman" w:cs="Times New Roman"/>
                      <w:snapToGrid w:val="0"/>
                      <w:color w:val="000000" w:themeColor="text1"/>
                      <w:kern w:val="0"/>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/d）</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9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车辆冲洗</w:t>
                  </w:r>
                </w:p>
              </w:tc>
              <w:tc>
                <w:tcPr>
                  <w:tcW w:w="19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r>
                    <w:rPr>
                      <w:rFonts w:hint="default" w:ascii="Times New Roman" w:hAnsi="Times New Roman" w:cs="Times New Roman"/>
                      <w:color w:val="000000" w:themeColor="text1"/>
                      <w:sz w:val="21"/>
                      <w:szCs w:val="21"/>
                      <w:lang w:val="en-US" w:eastAsia="zh-CN"/>
                      <w14:textFill>
                        <w14:solidFill>
                          <w14:schemeClr w14:val="tx1"/>
                        </w14:solidFill>
                      </w14:textFill>
                    </w:rPr>
                    <w:t>0</w:t>
                  </w:r>
                  <w:r>
                    <w:rPr>
                      <w:rFonts w:hint="default" w:ascii="Times New Roman" w:hAnsi="Times New Roman" w:cs="Times New Roman"/>
                      <w:color w:val="000000" w:themeColor="text1"/>
                      <w:sz w:val="21"/>
                      <w:szCs w:val="21"/>
                      <w14:textFill>
                        <w14:solidFill>
                          <w14:schemeClr w14:val="tx1"/>
                        </w14:solidFill>
                      </w14:textFill>
                    </w:rPr>
                    <w:t>辆</w:t>
                  </w:r>
                </w:p>
              </w:tc>
              <w:tc>
                <w:tcPr>
                  <w:tcW w:w="30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60</w:t>
                  </w:r>
                </w:p>
              </w:tc>
              <w:tc>
                <w:tcPr>
                  <w:tcW w:w="18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5.4</w:t>
                  </w:r>
                </w:p>
              </w:tc>
            </w:tr>
          </w:tbl>
          <w:p>
            <w:pPr>
              <w:pStyle w:val="13"/>
              <w:keepNext w:val="0"/>
              <w:keepLines w:val="0"/>
              <w:pageBreakBefore w:val="0"/>
              <w:widowControl w:val="0"/>
              <w:tabs>
                <w:tab w:val="center" w:pos="4662"/>
              </w:tabs>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排污系数按0.8计，</w:t>
            </w:r>
            <w:r>
              <w:rPr>
                <w:rFonts w:hint="default" w:ascii="Times New Roman" w:hAnsi="Times New Roman" w:cs="Times New Roman"/>
                <w:color w:val="000000" w:themeColor="text1"/>
                <w:sz w:val="24"/>
                <w:lang w:val="en-US" w:eastAsia="zh-CN"/>
                <w14:textFill>
                  <w14:solidFill>
                    <w14:schemeClr w14:val="tx1"/>
                  </w14:solidFill>
                </w14:textFill>
              </w:rPr>
              <w:t>本</w:t>
            </w:r>
            <w:r>
              <w:rPr>
                <w:rFonts w:hint="default" w:ascii="Times New Roman" w:hAnsi="Times New Roman" w:cs="Times New Roman"/>
                <w:color w:val="000000" w:themeColor="text1"/>
                <w:sz w:val="24"/>
                <w14:textFill>
                  <w14:solidFill>
                    <w14:schemeClr w14:val="tx1"/>
                  </w14:solidFill>
                </w14:textFill>
              </w:rPr>
              <w:t>项目施工期冲洗车辆废水排放量约为</w:t>
            </w:r>
            <w:r>
              <w:rPr>
                <w:rFonts w:hint="default" w:ascii="Times New Roman" w:hAnsi="Times New Roman" w:cs="Times New Roman"/>
                <w:color w:val="000000" w:themeColor="text1"/>
                <w:sz w:val="24"/>
                <w:lang w:val="en-US" w:eastAsia="zh-CN"/>
                <w14:textFill>
                  <w14:solidFill>
                    <w14:schemeClr w14:val="tx1"/>
                  </w14:solidFill>
                </w14:textFill>
              </w:rPr>
              <w:t>4.32</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w:t>
            </w:r>
            <w:r>
              <w:rPr>
                <w:rFonts w:hint="default" w:ascii="Times New Roman" w:hAnsi="Times New Roman" w:cs="Times New Roman"/>
                <w:snapToGrid w:val="0"/>
                <w:color w:val="000000" w:themeColor="text1"/>
                <w:kern w:val="0"/>
                <w:sz w:val="24"/>
                <w14:textFill>
                  <w14:solidFill>
                    <w14:schemeClr w14:val="tx1"/>
                  </w14:solidFill>
                </w14:textFill>
              </w:rPr>
              <w:t>其中SS为500mg/L，排放量为</w:t>
            </w:r>
            <w:r>
              <w:rPr>
                <w:rFonts w:hint="default" w:ascii="Times New Roman" w:hAnsi="Times New Roman" w:cs="Times New Roman"/>
                <w:snapToGrid w:val="0"/>
                <w:color w:val="000000" w:themeColor="text1"/>
                <w:kern w:val="0"/>
                <w:sz w:val="24"/>
                <w:lang w:val="en-US" w:eastAsia="zh-CN"/>
                <w14:textFill>
                  <w14:solidFill>
                    <w14:schemeClr w14:val="tx1"/>
                  </w14:solidFill>
                </w14:textFill>
              </w:rPr>
              <w:t>2.16</w:t>
            </w:r>
            <w:r>
              <w:rPr>
                <w:rFonts w:hint="default" w:ascii="Times New Roman" w:hAnsi="Times New Roman" w:cs="Times New Roman"/>
                <w:snapToGrid w:val="0"/>
                <w:color w:val="000000" w:themeColor="text1"/>
                <w:kern w:val="0"/>
                <w:sz w:val="24"/>
                <w14:textFill>
                  <w14:solidFill>
                    <w14:schemeClr w14:val="tx1"/>
                  </w14:solidFill>
                </w14:textFill>
              </w:rPr>
              <w:t>kg/d，石油类为15mg/L，排放量为</w:t>
            </w:r>
            <w:r>
              <w:rPr>
                <w:rFonts w:hint="default" w:ascii="Times New Roman" w:hAnsi="Times New Roman" w:cs="Times New Roman"/>
                <w:snapToGrid w:val="0"/>
                <w:color w:val="000000" w:themeColor="text1"/>
                <w:kern w:val="0"/>
                <w:sz w:val="24"/>
                <w:lang w:val="en-US" w:eastAsia="zh-CN"/>
                <w14:textFill>
                  <w14:solidFill>
                    <w14:schemeClr w14:val="tx1"/>
                  </w14:solidFill>
                </w14:textFill>
              </w:rPr>
              <w:t>0.065</w:t>
            </w:r>
            <w:r>
              <w:rPr>
                <w:rFonts w:hint="default" w:ascii="Times New Roman" w:hAnsi="Times New Roman" w:cs="Times New Roman"/>
                <w:snapToGrid w:val="0"/>
                <w:color w:val="000000" w:themeColor="text1"/>
                <w:kern w:val="0"/>
                <w:sz w:val="24"/>
                <w14:textFill>
                  <w14:solidFill>
                    <w14:schemeClr w14:val="tx1"/>
                  </w14:solidFill>
                </w14:textFill>
              </w:rPr>
              <w:t>kg/d</w:t>
            </w:r>
            <w:r>
              <w:rPr>
                <w:rFonts w:hint="default" w:ascii="Times New Roman" w:hAnsi="Times New Roman" w:cs="Times New Roman"/>
                <w:color w:val="000000" w:themeColor="text1"/>
                <w:sz w:val="24"/>
                <w14:textFill>
                  <w14:solidFill>
                    <w14:schemeClr w14:val="tx1"/>
                  </w14:solidFill>
                </w14:textFill>
              </w:rPr>
              <w:t>。</w:t>
            </w:r>
          </w:p>
          <w:p>
            <w:pPr>
              <w:pStyle w:val="13"/>
              <w:keepNext w:val="0"/>
              <w:keepLines w:val="0"/>
              <w:pageBreakBefore w:val="0"/>
              <w:widowControl w:val="0"/>
              <w:tabs>
                <w:tab w:val="center" w:pos="4662"/>
              </w:tabs>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闭水试压废水</w:t>
            </w:r>
          </w:p>
          <w:p>
            <w:pPr>
              <w:pStyle w:val="13"/>
              <w:keepNext w:val="0"/>
              <w:keepLines w:val="0"/>
              <w:pageBreakBefore w:val="0"/>
              <w:widowControl w:val="0"/>
              <w:tabs>
                <w:tab w:val="center" w:pos="4662"/>
              </w:tabs>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管道铺设完成后需对管道进行闭水试压，试压用水为自来水</w:t>
            </w:r>
            <w:r>
              <w:rPr>
                <w:rFonts w:hint="default" w:ascii="Times New Roman" w:hAnsi="Times New Roman" w:cs="Times New Roman"/>
                <w:color w:val="000000" w:themeColor="text1"/>
                <w:sz w:val="24"/>
                <w:szCs w:val="21"/>
                <w:lang w:val="en-US" w:eastAsia="zh-CN"/>
                <w14:textFill>
                  <w14:solidFill>
                    <w14:schemeClr w14:val="tx1"/>
                  </w14:solidFill>
                </w14:textFill>
              </w:rPr>
              <w:t>，分段进行</w:t>
            </w:r>
            <w:r>
              <w:rPr>
                <w:rFonts w:hint="default" w:ascii="Times New Roman" w:hAnsi="Times New Roman" w:eastAsia="宋体" w:cs="Times New Roman"/>
                <w:color w:val="000000" w:themeColor="text1"/>
                <w:sz w:val="24"/>
                <w:szCs w:val="24"/>
                <w14:textFill>
                  <w14:solidFill>
                    <w14:schemeClr w14:val="tx1"/>
                  </w14:solidFill>
                </w14:textFill>
              </w:rPr>
              <w:t>。根据《给排水管道工程施工及验收规范》（GB50268-2008）及室外排水管道闭水试验的相关方法和要求，闭水试压按井段数量抽验1/3，单根管道长度不大于1km，按平均管径</w:t>
            </w:r>
            <w:r>
              <w:rPr>
                <w:rFonts w:hint="eastAsia"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00mm计算，预计</w:t>
            </w:r>
            <w:r>
              <w:rPr>
                <w:rFonts w:hint="eastAsia" w:eastAsia="宋体" w:cs="Times New Roman"/>
                <w:color w:val="000000" w:themeColor="text1"/>
                <w:sz w:val="24"/>
                <w:szCs w:val="24"/>
                <w:lang w:val="en-US" w:eastAsia="zh-CN"/>
                <w14:textFill>
                  <w14:solidFill>
                    <w14:schemeClr w14:val="tx1"/>
                  </w14:solidFill>
                </w14:textFill>
              </w:rPr>
              <w:t>各段</w:t>
            </w:r>
            <w:r>
              <w:rPr>
                <w:rFonts w:hint="default" w:ascii="Times New Roman" w:hAnsi="Times New Roman" w:eastAsia="宋体" w:cs="Times New Roman"/>
                <w:color w:val="000000" w:themeColor="text1"/>
                <w:sz w:val="24"/>
                <w:szCs w:val="24"/>
                <w14:textFill>
                  <w14:solidFill>
                    <w14:schemeClr w14:val="tx1"/>
                  </w14:solidFill>
                </w14:textFill>
              </w:rPr>
              <w:t>闭水试压用水量约为</w:t>
            </w:r>
            <w:r>
              <w:rPr>
                <w:rFonts w:hint="eastAsia" w:cs="Times New Roman"/>
                <w:color w:val="000000" w:themeColor="text1"/>
                <w:sz w:val="24"/>
                <w:szCs w:val="24"/>
                <w:lang w:val="en-US" w:eastAsia="zh-CN"/>
                <w14:textFill>
                  <w14:solidFill>
                    <w14:schemeClr w14:val="tx1"/>
                  </w14:solidFill>
                </w14:textFill>
              </w:rPr>
              <w:t>71</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，闭水试压废水中的污染物主要是少量SS</w:t>
            </w:r>
            <w:r>
              <w:rPr>
                <w:rFonts w:hint="default" w:ascii="Times New Roman" w:hAnsi="Times New Roman" w:cs="Times New Roman"/>
                <w:color w:val="000000" w:themeColor="text1"/>
                <w:sz w:val="24"/>
                <w:szCs w:val="24"/>
                <w:lang w:val="en-US"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噪声影响分析</w:t>
            </w:r>
          </w:p>
          <w:p>
            <w:pPr>
              <w:adjustRightInd w:val="0"/>
              <w:snapToGrid w:val="0"/>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14:textFill>
                  <w14:solidFill>
                    <w14:schemeClr w14:val="tx1"/>
                  </w14:solidFill>
                </w14:textFill>
              </w:rPr>
              <w:t>施工噪声源</w:t>
            </w:r>
          </w:p>
          <w:p>
            <w:pPr>
              <w:adjustRightInd w:val="0"/>
              <w:snapToGrid w:val="0"/>
              <w:spacing w:line="360" w:lineRule="auto"/>
              <w:ind w:firstLine="480" w:firstLineChars="200"/>
              <w:rPr>
                <w:rFonts w:hint="default" w:ascii="Times New Roman" w:hAnsi="Times New Roman" w:eastAsia="宋体" w:cs="Times New Roman"/>
                <w:b/>
                <w:bCs/>
                <w:color w:val="000000" w:themeColor="text1"/>
                <w:szCs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施工期噪声源主要是施工机械设备噪声和运输车辆运行噪声</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对声环境影响最大的是机械噪声，项目施工</w:t>
            </w:r>
            <w:r>
              <w:rPr>
                <w:rFonts w:hint="default" w:ascii="Times New Roman" w:hAnsi="Times New Roman" w:eastAsia="宋体" w:cs="Times New Roman"/>
                <w:bCs/>
                <w:color w:val="000000" w:themeColor="text1"/>
                <w:sz w:val="24"/>
                <w:szCs w:val="24"/>
                <w:lang w:eastAsia="zh-CN"/>
                <w14:textFill>
                  <w14:solidFill>
                    <w14:schemeClr w14:val="tx1"/>
                  </w14:solidFill>
                </w14:textFill>
              </w:rPr>
              <w:t>期</w:t>
            </w:r>
            <w:r>
              <w:rPr>
                <w:rFonts w:hint="default" w:ascii="Times New Roman" w:hAnsi="Times New Roman" w:eastAsia="宋体" w:cs="Times New Roman"/>
                <w:bCs/>
                <w:color w:val="000000" w:themeColor="text1"/>
                <w:sz w:val="24"/>
                <w:szCs w:val="24"/>
                <w14:textFill>
                  <w14:solidFill>
                    <w14:schemeClr w14:val="tx1"/>
                  </w14:solidFill>
                </w14:textFill>
              </w:rPr>
              <w:t>主要噪声源及</w:t>
            </w:r>
            <w:r>
              <w:rPr>
                <w:rFonts w:hint="default" w:ascii="Times New Roman" w:hAnsi="Times New Roman" w:eastAsia="宋体" w:cs="Times New Roman"/>
                <w:bCs/>
                <w:color w:val="000000" w:themeColor="text1"/>
                <w:sz w:val="24"/>
                <w:szCs w:val="24"/>
                <w:lang w:eastAsia="zh-CN"/>
                <w14:textFill>
                  <w14:solidFill>
                    <w14:schemeClr w14:val="tx1"/>
                  </w14:solidFill>
                </w14:textFill>
              </w:rPr>
              <w:t>噪声源强</w:t>
            </w:r>
            <w:r>
              <w:rPr>
                <w:rFonts w:hint="default" w:ascii="Times New Roman" w:hAnsi="Times New Roman" w:eastAsia="宋体" w:cs="Times New Roman"/>
                <w:bCs/>
                <w:color w:val="000000" w:themeColor="text1"/>
                <w:sz w:val="24"/>
                <w:szCs w:val="24"/>
                <w14:textFill>
                  <w14:solidFill>
                    <w14:schemeClr w14:val="tx1"/>
                  </w14:solidFill>
                </w14:textFill>
              </w:rPr>
              <w:t>见表</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4-</w:t>
            </w:r>
            <w:r>
              <w:rPr>
                <w:rFonts w:hint="eastAsia" w:cs="Times New Roman"/>
                <w:bCs/>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bCs/>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4-</w:t>
            </w:r>
            <w:r>
              <w:rPr>
                <w:rFonts w:hint="eastAsia" w:cs="Times New Roman"/>
                <w:b/>
                <w:bCs/>
                <w:color w:val="000000" w:themeColor="text1"/>
                <w:sz w:val="24"/>
                <w:szCs w:val="24"/>
                <w:lang w:val="en-US" w:eastAsia="zh-CN"/>
                <w14:textFill>
                  <w14:solidFill>
                    <w14:schemeClr w14:val="tx1"/>
                  </w14:solidFill>
                </w14:textFill>
              </w:rPr>
              <w:t xml:space="preserve">6 </w:t>
            </w:r>
            <w:r>
              <w:rPr>
                <w:rFonts w:hint="default" w:ascii="Times New Roman" w:hAnsi="Times New Roman" w:eastAsia="宋体" w:cs="Times New Roman"/>
                <w:b/>
                <w:bCs/>
                <w:color w:val="000000" w:themeColor="text1"/>
                <w:sz w:val="24"/>
                <w:szCs w:val="24"/>
                <w14:textFill>
                  <w14:solidFill>
                    <w14:schemeClr w14:val="tx1"/>
                  </w14:solidFill>
                </w14:textFill>
              </w:rPr>
              <w:t xml:space="preserve"> 各施工阶段主要噪声源   单位：dB（A）</w:t>
            </w:r>
          </w:p>
          <w:tbl>
            <w:tblPr>
              <w:tblStyle w:val="22"/>
              <w:tblW w:w="499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028"/>
              <w:gridCol w:w="2612"/>
              <w:gridCol w:w="349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5" w:hRule="atLeast"/>
                <w:jc w:val="center"/>
              </w:trPr>
              <w:tc>
                <w:tcPr>
                  <w:tcW w:w="12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序号</w:t>
                  </w:r>
                </w:p>
              </w:tc>
              <w:tc>
                <w:tcPr>
                  <w:tcW w:w="16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主要噪声源</w:t>
                  </w:r>
                </w:p>
              </w:tc>
              <w:tc>
                <w:tcPr>
                  <w:tcW w:w="21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噪声</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源强dB（A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5" w:hRule="atLeast"/>
                <w:jc w:val="center"/>
              </w:trPr>
              <w:tc>
                <w:tcPr>
                  <w:tcW w:w="2314" w:type="dxa"/>
                  <w:tcBorders>
                    <w:tl2br w:val="nil"/>
                    <w:tr2bl w:val="nil"/>
                  </w:tcBorders>
                  <w:noWrap w:val="0"/>
                  <w:vAlign w:val="center"/>
                </w:tcPr>
                <w:p>
                  <w:pPr>
                    <w:pStyle w:val="54"/>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w:t>
                  </w:r>
                </w:p>
              </w:tc>
              <w:tc>
                <w:tcPr>
                  <w:tcW w:w="16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装载机</w:t>
                  </w:r>
                </w:p>
              </w:tc>
              <w:tc>
                <w:tcPr>
                  <w:tcW w:w="21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75-85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5" w:hRule="atLeast"/>
                <w:jc w:val="center"/>
              </w:trPr>
              <w:tc>
                <w:tcPr>
                  <w:tcW w:w="2314" w:type="dxa"/>
                  <w:tcBorders>
                    <w:tl2br w:val="nil"/>
                    <w:tr2bl w:val="nil"/>
                  </w:tcBorders>
                  <w:noWrap w:val="0"/>
                  <w:vAlign w:val="center"/>
                </w:tcPr>
                <w:p>
                  <w:pPr>
                    <w:pStyle w:val="54"/>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w:t>
                  </w:r>
                </w:p>
              </w:tc>
              <w:tc>
                <w:tcPr>
                  <w:tcW w:w="16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挖掘机</w:t>
                  </w:r>
                </w:p>
              </w:tc>
              <w:tc>
                <w:tcPr>
                  <w:tcW w:w="21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bidi="ar-SA"/>
                      <w14:textFill>
                        <w14:solidFill>
                          <w14:schemeClr w14:val="tx1"/>
                        </w14:solidFill>
                      </w14:textFill>
                    </w:rPr>
                    <w:t>78-96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6" w:hRule="atLeast"/>
                <w:jc w:val="center"/>
              </w:trPr>
              <w:tc>
                <w:tcPr>
                  <w:tcW w:w="2314" w:type="dxa"/>
                  <w:tcBorders>
                    <w:tl2br w:val="nil"/>
                    <w:tr2bl w:val="nil"/>
                  </w:tcBorders>
                  <w:noWrap w:val="0"/>
                  <w:vAlign w:val="center"/>
                </w:tcPr>
                <w:p>
                  <w:pPr>
                    <w:pStyle w:val="54"/>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3</w:t>
                  </w:r>
                </w:p>
              </w:tc>
              <w:tc>
                <w:tcPr>
                  <w:tcW w:w="16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压路机</w:t>
                  </w:r>
                </w:p>
              </w:tc>
              <w:tc>
                <w:tcPr>
                  <w:tcW w:w="21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75-85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8" w:hRule="atLeast"/>
                <w:jc w:val="center"/>
              </w:trPr>
              <w:tc>
                <w:tcPr>
                  <w:tcW w:w="2314" w:type="dxa"/>
                  <w:tcBorders>
                    <w:tl2br w:val="nil"/>
                    <w:tr2bl w:val="nil"/>
                  </w:tcBorders>
                  <w:noWrap w:val="0"/>
                  <w:vAlign w:val="center"/>
                </w:tcPr>
                <w:p>
                  <w:pPr>
                    <w:pStyle w:val="54"/>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4</w:t>
                  </w:r>
                </w:p>
              </w:tc>
              <w:tc>
                <w:tcPr>
                  <w:tcW w:w="16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推土机</w:t>
                  </w:r>
                </w:p>
              </w:tc>
              <w:tc>
                <w:tcPr>
                  <w:tcW w:w="21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75-85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8" w:hRule="atLeast"/>
                <w:jc w:val="center"/>
              </w:trPr>
              <w:tc>
                <w:tcPr>
                  <w:tcW w:w="2314" w:type="dxa"/>
                  <w:tcBorders>
                    <w:tl2br w:val="nil"/>
                    <w:tr2bl w:val="nil"/>
                  </w:tcBorders>
                  <w:noWrap w:val="0"/>
                  <w:vAlign w:val="center"/>
                </w:tcPr>
                <w:p>
                  <w:pPr>
                    <w:pStyle w:val="54"/>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w:t>
                  </w:r>
                </w:p>
              </w:tc>
              <w:tc>
                <w:tcPr>
                  <w:tcW w:w="16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平地机</w:t>
                  </w:r>
                </w:p>
              </w:tc>
              <w:tc>
                <w:tcPr>
                  <w:tcW w:w="21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85-95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02" w:hRule="atLeast"/>
                <w:jc w:val="center"/>
              </w:trPr>
              <w:tc>
                <w:tcPr>
                  <w:tcW w:w="2314" w:type="dxa"/>
                  <w:tcBorders>
                    <w:tl2br w:val="nil"/>
                    <w:tr2bl w:val="nil"/>
                  </w:tcBorders>
                  <w:noWrap w:val="0"/>
                  <w:vAlign w:val="center"/>
                </w:tcPr>
                <w:p>
                  <w:pPr>
                    <w:pStyle w:val="54"/>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6</w:t>
                  </w:r>
                </w:p>
              </w:tc>
              <w:tc>
                <w:tcPr>
                  <w:tcW w:w="29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推铺机</w:t>
                  </w:r>
                </w:p>
              </w:tc>
              <w:tc>
                <w:tcPr>
                  <w:tcW w:w="21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75-85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8" w:hRule="atLeast"/>
                <w:jc w:val="center"/>
              </w:trPr>
              <w:tc>
                <w:tcPr>
                  <w:tcW w:w="2314" w:type="dxa"/>
                  <w:tcBorders>
                    <w:tl2br w:val="nil"/>
                    <w:tr2bl w:val="nil"/>
                  </w:tcBorders>
                  <w:noWrap w:val="0"/>
                  <w:vAlign w:val="center"/>
                </w:tcPr>
                <w:p>
                  <w:pPr>
                    <w:pStyle w:val="54"/>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7</w:t>
                  </w:r>
                </w:p>
              </w:tc>
              <w:tc>
                <w:tcPr>
                  <w:tcW w:w="29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打夯机</w:t>
                  </w:r>
                </w:p>
              </w:tc>
              <w:tc>
                <w:tcPr>
                  <w:tcW w:w="21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95-105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5" w:hRule="atLeast"/>
                <w:jc w:val="center"/>
              </w:trPr>
              <w:tc>
                <w:tcPr>
                  <w:tcW w:w="2314" w:type="dxa"/>
                  <w:tcBorders>
                    <w:tl2br w:val="nil"/>
                    <w:tr2bl w:val="nil"/>
                  </w:tcBorders>
                  <w:noWrap w:val="0"/>
                  <w:vAlign w:val="center"/>
                </w:tcPr>
                <w:p>
                  <w:pPr>
                    <w:pStyle w:val="54"/>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8</w:t>
                  </w:r>
                </w:p>
              </w:tc>
              <w:tc>
                <w:tcPr>
                  <w:tcW w:w="16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空压机</w:t>
                  </w:r>
                </w:p>
              </w:tc>
              <w:tc>
                <w:tcPr>
                  <w:tcW w:w="21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85-95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5" w:hRule="atLeast"/>
                <w:jc w:val="center"/>
              </w:trPr>
              <w:tc>
                <w:tcPr>
                  <w:tcW w:w="2314" w:type="dxa"/>
                  <w:tcBorders>
                    <w:tl2br w:val="nil"/>
                    <w:tr2bl w:val="nil"/>
                  </w:tcBorders>
                  <w:noWrap w:val="0"/>
                  <w:vAlign w:val="center"/>
                </w:tcPr>
                <w:p>
                  <w:pPr>
                    <w:pStyle w:val="54"/>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9</w:t>
                  </w:r>
                </w:p>
              </w:tc>
              <w:tc>
                <w:tcPr>
                  <w:tcW w:w="16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冲击式钻机</w:t>
                  </w:r>
                </w:p>
              </w:tc>
              <w:tc>
                <w:tcPr>
                  <w:tcW w:w="21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95-105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5" w:hRule="atLeast"/>
                <w:jc w:val="center"/>
              </w:trPr>
              <w:tc>
                <w:tcPr>
                  <w:tcW w:w="2314" w:type="dxa"/>
                  <w:tcBorders>
                    <w:tl2br w:val="nil"/>
                    <w:tr2bl w:val="nil"/>
                  </w:tcBorders>
                  <w:noWrap w:val="0"/>
                  <w:vAlign w:val="center"/>
                </w:tcPr>
                <w:p>
                  <w:pPr>
                    <w:pStyle w:val="54"/>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10</w:t>
                  </w:r>
                </w:p>
              </w:tc>
              <w:tc>
                <w:tcPr>
                  <w:tcW w:w="16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吊管机</w:t>
                  </w:r>
                </w:p>
              </w:tc>
              <w:tc>
                <w:tcPr>
                  <w:tcW w:w="21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75-85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5" w:hRule="atLeast"/>
                <w:jc w:val="center"/>
              </w:trPr>
              <w:tc>
                <w:tcPr>
                  <w:tcW w:w="2314" w:type="dxa"/>
                  <w:tcBorders>
                    <w:tl2br w:val="nil"/>
                    <w:tr2bl w:val="nil"/>
                  </w:tcBorders>
                  <w:noWrap w:val="0"/>
                  <w:vAlign w:val="center"/>
                </w:tcPr>
                <w:p>
                  <w:pPr>
                    <w:pStyle w:val="54"/>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11</w:t>
                  </w:r>
                </w:p>
              </w:tc>
              <w:tc>
                <w:tcPr>
                  <w:tcW w:w="16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载重汽车</w:t>
                  </w:r>
                </w:p>
              </w:tc>
              <w:tc>
                <w:tcPr>
                  <w:tcW w:w="21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75-85</w:t>
                  </w:r>
                </w:p>
              </w:tc>
            </w:tr>
          </w:tbl>
          <w:p>
            <w:pPr>
              <w:pStyle w:val="43"/>
              <w:keepNext w:val="0"/>
              <w:keepLines w:val="0"/>
              <w:pageBreakBefore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施工噪声影响分析</w:t>
            </w:r>
          </w:p>
          <w:p>
            <w:pPr>
              <w:pStyle w:val="43"/>
              <w:keepNext w:val="0"/>
              <w:keepLines w:val="0"/>
              <w:pageBreakBefore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drawing>
                <wp:anchor distT="0" distB="0" distL="114300" distR="114300" simplePos="0" relativeHeight="251666432" behindDoc="1" locked="0" layoutInCell="1" allowOverlap="1">
                  <wp:simplePos x="0" y="0"/>
                  <wp:positionH relativeFrom="page">
                    <wp:posOffset>1905635</wp:posOffset>
                  </wp:positionH>
                  <wp:positionV relativeFrom="page">
                    <wp:posOffset>3469640</wp:posOffset>
                  </wp:positionV>
                  <wp:extent cx="1333500" cy="409575"/>
                  <wp:effectExtent l="0" t="0" r="0" b="8890"/>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4"/>
                          <a:stretch>
                            <a:fillRect/>
                          </a:stretch>
                        </pic:blipFill>
                        <pic:spPr>
                          <a:xfrm>
                            <a:off x="0" y="0"/>
                            <a:ext cx="1333500" cy="409575"/>
                          </a:xfrm>
                          <a:prstGeom prst="rect">
                            <a:avLst/>
                          </a:prstGeom>
                          <a:noFill/>
                          <a:ln>
                            <a:noFill/>
                          </a:ln>
                        </pic:spPr>
                      </pic:pic>
                    </a:graphicData>
                  </a:graphic>
                </wp:anchor>
              </w:drawing>
            </w:r>
            <w:r>
              <w:rPr>
                <w:rFonts w:hint="default" w:ascii="Times New Roman" w:hAnsi="Times New Roman" w:cs="Times New Roman"/>
                <w:color w:val="000000" w:themeColor="text1"/>
                <w:lang w:eastAsia="zh-CN"/>
                <w14:textFill>
                  <w14:solidFill>
                    <w14:schemeClr w14:val="tx1"/>
                  </w14:solidFill>
                </w14:textFill>
              </w:rPr>
              <w:t>施工期集中使用的工程机械设备较多，以噪声源为中心，噪声传到不同距离处的强度值采用下式计算：</w:t>
            </w:r>
          </w:p>
          <w:p>
            <w:pPr>
              <w:pStyle w:val="43"/>
              <w:keepNext w:val="0"/>
              <w:keepLines w:val="0"/>
              <w:pageBreakBefore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cs="Times New Roman"/>
                <w:color w:val="000000" w:themeColor="text1"/>
                <w:lang w:eastAsia="zh-CN"/>
                <w14:textFill>
                  <w14:solidFill>
                    <w14:schemeClr w14:val="tx1"/>
                  </w14:solidFill>
                </w14:textFill>
              </w:rPr>
            </w:pPr>
          </w:p>
          <w:p>
            <w:pPr>
              <w:pStyle w:val="43"/>
              <w:keepNext w:val="0"/>
              <w:keepLines w:val="0"/>
              <w:pageBreakBefore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式中：L</w:t>
            </w:r>
            <w:r>
              <w:rPr>
                <w:rFonts w:hint="default" w:ascii="Times New Roman" w:hAnsi="Times New Roman" w:cs="Times New Roman"/>
                <w:color w:val="000000" w:themeColor="text1"/>
                <w:vertAlign w:val="subscript"/>
                <w:lang w:eastAsia="zh-CN"/>
                <w14:textFill>
                  <w14:solidFill>
                    <w14:schemeClr w14:val="tx1"/>
                  </w14:solidFill>
                </w14:textFill>
              </w:rPr>
              <w:t>P</w:t>
            </w:r>
            <w:r>
              <w:rPr>
                <w:rFonts w:hint="default" w:ascii="Times New Roman" w:hAnsi="Times New Roman" w:cs="Times New Roman"/>
                <w:color w:val="000000" w:themeColor="text1"/>
                <w:lang w:eastAsia="zh-CN"/>
                <w14:textFill>
                  <w14:solidFill>
                    <w14:schemeClr w14:val="tx1"/>
                  </w14:solidFill>
                </w14:textFill>
              </w:rPr>
              <w:t>—距声源r处的声压级；L</w:t>
            </w:r>
            <w:r>
              <w:rPr>
                <w:rFonts w:hint="eastAsia" w:ascii="Times New Roman" w:hAnsi="Times New Roman" w:cs="Times New Roman"/>
                <w:color w:val="000000" w:themeColor="text1"/>
                <w:vertAlign w:val="subscript"/>
                <w:lang w:val="en-US" w:eastAsia="zh-CN"/>
                <w14:textFill>
                  <w14:solidFill>
                    <w14:schemeClr w14:val="tx1"/>
                  </w14:solidFill>
                </w14:textFill>
              </w:rPr>
              <w:t>0</w:t>
            </w:r>
            <w:r>
              <w:rPr>
                <w:rFonts w:hint="default" w:ascii="Times New Roman" w:hAnsi="Times New Roman" w:cs="Times New Roman"/>
                <w:color w:val="000000" w:themeColor="text1"/>
                <w:lang w:eastAsia="zh-CN"/>
                <w14:textFill>
                  <w14:solidFill>
                    <w14:schemeClr w14:val="tx1"/>
                  </w14:solidFill>
                </w14:textFill>
              </w:rPr>
              <w:t>—距声源r</w:t>
            </w:r>
            <w:r>
              <w:rPr>
                <w:rFonts w:hint="eastAsia" w:ascii="Times New Roman" w:hAnsi="Times New Roman" w:cs="Times New Roman"/>
                <w:color w:val="000000" w:themeColor="text1"/>
                <w:vertAlign w:val="subscript"/>
                <w:lang w:val="en-US" w:eastAsia="zh-CN"/>
                <w14:textFill>
                  <w14:solidFill>
                    <w14:schemeClr w14:val="tx1"/>
                  </w14:solidFill>
                </w14:textFill>
              </w:rPr>
              <w:t>0</w:t>
            </w:r>
            <w:r>
              <w:rPr>
                <w:rFonts w:hint="default" w:ascii="Times New Roman" w:hAnsi="Times New Roman" w:cs="Times New Roman"/>
                <w:color w:val="000000" w:themeColor="text1"/>
                <w:lang w:eastAsia="zh-CN"/>
                <w14:textFill>
                  <w14:solidFill>
                    <w14:schemeClr w14:val="tx1"/>
                  </w14:solidFill>
                </w14:textFill>
              </w:rPr>
              <w:t>处的声压级。</w:t>
            </w:r>
          </w:p>
          <w:p>
            <w:pPr>
              <w:pStyle w:val="43"/>
              <w:keepNext w:val="0"/>
              <w:keepLines w:val="0"/>
              <w:pageBreakBefore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施工期一般为露天作业，而且场地内设备大多属于移动声源，要准确预测施工场地各厂界噪声值较困难，因此本评价只预测各噪声源单独作业时的超标范围，详见表</w:t>
            </w:r>
            <w:r>
              <w:rPr>
                <w:rFonts w:hint="default" w:ascii="Times New Roman" w:hAnsi="Times New Roman" w:cs="Times New Roman"/>
                <w:color w:val="000000" w:themeColor="text1"/>
                <w:lang w:val="en-US" w:eastAsia="zh-CN"/>
                <w14:textFill>
                  <w14:solidFill>
                    <w14:schemeClr w14:val="tx1"/>
                  </w14:solidFill>
                </w14:textFill>
              </w:rPr>
              <w:t>4-</w:t>
            </w:r>
            <w:r>
              <w:rPr>
                <w:rFonts w:hint="eastAsia"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lang w:eastAsia="zh-CN"/>
                <w14:textFill>
                  <w14:solidFill>
                    <w14:schemeClr w14:val="tx1"/>
                  </w14:solidFill>
                </w14:textFill>
              </w:rPr>
              <w:t>所示。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lang w:val="zh-CN"/>
                <w14:textFill>
                  <w14:solidFill>
                    <w14:schemeClr w14:val="tx1"/>
                  </w14:solidFill>
                </w14:textFill>
              </w:rPr>
            </w:pPr>
            <w:r>
              <w:rPr>
                <w:rFonts w:hint="default" w:ascii="Times New Roman" w:hAnsi="Times New Roman" w:eastAsia="宋体" w:cs="Times New Roman"/>
                <w:b/>
                <w:bCs/>
                <w:color w:val="000000" w:themeColor="text1"/>
                <w:sz w:val="24"/>
                <w:szCs w:val="24"/>
                <w:lang w:val="zh-CN"/>
                <w14:textFill>
                  <w14:solidFill>
                    <w14:schemeClr w14:val="tx1"/>
                  </w14:solidFill>
                </w14:textFill>
              </w:rPr>
              <w:t>表</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4-</w:t>
            </w:r>
            <w:r>
              <w:rPr>
                <w:rFonts w:hint="eastAsia" w:cs="Times New Roman"/>
                <w:b/>
                <w:bCs/>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szCs w:val="24"/>
                <w:lang w:val="zh-CN"/>
                <w14:textFill>
                  <w14:solidFill>
                    <w14:schemeClr w14:val="tx1"/>
                  </w14:solidFill>
                </w14:textFill>
              </w:rPr>
              <w:t xml:space="preserve">  施工机械环境噪声源及噪声影响预测结果表</w:t>
            </w:r>
          </w:p>
          <w:tbl>
            <w:tblPr>
              <w:tblStyle w:val="22"/>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55"/>
              <w:gridCol w:w="648"/>
              <w:gridCol w:w="648"/>
              <w:gridCol w:w="648"/>
              <w:gridCol w:w="648"/>
              <w:gridCol w:w="648"/>
              <w:gridCol w:w="648"/>
              <w:gridCol w:w="648"/>
              <w:gridCol w:w="648"/>
              <w:gridCol w:w="681"/>
              <w:gridCol w:w="555"/>
              <w:gridCol w:w="66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blHeader/>
                <w:jc w:val="center"/>
              </w:trPr>
              <w:tc>
                <w:tcPr>
                  <w:tcW w:w="64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bookmarkStart w:id="4" w:name="_Toc309825995"/>
                  <w:r>
                    <w:rPr>
                      <w:rFonts w:hint="default" w:ascii="Times New Roman" w:hAnsi="Times New Roman" w:eastAsia="宋体" w:cs="Times New Roman"/>
                      <w:b w:val="0"/>
                      <w:bCs/>
                      <w:color w:val="000000" w:themeColor="text1"/>
                      <w:sz w:val="21"/>
                      <w:szCs w:val="21"/>
                      <w14:textFill>
                        <w14:solidFill>
                          <w14:schemeClr w14:val="tx1"/>
                        </w14:solidFill>
                      </w14:textFill>
                    </w:rPr>
                    <w:t>设备名称</w:t>
                  </w:r>
                </w:p>
              </w:tc>
              <w:tc>
                <w:tcPr>
                  <w:tcW w:w="3602" w:type="pct"/>
                  <w:gridSpan w:val="9"/>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距离</w:t>
                  </w:r>
                </w:p>
              </w:tc>
              <w:tc>
                <w:tcPr>
                  <w:tcW w:w="74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达标距离</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blHeader/>
                <w:jc w:val="center"/>
              </w:trPr>
              <w:tc>
                <w:tcPr>
                  <w:tcW w:w="6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1m</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5m</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10m</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20m</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40m</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60m</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80m</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100m</w:t>
                  </w:r>
                </w:p>
              </w:tc>
              <w:tc>
                <w:tcPr>
                  <w:tcW w:w="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20</w:t>
                  </w:r>
                  <w:r>
                    <w:rPr>
                      <w:rFonts w:hint="default" w:ascii="Times New Roman" w:hAnsi="Times New Roman" w:eastAsia="宋体" w:cs="Times New Roman"/>
                      <w:b w:val="0"/>
                      <w:bCs/>
                      <w:color w:val="000000" w:themeColor="text1"/>
                      <w:sz w:val="21"/>
                      <w:szCs w:val="21"/>
                      <w14:textFill>
                        <w14:solidFill>
                          <w14:schemeClr w14:val="tx1"/>
                        </w14:solidFill>
                      </w14:textFill>
                    </w:rPr>
                    <w:t>0m</w:t>
                  </w:r>
                </w:p>
              </w:tc>
              <w:tc>
                <w:tcPr>
                  <w:tcW w:w="3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昼间</w:t>
                  </w:r>
                </w:p>
              </w:tc>
              <w:tc>
                <w:tcPr>
                  <w:tcW w:w="4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夜间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blHeader/>
                <w:jc w:val="center"/>
              </w:trPr>
              <w:tc>
                <w:tcPr>
                  <w:tcW w:w="6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装载机</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80</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66</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60</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54</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48</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44</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42</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40</w:t>
                  </w:r>
                </w:p>
              </w:tc>
              <w:tc>
                <w:tcPr>
                  <w:tcW w:w="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34</w:t>
                  </w:r>
                </w:p>
              </w:tc>
              <w:tc>
                <w:tcPr>
                  <w:tcW w:w="3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10</w:t>
                  </w:r>
                </w:p>
              </w:tc>
              <w:tc>
                <w:tcPr>
                  <w:tcW w:w="4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32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挖掘机</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85</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71</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65</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59</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53</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49</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47</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45</w:t>
                  </w:r>
                </w:p>
              </w:tc>
              <w:tc>
                <w:tcPr>
                  <w:tcW w:w="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39</w:t>
                  </w:r>
                </w:p>
              </w:tc>
              <w:tc>
                <w:tcPr>
                  <w:tcW w:w="3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18</w:t>
                  </w:r>
                </w:p>
              </w:tc>
              <w:tc>
                <w:tcPr>
                  <w:tcW w:w="4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57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压路机</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80</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66</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60</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54</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48</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44</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42</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40</w:t>
                  </w:r>
                </w:p>
              </w:tc>
              <w:tc>
                <w:tcPr>
                  <w:tcW w:w="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34</w:t>
                  </w:r>
                </w:p>
              </w:tc>
              <w:tc>
                <w:tcPr>
                  <w:tcW w:w="3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10</w:t>
                  </w:r>
                </w:p>
              </w:tc>
              <w:tc>
                <w:tcPr>
                  <w:tcW w:w="4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32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推土机</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80</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66</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60</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54</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48</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44</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42</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40</w:t>
                  </w:r>
                </w:p>
              </w:tc>
              <w:tc>
                <w:tcPr>
                  <w:tcW w:w="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34</w:t>
                  </w:r>
                </w:p>
              </w:tc>
              <w:tc>
                <w:tcPr>
                  <w:tcW w:w="3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10</w:t>
                  </w:r>
                </w:p>
              </w:tc>
              <w:tc>
                <w:tcPr>
                  <w:tcW w:w="4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32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平地机</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90</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75</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70</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64</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58</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54</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52</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50</w:t>
                  </w:r>
                </w:p>
              </w:tc>
              <w:tc>
                <w:tcPr>
                  <w:tcW w:w="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44</w:t>
                  </w:r>
                </w:p>
              </w:tc>
              <w:tc>
                <w:tcPr>
                  <w:tcW w:w="3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32</w:t>
                  </w:r>
                </w:p>
              </w:tc>
              <w:tc>
                <w:tcPr>
                  <w:tcW w:w="4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100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推铺机</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80</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66</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60</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54</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48</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44</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42</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40</w:t>
                  </w:r>
                </w:p>
              </w:tc>
              <w:tc>
                <w:tcPr>
                  <w:tcW w:w="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34</w:t>
                  </w:r>
                </w:p>
              </w:tc>
              <w:tc>
                <w:tcPr>
                  <w:tcW w:w="3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10</w:t>
                  </w:r>
                </w:p>
              </w:tc>
              <w:tc>
                <w:tcPr>
                  <w:tcW w:w="4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32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打夯机</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95</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80</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75</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69</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63</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59</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57</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55</w:t>
                  </w:r>
                </w:p>
              </w:tc>
              <w:tc>
                <w:tcPr>
                  <w:tcW w:w="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49</w:t>
                  </w:r>
                </w:p>
              </w:tc>
              <w:tc>
                <w:tcPr>
                  <w:tcW w:w="3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57</w:t>
                  </w:r>
                </w:p>
              </w:tc>
              <w:tc>
                <w:tcPr>
                  <w:tcW w:w="4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178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空压机</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90</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75</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70</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64</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58</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54</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52</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50</w:t>
                  </w:r>
                </w:p>
              </w:tc>
              <w:tc>
                <w:tcPr>
                  <w:tcW w:w="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44</w:t>
                  </w:r>
                </w:p>
              </w:tc>
              <w:tc>
                <w:tcPr>
                  <w:tcW w:w="3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32</w:t>
                  </w:r>
                </w:p>
              </w:tc>
              <w:tc>
                <w:tcPr>
                  <w:tcW w:w="4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100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冲击式钻机</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95</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80</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75</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69</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63</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59</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57</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55</w:t>
                  </w:r>
                </w:p>
              </w:tc>
              <w:tc>
                <w:tcPr>
                  <w:tcW w:w="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49</w:t>
                  </w:r>
                </w:p>
              </w:tc>
              <w:tc>
                <w:tcPr>
                  <w:tcW w:w="3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57</w:t>
                  </w:r>
                </w:p>
              </w:tc>
              <w:tc>
                <w:tcPr>
                  <w:tcW w:w="4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178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吊管机</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80</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66</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60</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54</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48</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44</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42</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40</w:t>
                  </w:r>
                </w:p>
              </w:tc>
              <w:tc>
                <w:tcPr>
                  <w:tcW w:w="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34</w:t>
                  </w:r>
                </w:p>
              </w:tc>
              <w:tc>
                <w:tcPr>
                  <w:tcW w:w="3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10</w:t>
                  </w:r>
                </w:p>
              </w:tc>
              <w:tc>
                <w:tcPr>
                  <w:tcW w:w="4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32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载重汽车</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80</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66</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60</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54</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48</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44</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42</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40</w:t>
                  </w:r>
                </w:p>
              </w:tc>
              <w:tc>
                <w:tcPr>
                  <w:tcW w:w="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34</w:t>
                  </w:r>
                </w:p>
              </w:tc>
              <w:tc>
                <w:tcPr>
                  <w:tcW w:w="3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10</w:t>
                  </w:r>
                </w:p>
              </w:tc>
              <w:tc>
                <w:tcPr>
                  <w:tcW w:w="4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32</w:t>
                  </w:r>
                </w:p>
              </w:tc>
            </w:tr>
            <w:bookmarkEnd w:id="4"/>
          </w:tbl>
          <w:p>
            <w:pPr>
              <w:pStyle w:val="43"/>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由于施工机械一般都被布置在施工场地内距场界15-30m的地段，由上表可知，项目施工过程中工程沿线两侧噪声值均有不同程度超标现象。</w:t>
            </w:r>
          </w:p>
          <w:p>
            <w:pPr>
              <w:pStyle w:val="43"/>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施工噪声对周围敏感点的影响分析</w:t>
            </w:r>
          </w:p>
          <w:p>
            <w:pPr>
              <w:pStyle w:val="43"/>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本项目施工时平地机、打夯机和空压机等设备近距离噪声较大对周围环境影响较大。在落实本</w:t>
            </w:r>
            <w:r>
              <w:rPr>
                <w:rFonts w:hint="eastAsia" w:ascii="Times New Roman" w:hAnsi="Times New Roman" w:cs="Times New Roman"/>
                <w:color w:val="000000" w:themeColor="text1"/>
                <w:lang w:val="en-US" w:eastAsia="zh-CN"/>
                <w14:textFill>
                  <w14:solidFill>
                    <w14:schemeClr w14:val="tx1"/>
                  </w14:solidFill>
                </w14:textFill>
              </w:rPr>
              <w:t>评价</w:t>
            </w:r>
            <w:r>
              <w:rPr>
                <w:rFonts w:hint="default" w:ascii="Times New Roman" w:hAnsi="Times New Roman" w:cs="Times New Roman"/>
                <w:color w:val="000000" w:themeColor="text1"/>
                <w:lang w:eastAsia="zh-CN"/>
                <w14:textFill>
                  <w14:solidFill>
                    <w14:schemeClr w14:val="tx1"/>
                  </w14:solidFill>
                </w14:textFill>
              </w:rPr>
              <w:t>提出的各项减轻施工噪声影响的措施的前提下，可以将施工噪声控制在可接受的范围内。</w:t>
            </w:r>
          </w:p>
          <w:p>
            <w:pPr>
              <w:pStyle w:val="43"/>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交通运输噪声</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施工车辆噪声属于交通运输噪声，对施工车辆进行规范管理之后，施工车辆噪声可降至50</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60dB（A）。</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据现场调查结果可知，工程区基本位于农村地区，工程周围地势较为开阔、村庄规模较小，</w:t>
            </w:r>
            <w:r>
              <w:rPr>
                <w:rFonts w:hint="eastAsia" w:ascii="Times New Roman" w:hAnsi="Times New Roman" w:cs="Times New Roman"/>
                <w:color w:val="000000" w:themeColor="text1"/>
                <w:sz w:val="24"/>
                <w:lang w:val="en-US" w:eastAsia="zh-CN"/>
                <w14:textFill>
                  <w14:solidFill>
                    <w14:schemeClr w14:val="tx1"/>
                  </w14:solidFill>
                </w14:textFill>
              </w:rPr>
              <w:t>且本项目</w:t>
            </w:r>
            <w:r>
              <w:rPr>
                <w:rFonts w:hint="default" w:ascii="Times New Roman" w:hAnsi="Times New Roman" w:cs="Times New Roman"/>
                <w:color w:val="000000" w:themeColor="text1"/>
                <w:sz w:val="24"/>
                <w14:textFill>
                  <w14:solidFill>
                    <w14:schemeClr w14:val="tx1"/>
                  </w14:solidFill>
                </w14:textFill>
              </w:rPr>
              <w:t>管道工程属于线性工程</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局部地段的施工周期较短，施工产生的噪声只是短时对局部环境造成影响</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工程流动噪声的总体影响较小，随工程结束，噪声随即消失。</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固体废物影响分析</w:t>
            </w:r>
          </w:p>
          <w:p>
            <w:pPr>
              <w:pStyle w:val="13"/>
              <w:keepNext w:val="0"/>
              <w:keepLines w:val="0"/>
              <w:pageBreakBefore w:val="0"/>
              <w:tabs>
                <w:tab w:val="center" w:pos="4662"/>
              </w:tabs>
              <w:kinsoku/>
              <w:wordWrap/>
              <w:overflowPunct/>
              <w:topLinePunct w:val="0"/>
              <w:autoSpaceDE/>
              <w:autoSpaceDN/>
              <w:bidi w:val="0"/>
              <w:adjustRightInd/>
              <w:snapToGrid/>
              <w:spacing w:after="0" w:afterLines="0" w:line="360" w:lineRule="auto"/>
              <w:ind w:left="0"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本项目施工过程中固废主要为施工人员生活垃圾，建筑垃圾</w:t>
            </w:r>
            <w:r>
              <w:rPr>
                <w:rFonts w:hint="default" w:ascii="Times New Roman" w:hAnsi="Times New Roman" w:cs="Times New Roman"/>
                <w:color w:val="000000" w:themeColor="text1"/>
                <w:sz w:val="24"/>
                <w:lang w:val="en-US" w:eastAsia="zh-CN"/>
                <w14:textFill>
                  <w14:solidFill>
                    <w14:schemeClr w14:val="tx1"/>
                  </w14:solidFill>
                </w14:textFill>
              </w:rPr>
              <w:t>及</w:t>
            </w:r>
            <w:r>
              <w:rPr>
                <w:rFonts w:hint="default" w:ascii="Times New Roman" w:hAnsi="Times New Roman" w:cs="Times New Roman"/>
                <w:color w:val="000000" w:themeColor="text1"/>
                <w:sz w:val="24"/>
                <w14:textFill>
                  <w14:solidFill>
                    <w14:schemeClr w14:val="tx1"/>
                  </w14:solidFill>
                </w14:textFill>
              </w:rPr>
              <w:t>废弃的包装材料、包装桶</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含油废渣、施工机械废机油</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废弃泥浆和钻屑</w:t>
            </w:r>
            <w:r>
              <w:rPr>
                <w:rFonts w:hint="default" w:ascii="Times New Roman" w:hAnsi="Times New Roman" w:cs="Times New Roman"/>
                <w:color w:val="000000" w:themeColor="text1"/>
                <w:sz w:val="24"/>
                <w14:textFill>
                  <w14:solidFill>
                    <w14:schemeClr w14:val="tx1"/>
                  </w14:solidFill>
                </w14:textFill>
              </w:rPr>
              <w:t>。</w:t>
            </w:r>
          </w:p>
          <w:p>
            <w:pPr>
              <w:pStyle w:val="13"/>
              <w:keepNext w:val="0"/>
              <w:keepLines w:val="0"/>
              <w:pageBreakBefore w:val="0"/>
              <w:tabs>
                <w:tab w:val="center" w:pos="4662"/>
              </w:tabs>
              <w:kinsoku/>
              <w:wordWrap/>
              <w:overflowPunct/>
              <w:topLinePunct w:val="0"/>
              <w:autoSpaceDE/>
              <w:autoSpaceDN/>
              <w:bidi w:val="0"/>
              <w:adjustRightInd/>
              <w:snapToGrid/>
              <w:spacing w:after="0" w:afterLines="0" w:line="360" w:lineRule="auto"/>
              <w:ind w:left="0"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1）生活垃圾</w:t>
            </w:r>
          </w:p>
          <w:p>
            <w:pPr>
              <w:pStyle w:val="13"/>
              <w:keepNext w:val="0"/>
              <w:keepLines w:val="0"/>
              <w:pageBreakBefore w:val="0"/>
              <w:tabs>
                <w:tab w:val="center" w:pos="4662"/>
              </w:tabs>
              <w:kinsoku/>
              <w:wordWrap/>
              <w:overflowPunct/>
              <w:topLinePunct w:val="0"/>
              <w:autoSpaceDE/>
              <w:autoSpaceDN/>
              <w:bidi w:val="0"/>
              <w:adjustRightInd/>
              <w:snapToGrid/>
              <w:spacing w:after="0" w:afterLines="0" w:line="360" w:lineRule="auto"/>
              <w:ind w:left="0" w:leftChars="0" w:firstLine="480" w:firstLineChars="200"/>
              <w:textAlignment w:val="auto"/>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施工人员的生活垃圾按0.5kg/人·d计，本项目施工人员约</w:t>
            </w:r>
            <w:r>
              <w:rPr>
                <w:rFonts w:hint="eastAsia"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0人，则生活垃圾产生量为</w:t>
            </w:r>
            <w:r>
              <w:rPr>
                <w:rFonts w:hint="eastAsia" w:cs="Times New Roman"/>
                <w:color w:val="000000" w:themeColor="text1"/>
                <w:sz w:val="24"/>
                <w:lang w:val="en-US" w:eastAsia="zh-CN"/>
                <w14:textFill>
                  <w14:solidFill>
                    <w14:schemeClr w14:val="tx1"/>
                  </w14:solidFill>
                </w14:textFill>
              </w:rPr>
              <w:t>25</w:t>
            </w:r>
            <w:r>
              <w:rPr>
                <w:rFonts w:hint="default" w:ascii="Times New Roman" w:hAnsi="Times New Roman" w:cs="Times New Roman"/>
                <w:color w:val="000000" w:themeColor="text1"/>
                <w:sz w:val="24"/>
                <w14:textFill>
                  <w14:solidFill>
                    <w14:schemeClr w14:val="tx1"/>
                  </w14:solidFill>
                </w14:textFill>
              </w:rPr>
              <w:t>kg/d。</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收集到指定的</w:t>
            </w:r>
            <w:r>
              <w:rPr>
                <w:rFonts w:hint="eastAsia"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加盖</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垃圾箱（筒）内，由环卫部门统一及时处理</w:t>
            </w:r>
            <w:r>
              <w:rPr>
                <w:rFonts w:hint="eastAsia" w:ascii="Times New Roman" w:hAnsi="Times New Roman" w:eastAsia="宋体" w:cs="Times New Roman"/>
                <w:b w:val="0"/>
                <w:bCs w:val="0"/>
                <w:color w:val="000000" w:themeColor="text1"/>
                <w:kern w:val="0"/>
                <w:sz w:val="24"/>
                <w:szCs w:val="24"/>
                <w:lang w:eastAsia="zh-CN"/>
                <w14:textFill>
                  <w14:solidFill>
                    <w14:schemeClr w14:val="tx1"/>
                  </w14:solidFill>
                </w14:textFill>
              </w:rPr>
              <w:t>。</w:t>
            </w:r>
          </w:p>
          <w:p>
            <w:pPr>
              <w:pStyle w:val="13"/>
              <w:keepNext w:val="0"/>
              <w:keepLines w:val="0"/>
              <w:pageBreakBefore w:val="0"/>
              <w:tabs>
                <w:tab w:val="center" w:pos="4662"/>
              </w:tabs>
              <w:kinsoku/>
              <w:wordWrap/>
              <w:overflowPunct/>
              <w:topLinePunct w:val="0"/>
              <w:autoSpaceDE/>
              <w:autoSpaceDN/>
              <w:bidi w:val="0"/>
              <w:adjustRightInd/>
              <w:snapToGrid/>
              <w:spacing w:after="0" w:afterLines="0" w:line="360" w:lineRule="auto"/>
              <w:ind w:left="0"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）建筑垃圾</w:t>
            </w:r>
          </w:p>
          <w:p>
            <w:pPr>
              <w:pStyle w:val="13"/>
              <w:keepNext w:val="0"/>
              <w:keepLines w:val="0"/>
              <w:pageBreakBefore w:val="0"/>
              <w:tabs>
                <w:tab w:val="center" w:pos="4662"/>
              </w:tabs>
              <w:kinsoku/>
              <w:wordWrap/>
              <w:overflowPunct/>
              <w:topLinePunct w:val="0"/>
              <w:autoSpaceDE/>
              <w:autoSpaceDN/>
              <w:bidi w:val="0"/>
              <w:adjustRightInd/>
              <w:snapToGrid/>
              <w:spacing w:after="0" w:afterLines="0" w:line="360" w:lineRule="auto"/>
              <w:ind w:left="0"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施工过程中会产生一定量建筑垃圾，主要为废弃的砂石、管材等，不含有毒物质。根据《建筑垃圾的产生与循环利用管理》（陈俊，何晶晶等人，同济大学，污染控制与资源化研究国家重点实验室），新建建筑物的建筑垃圾产生量为20-50kg/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（鉴于本项目工程量较小，故取30kg/m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计算），本项目共产生建筑垃圾</w:t>
            </w:r>
            <w:r>
              <w:rPr>
                <w:rFonts w:hint="eastAsia" w:ascii="Times New Roman" w:hAnsi="Times New Roman" w:cs="Times New Roman"/>
                <w:color w:val="000000" w:themeColor="text1"/>
                <w:sz w:val="24"/>
                <w:lang w:val="en-US" w:eastAsia="zh-CN"/>
                <w14:textFill>
                  <w14:solidFill>
                    <w14:schemeClr w14:val="tx1"/>
                  </w14:solidFill>
                </w14:textFill>
              </w:rPr>
              <w:t>184.61</w:t>
            </w:r>
            <w:r>
              <w:rPr>
                <w:rFonts w:hint="default" w:ascii="Times New Roman" w:hAnsi="Times New Roman" w:cs="Times New Roman"/>
                <w:color w:val="000000" w:themeColor="text1"/>
                <w:sz w:val="24"/>
                <w14:textFill>
                  <w14:solidFill>
                    <w14:schemeClr w14:val="tx1"/>
                  </w14:solidFill>
                </w14:textFill>
              </w:rPr>
              <w:t>t（本项目总建筑面积</w:t>
            </w:r>
            <w:r>
              <w:rPr>
                <w:rFonts w:hint="eastAsia" w:ascii="Times New Roman" w:hAnsi="Times New Roman" w:cs="Times New Roman"/>
                <w:color w:val="000000" w:themeColor="text1"/>
                <w:sz w:val="24"/>
                <w:lang w:val="en-US" w:eastAsia="zh-CN"/>
                <w14:textFill>
                  <w14:solidFill>
                    <w14:schemeClr w14:val="tx1"/>
                  </w14:solidFill>
                </w14:textFill>
              </w:rPr>
              <w:t>约</w:t>
            </w:r>
            <w:r>
              <w:rPr>
                <w:rFonts w:hint="default" w:ascii="Times New Roman" w:hAnsi="Times New Roman" w:cs="Times New Roman"/>
                <w:color w:val="000000" w:themeColor="text1"/>
                <w:sz w:val="24"/>
                <w14:textFill>
                  <w14:solidFill>
                    <w14:schemeClr w14:val="tx1"/>
                  </w14:solidFill>
                </w14:textFill>
              </w:rPr>
              <w:t>6153.79m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snapToGrid w:val="0"/>
                <w:color w:val="000000" w:themeColor="text1"/>
                <w:kern w:val="0"/>
                <w:sz w:val="24"/>
                <w14:textFill>
                  <w14:solidFill>
                    <w14:schemeClr w14:val="tx1"/>
                  </w14:solidFill>
                </w14:textFill>
              </w:rPr>
              <w:t>施工建筑垃圾可以回收利用的应回收利用；不能回收利用的，建设单位应按照《宝鸡市城市垃圾管理办法》（2007年12月26日发布）中的有关规定，</w:t>
            </w:r>
            <w:r>
              <w:rPr>
                <w:rFonts w:hint="default" w:ascii="Times New Roman" w:hAnsi="Times New Roman" w:cs="Times New Roman"/>
                <w:color w:val="000000" w:themeColor="text1"/>
                <w:sz w:val="24"/>
                <w14:textFill>
                  <w14:solidFill>
                    <w14:schemeClr w14:val="tx1"/>
                  </w14:solidFill>
                </w14:textFill>
              </w:rPr>
              <w:t>及时清运至市环境卫生行政主管部门指定的建筑垃圾消纳场处置。</w:t>
            </w:r>
          </w:p>
          <w:p>
            <w:pPr>
              <w:pStyle w:val="13"/>
              <w:keepNext w:val="0"/>
              <w:keepLines w:val="0"/>
              <w:pageBreakBefore w:val="0"/>
              <w:tabs>
                <w:tab w:val="center" w:pos="4662"/>
              </w:tabs>
              <w:kinsoku/>
              <w:wordWrap/>
              <w:overflowPunct/>
              <w:topLinePunct w:val="0"/>
              <w:autoSpaceDE/>
              <w:autoSpaceDN/>
              <w:bidi w:val="0"/>
              <w:adjustRightInd/>
              <w:snapToGrid/>
              <w:spacing w:after="0" w:afterLines="0" w:line="360" w:lineRule="auto"/>
              <w:ind w:left="0" w:leftChars="0" w:firstLine="480" w:firstLineChars="200"/>
              <w:textAlignment w:val="auto"/>
              <w:rPr>
                <w:rFonts w:hint="default" w:ascii="Times New Roman" w:hAnsi="Times New Roman" w:eastAsia="宋体" w:cs="Times New Roman"/>
                <w:color w:val="000000" w:themeColor="text1"/>
                <w:sz w:val="24"/>
                <w:lang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废弃的包装材料、包装桶</w:t>
            </w:r>
          </w:p>
          <w:p>
            <w:pPr>
              <w:pStyle w:val="13"/>
              <w:keepNext w:val="0"/>
              <w:keepLines w:val="0"/>
              <w:pageBreakBefore w:val="0"/>
              <w:tabs>
                <w:tab w:val="center" w:pos="4662"/>
              </w:tabs>
              <w:kinsoku/>
              <w:wordWrap/>
              <w:overflowPunct/>
              <w:topLinePunct w:val="0"/>
              <w:autoSpaceDE/>
              <w:autoSpaceDN/>
              <w:bidi w:val="0"/>
              <w:adjustRightInd/>
              <w:snapToGrid/>
              <w:spacing w:after="0" w:afterLines="0" w:line="360" w:lineRule="auto"/>
              <w:ind w:left="0"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施工及装修过程中废弃的包装材料、包装桶等约为</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t，分类收集交供应厂家回收利用。</w:t>
            </w:r>
          </w:p>
          <w:p>
            <w:pPr>
              <w:pStyle w:val="13"/>
              <w:keepNext w:val="0"/>
              <w:keepLines w:val="0"/>
              <w:pageBreakBefore w:val="0"/>
              <w:tabs>
                <w:tab w:val="center" w:pos="4662"/>
              </w:tabs>
              <w:kinsoku/>
              <w:wordWrap/>
              <w:overflowPunct/>
              <w:topLinePunct w:val="0"/>
              <w:autoSpaceDE/>
              <w:autoSpaceDN/>
              <w:bidi w:val="0"/>
              <w:adjustRightInd/>
              <w:snapToGrid/>
              <w:spacing w:after="0" w:afterLines="0" w:line="360" w:lineRule="auto"/>
              <w:ind w:left="0" w:leftChars="0" w:firstLine="480" w:firstLineChars="200"/>
              <w:textAlignment w:val="auto"/>
              <w:rPr>
                <w:rFonts w:hint="default" w:ascii="Times New Roman" w:hAnsi="Times New Roman" w:eastAsia="宋体" w:cs="Times New Roman"/>
                <w:color w:val="000000" w:themeColor="text1"/>
                <w:sz w:val="24"/>
                <w:lang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含油废渣、施工机械废机油等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含油废渣、施工机械废机油等属于危险废物，</w:t>
            </w:r>
            <w:r>
              <w:rPr>
                <w:rFonts w:hint="default" w:ascii="Times New Roman" w:hAnsi="Times New Roman" w:cs="Times New Roman"/>
                <w:color w:val="000000" w:themeColor="text1"/>
                <w:sz w:val="24"/>
                <w:lang w:val="en-US" w:eastAsia="zh-CN"/>
                <w14:textFill>
                  <w14:solidFill>
                    <w14:schemeClr w14:val="tx1"/>
                  </w14:solidFill>
                </w14:textFill>
              </w:rPr>
              <w:t>产生量较少，</w:t>
            </w:r>
            <w:r>
              <w:rPr>
                <w:rFonts w:hint="default" w:ascii="Times New Roman" w:hAnsi="Times New Roman" w:cs="Times New Roman"/>
                <w:color w:val="000000" w:themeColor="text1"/>
                <w:sz w:val="24"/>
                <w14:textFill>
                  <w14:solidFill>
                    <w14:schemeClr w14:val="tx1"/>
                  </w14:solidFill>
                </w14:textFill>
              </w:rPr>
              <w:t>须统一收集委托给有资质处理单位集中处理</w:t>
            </w:r>
            <w:r>
              <w:rPr>
                <w:rFonts w:hint="default" w:ascii="Times New Roman" w:hAnsi="Times New Roman" w:eastAsia="宋体" w:cs="Times New Roman"/>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5）废弃泥浆和钻屑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本</w:t>
            </w:r>
            <w:r>
              <w:rPr>
                <w:rFonts w:hint="eastAsia" w:cs="Times New Roman"/>
                <w:color w:val="000000" w:themeColor="text1"/>
                <w:sz w:val="24"/>
                <w:lang w:val="en-US" w:eastAsia="zh-CN"/>
                <w14:textFill>
                  <w14:solidFill>
                    <w14:schemeClr w14:val="tx1"/>
                  </w14:solidFill>
                </w14:textFill>
              </w:rPr>
              <w:t>项目</w:t>
            </w:r>
            <w:r>
              <w:rPr>
                <w:rFonts w:hint="default" w:ascii="Times New Roman" w:hAnsi="Times New Roman" w:eastAsia="宋体" w:cs="Times New Roman"/>
                <w:color w:val="000000" w:themeColor="text1"/>
                <w:sz w:val="24"/>
                <w:lang w:eastAsia="zh-CN"/>
                <w14:textFill>
                  <w14:solidFill>
                    <w14:schemeClr w14:val="tx1"/>
                  </w14:solidFill>
                </w14:textFill>
              </w:rPr>
              <w:t>河流穿越采用定向钻等技术。定向钻穿越河流的施工过程中需使用配制泥浆，其主要成份为膨润土，含有少量Na</w:t>
            </w:r>
            <w:r>
              <w:rPr>
                <w:rFonts w:hint="default" w:ascii="Times New Roman" w:hAnsi="Times New Roman" w:eastAsia="宋体" w:cs="Times New Roman"/>
                <w:color w:val="000000" w:themeColor="text1"/>
                <w:sz w:val="24"/>
                <w:vertAlign w:val="subscript"/>
                <w:lang w:eastAsia="zh-CN"/>
                <w14:textFill>
                  <w14:solidFill>
                    <w14:schemeClr w14:val="tx1"/>
                  </w14:solidFill>
                </w14:textFill>
              </w:rPr>
              <w:t>2</w:t>
            </w:r>
            <w:r>
              <w:rPr>
                <w:rFonts w:hint="default" w:ascii="Times New Roman" w:hAnsi="Times New Roman" w:eastAsia="宋体" w:cs="Times New Roman"/>
                <w:color w:val="000000" w:themeColor="text1"/>
                <w:sz w:val="24"/>
                <w:lang w:eastAsia="zh-CN"/>
                <w14:textFill>
                  <w14:solidFill>
                    <w14:schemeClr w14:val="tx1"/>
                  </w14:solidFill>
                </w14:textFill>
              </w:rPr>
              <w:t>CO</w:t>
            </w:r>
            <w:r>
              <w:rPr>
                <w:rFonts w:hint="default" w:ascii="Times New Roman" w:hAnsi="Times New Roman" w:eastAsia="宋体" w:cs="Times New Roman"/>
                <w:color w:val="000000" w:themeColor="text1"/>
                <w:sz w:val="24"/>
                <w:vertAlign w:val="subscript"/>
                <w:lang w:eastAsia="zh-CN"/>
                <w14:textFill>
                  <w14:solidFill>
                    <w14:schemeClr w14:val="tx1"/>
                  </w14:solidFill>
                </w14:textFill>
              </w:rPr>
              <w:t>3</w:t>
            </w:r>
            <w:r>
              <w:rPr>
                <w:rFonts w:hint="default" w:ascii="Times New Roman" w:hAnsi="Times New Roman" w:eastAsia="宋体" w:cs="Times New Roman"/>
                <w:color w:val="000000" w:themeColor="text1"/>
                <w:sz w:val="24"/>
                <w:lang w:eastAsia="zh-CN"/>
                <w14:textFill>
                  <w14:solidFill>
                    <w14:schemeClr w14:val="tx1"/>
                  </w14:solidFill>
                </w14:textFill>
              </w:rPr>
              <w:t>，呈弱碱性，对土壤的渗透性差，施工过程中泥浆可重复利用，到施工结束后剩余泥浆</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eastAsia="zh-CN"/>
                <w14:textFill>
                  <w14:solidFill>
                    <w14:schemeClr w14:val="tx1"/>
                  </w14:solidFill>
                </w14:textFill>
              </w:rPr>
              <w:t>约为泥浆总量的40%</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eastAsia="zh-CN"/>
                <w14:textFill>
                  <w14:solidFill>
                    <w14:schemeClr w14:val="tx1"/>
                  </w14:solidFill>
                </w14:textFill>
              </w:rPr>
              <w:t>经pH调节为中性后作为废物收集在泥浆坑中，经当地</w:t>
            </w:r>
            <w:r>
              <w:rPr>
                <w:rFonts w:hint="eastAsia" w:cs="Times New Roman"/>
                <w:color w:val="000000" w:themeColor="text1"/>
                <w:sz w:val="24"/>
                <w:lang w:val="en-US" w:eastAsia="zh-CN"/>
                <w14:textFill>
                  <w14:solidFill>
                    <w14:schemeClr w14:val="tx1"/>
                  </w14:solidFill>
                </w14:textFill>
              </w:rPr>
              <w:t>管理</w:t>
            </w:r>
            <w:r>
              <w:rPr>
                <w:rFonts w:hint="default" w:ascii="Times New Roman" w:hAnsi="Times New Roman" w:eastAsia="宋体" w:cs="Times New Roman"/>
                <w:color w:val="000000" w:themeColor="text1"/>
                <w:sz w:val="24"/>
                <w:lang w:eastAsia="zh-CN"/>
                <w14:textFill>
                  <w14:solidFill>
                    <w14:schemeClr w14:val="tx1"/>
                  </w14:solidFill>
                </w14:textFill>
              </w:rPr>
              <w:t>部门的允可</w:t>
            </w:r>
            <w:r>
              <w:rPr>
                <w:rFonts w:hint="eastAsia" w:cs="Times New Roman"/>
                <w:color w:val="000000" w:themeColor="text1"/>
                <w:sz w:val="24"/>
                <w:lang w:val="en-US" w:eastAsia="zh-CN"/>
                <w14:textFill>
                  <w14:solidFill>
                    <w14:schemeClr w14:val="tx1"/>
                  </w14:solidFill>
                </w14:textFill>
              </w:rPr>
              <w:t>后</w:t>
            </w:r>
            <w:r>
              <w:rPr>
                <w:rFonts w:hint="default" w:ascii="Times New Roman" w:hAnsi="Times New Roman" w:eastAsia="宋体" w:cs="Times New Roman"/>
                <w:color w:val="000000" w:themeColor="text1"/>
                <w:sz w:val="24"/>
                <w:lang w:eastAsia="zh-CN"/>
                <w14:textFill>
                  <w14:solidFill>
                    <w14:schemeClr w14:val="tx1"/>
                  </w14:solidFill>
                </w14:textFill>
              </w:rPr>
              <w:t>，经固化处理后就地埋入防渗的泥浆池中，上面覆盖40cm的耕作土，保证恢复原有地貌。定向钻</w:t>
            </w:r>
            <w:r>
              <w:rPr>
                <w:rFonts w:hint="eastAsia" w:cs="Times New Roman"/>
                <w:color w:val="000000" w:themeColor="text1"/>
                <w:sz w:val="24"/>
                <w:lang w:val="en-US" w:eastAsia="zh-CN"/>
                <w14:textFill>
                  <w14:solidFill>
                    <w14:schemeClr w14:val="tx1"/>
                  </w14:solidFill>
                </w14:textFill>
              </w:rPr>
              <w:t>过程中会产生</w:t>
            </w:r>
            <w:r>
              <w:rPr>
                <w:rFonts w:hint="default" w:ascii="Times New Roman" w:hAnsi="Times New Roman" w:eastAsia="宋体" w:cs="Times New Roman"/>
                <w:color w:val="000000" w:themeColor="text1"/>
                <w:sz w:val="24"/>
                <w:lang w:eastAsia="zh-CN"/>
                <w14:textFill>
                  <w14:solidFill>
                    <w14:schemeClr w14:val="tx1"/>
                  </w14:solidFill>
                </w14:textFill>
              </w:rPr>
              <w:t>废钻屑</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eastAsia="zh-CN"/>
                <w14:textFill>
                  <w14:solidFill>
                    <w14:schemeClr w14:val="tx1"/>
                  </w14:solidFill>
                </w14:textFill>
              </w:rPr>
              <w:t>废钻屑用来加筑堤坝或平整场地。</w:t>
            </w:r>
            <w:r>
              <w:rPr>
                <w:rFonts w:hint="eastAsia" w:cs="Times New Roman"/>
                <w:color w:val="000000" w:themeColor="text1"/>
                <w:sz w:val="24"/>
                <w:lang w:val="en-US" w:eastAsia="zh-CN"/>
                <w14:textFill>
                  <w14:solidFill>
                    <w14:schemeClr w14:val="tx1"/>
                  </w14:solidFill>
                </w14:textFill>
              </w:rPr>
              <w:t>根据类比，本项目废弃泥浆和钻屑产生量约为532t。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施工期生态环境影响分析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14:textFill>
                  <w14:solidFill>
                    <w14:schemeClr w14:val="tx1"/>
                  </w14:solidFill>
                </w14:textFill>
              </w:rPr>
              <w:t>工程临时占地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建设对陆生生态环境的影响主要表现在施工期，在施工作业过程、工程占地对土地利用、植被、水土流失等产生的影响，改变部分原有的地形地貌，破坏现有植被，使地表出现局部裸露，破坏了原有的自然风貌及景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工程占地包括临时占地和永久占地。项目临时占地包括施工作业带、施工便道占地。占地类型不同，影响也不尽相同。临时性占地土地利用改变是短暂的、可逆的、随着工程结束，逐渐恢复原有土地利用类型。施工前，建设单位应根据相关法律法规规定，认真落实有关占地手续及土地复垦和植被重建恢复费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2）对涉水水体的影响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本项目施工废水、建筑垃圾、施工人员生活垃圾等，如不妥善出来排入河流，将对河流造成一定程度的污染，从而影响水生生物。但这种影响是短暂的、可逆的。当施工结束后，施工区域及附近水域的底质将逐渐恢复平静，底栖生物和浮游生物种类也将逐渐恢复。根据相关资料，施工结束后几个月后水生生物种类及数量将恢复正常，水域生态环境将逐渐恢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000000" w:themeColor="text1"/>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施工建设</w:t>
            </w:r>
            <w:r>
              <w:rPr>
                <w:rFonts w:hint="default" w:ascii="Times New Roman" w:hAnsi="Times New Roman" w:eastAsia="宋体" w:cs="Times New Roman"/>
                <w:color w:val="000000" w:themeColor="text1"/>
                <w:sz w:val="24"/>
                <w14:textFill>
                  <w14:solidFill>
                    <w14:schemeClr w14:val="tx1"/>
                  </w14:solidFill>
                </w14:textFill>
              </w:rPr>
              <w:t>对</w:t>
            </w:r>
            <w:r>
              <w:rPr>
                <w:rFonts w:hint="default" w:ascii="Times New Roman" w:hAnsi="Times New Roman" w:eastAsia="宋体" w:cs="Times New Roman"/>
                <w:color w:val="000000" w:themeColor="text1"/>
                <w:sz w:val="24"/>
                <w:lang w:eastAsia="zh-CN"/>
                <w14:textFill>
                  <w14:solidFill>
                    <w14:schemeClr w14:val="tx1"/>
                  </w14:solidFill>
                </w14:textFill>
              </w:rPr>
              <w:t>陆生</w:t>
            </w:r>
            <w:r>
              <w:rPr>
                <w:rFonts w:hint="default" w:ascii="Times New Roman" w:hAnsi="Times New Roman" w:eastAsia="宋体" w:cs="Times New Roman"/>
                <w:color w:val="000000" w:themeColor="text1"/>
                <w:sz w:val="24"/>
                <w:lang w:val="en-US" w:eastAsia="zh-CN"/>
                <w14:textFill>
                  <w14:solidFill>
                    <w14:schemeClr w14:val="tx1"/>
                  </w14:solidFill>
                </w14:textFill>
              </w:rPr>
              <w:t>生物</w:t>
            </w:r>
            <w:r>
              <w:rPr>
                <w:rFonts w:hint="default" w:ascii="Times New Roman" w:hAnsi="Times New Roman" w:eastAsia="宋体" w:cs="Times New Roman"/>
                <w:color w:val="000000" w:themeColor="text1"/>
                <w:sz w:val="24"/>
                <w14:textFill>
                  <w14:solidFill>
                    <w14:schemeClr w14:val="tx1"/>
                  </w14:solidFill>
                </w14:textFill>
              </w:rPr>
              <w:t>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①植物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施工将进行土石方的挖掘和回填，裸露的地面在旱季引起大量扬尘，对于</w:t>
            </w:r>
            <w:r>
              <w:rPr>
                <w:rFonts w:hint="default" w:ascii="Times New Roman" w:hAnsi="Times New Roman" w:eastAsia="宋体" w:cs="Times New Roman"/>
                <w:color w:val="000000" w:themeColor="text1"/>
                <w:sz w:val="24"/>
                <w:lang w:val="en-US" w:eastAsia="zh-CN"/>
                <w14:textFill>
                  <w14:solidFill>
                    <w14:schemeClr w14:val="tx1"/>
                  </w14:solidFill>
                </w14:textFill>
              </w:rPr>
              <w:t>千河线</w:t>
            </w:r>
            <w:r>
              <w:rPr>
                <w:rFonts w:hint="default" w:ascii="Times New Roman" w:hAnsi="Times New Roman" w:eastAsia="宋体" w:cs="Times New Roman"/>
                <w:color w:val="000000" w:themeColor="text1"/>
                <w:sz w:val="24"/>
                <w14:textFill>
                  <w14:solidFill>
                    <w14:schemeClr w14:val="tx1"/>
                  </w14:solidFill>
                </w14:textFill>
              </w:rPr>
              <w:t>附近的农作物和</w:t>
            </w:r>
            <w:r>
              <w:rPr>
                <w:rFonts w:hint="default" w:ascii="Times New Roman" w:hAnsi="Times New Roman" w:eastAsia="宋体" w:cs="Times New Roman"/>
                <w:color w:val="000000" w:themeColor="text1"/>
                <w:sz w:val="24"/>
                <w:lang w:val="en-US" w:eastAsia="zh-CN"/>
                <w14:textFill>
                  <w14:solidFill>
                    <w14:schemeClr w14:val="tx1"/>
                  </w14:solidFill>
                </w14:textFill>
              </w:rPr>
              <w:t>两岸</w:t>
            </w:r>
            <w:r>
              <w:rPr>
                <w:rFonts w:hint="default" w:ascii="Times New Roman" w:hAnsi="Times New Roman" w:eastAsia="宋体" w:cs="Times New Roman"/>
                <w:color w:val="000000" w:themeColor="text1"/>
                <w:sz w:val="24"/>
                <w14:textFill>
                  <w14:solidFill>
                    <w14:schemeClr w14:val="tx1"/>
                  </w14:solidFill>
                </w14:textFill>
              </w:rPr>
              <w:t>树木也将产生一定影响。扬尘会影响光合作用，导致农作物减产，影响树木生长。由于本工程工期较短，随着施工结束，这些不良影响也将逐步消失。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根据现场调查情况，影响范围内原有植被主要树种及草皮，无原生植被及名木古树。由于作业区域范围较小，施工周期较短，对两岸河段植被破坏性不大，施工结束后对</w:t>
            </w:r>
            <w:r>
              <w:rPr>
                <w:rFonts w:hint="default" w:ascii="Times New Roman" w:hAnsi="Times New Roman" w:eastAsia="宋体" w:cs="Times New Roman"/>
                <w:color w:val="000000" w:themeColor="text1"/>
                <w:sz w:val="24"/>
                <w:lang w:val="en-US" w:eastAsia="zh-CN"/>
                <w14:textFill>
                  <w14:solidFill>
                    <w14:schemeClr w14:val="tx1"/>
                  </w14:solidFill>
                </w14:textFill>
              </w:rPr>
              <w:t>河岸建设生态护坡</w:t>
            </w:r>
            <w:r>
              <w:rPr>
                <w:rFonts w:hint="default" w:ascii="Times New Roman" w:hAnsi="Times New Roman" w:eastAsia="宋体" w:cs="Times New Roman"/>
                <w:color w:val="000000" w:themeColor="text1"/>
                <w:sz w:val="24"/>
                <w14:textFill>
                  <w14:solidFill>
                    <w14:schemeClr w14:val="tx1"/>
                  </w14:solidFill>
                </w14:textFill>
              </w:rPr>
              <w:t>，一定程度上提高了区域的生态环境效益。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②动物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在工程施工期间，施工人员施工、车辆运输、机械运行等施工活动将给生物及其生境带来影响，施工过程中的噪音和灯光对动物生活习性的影响，以及施工人员产生的废弃物对动植物栖息环境的污染等方面。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此外，工程施工区以集镇区、农村生态系统为主，生态类型简单，不涉及鸟类迁徙沿线，野生生物以常见鸟类、小型哺乳动物以及昆虫为主</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工程施工使其活动范围受限制，并促使其向其他区域迁徙或转移。</w:t>
            </w:r>
            <w:r>
              <w:rPr>
                <w:rFonts w:hint="default" w:ascii="Times New Roman" w:hAnsi="Times New Roman" w:eastAsia="宋体" w:cs="Times New Roman"/>
                <w:color w:val="000000" w:themeColor="text1"/>
                <w:sz w:val="24"/>
                <w14:textFill>
                  <w14:solidFill>
                    <w14:schemeClr w14:val="tx1"/>
                  </w14:solidFill>
                </w14:textFill>
              </w:rPr>
              <w:t>由于施工不是长久的，因此除对动植物栖息地的</w:t>
            </w:r>
            <w:r>
              <w:rPr>
                <w:rFonts w:hint="default" w:ascii="Times New Roman" w:hAnsi="Times New Roman" w:eastAsia="宋体" w:cs="Times New Roman"/>
                <w:color w:val="000000" w:themeColor="text1"/>
                <w:sz w:val="24"/>
                <w:lang w:val="en-US" w:eastAsia="zh-CN"/>
                <w14:textFill>
                  <w14:solidFill>
                    <w14:schemeClr w14:val="tx1"/>
                  </w14:solidFill>
                </w14:textFill>
              </w:rPr>
              <w:t>破坏外，其他影响为暂时性的。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lang w:val="en-US" w:eastAsia="zh-CN"/>
                <w14:textFill>
                  <w14:solidFill>
                    <w14:schemeClr w14:val="tx1"/>
                  </w14:solidFill>
                </w14:textFill>
              </w:rPr>
              <w:t>）水土流失影响分析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本</w:t>
            </w:r>
            <w:r>
              <w:rPr>
                <w:rFonts w:hint="default" w:ascii="Times New Roman" w:hAnsi="Times New Roman" w:eastAsia="宋体" w:cs="Times New Roman"/>
                <w:color w:val="000000" w:themeColor="text1"/>
                <w:sz w:val="24"/>
                <w:lang w:val="en-US" w:eastAsia="zh-CN"/>
                <w14:textFill>
                  <w14:solidFill>
                    <w14:schemeClr w14:val="tx1"/>
                  </w14:solidFill>
                </w14:textFill>
              </w:rPr>
              <w:t>项目施工过程中将进行建设开挖和土石方搬运，将加重区域的水土流失面积和强度。建设方在施工应严格按水保方案要求进行施工。施工期在土方开挖回填时避开雨季，雨季来临前将开挖回填，对路堤边坡及时进行植草绿化，防止产生水土流失，弃土石方应倒入指定地点，覆土种草植树，不能随意倒入治理河道及其边缘，在弃方的边坡进行加固处理，防止水土流失和泥石流发生。在该工程施工过程中要严格按照有关法律、法规和管理部门要求，加强管理，采取水土保持措施，使水土流失降低到最小程度。堆方、施工便道等临时用地，施工完毕后，应尽快清理现场，按规划实施和加快绿化。经采取上述措施后，</w:t>
            </w:r>
            <w:r>
              <w:rPr>
                <w:rFonts w:hint="eastAsia" w:ascii="Times New Roman" w:hAnsi="Times New Roman" w:eastAsia="宋体" w:cs="Times New Roman"/>
                <w:color w:val="000000" w:themeColor="text1"/>
                <w:sz w:val="24"/>
                <w:lang w:val="en-US" w:eastAsia="zh-CN"/>
                <w14:textFill>
                  <w14:solidFill>
                    <w14:schemeClr w14:val="tx1"/>
                  </w14:solidFill>
                </w14:textFill>
              </w:rPr>
              <w:t>本想</w:t>
            </w:r>
            <w:r>
              <w:rPr>
                <w:rFonts w:hint="default" w:ascii="Times New Roman" w:hAnsi="Times New Roman" w:eastAsia="宋体" w:cs="Times New Roman"/>
                <w:color w:val="000000" w:themeColor="text1"/>
                <w:sz w:val="24"/>
                <w:lang w:val="en-US" w:eastAsia="zh-CN"/>
                <w14:textFill>
                  <w14:solidFill>
                    <w14:schemeClr w14:val="tx1"/>
                  </w14:solidFill>
                </w14:textFill>
              </w:rPr>
              <w:t>项目建设对区域水土流失影响</w:t>
            </w:r>
            <w:r>
              <w:rPr>
                <w:rFonts w:hint="eastAsia" w:ascii="Times New Roman" w:hAnsi="Times New Roman" w:eastAsia="宋体" w:cs="Times New Roman"/>
                <w:color w:val="000000" w:themeColor="text1"/>
                <w:sz w:val="24"/>
                <w:lang w:val="en-US" w:eastAsia="zh-CN"/>
                <w14:textFill>
                  <w14:solidFill>
                    <w14:schemeClr w14:val="tx1"/>
                  </w14:solidFill>
                </w14:textFill>
              </w:rPr>
              <w:t>可接受。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5）管网施工期生态影响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管道主要为沿道路敷设，不会对项目周围的生态环境造成破坏。本项目施工期的主要生态影响在于对景观生态的影响。本项目施工覆盖范围大，管网工程的施工过程中，由于破路开挖和土方堆置会使管网铺设地区显得较为凌乱，虽然有围档阻隔，但施工工地总会给人留下混乱的印象；在土方外运过程中的遗洒，不仅使路面变脏而且易引起道路扬尘，会给周围景观产生不良影响。本项目管线施工采取即挖即填的方式，产生及时外运，并对挖填场地进行及时清理、以及生态恢复，则施工期管线施工对生态影响较小</w:t>
            </w:r>
            <w:r>
              <w:rPr>
                <w:rFonts w:hint="eastAsia" w:cs="Times New Roman"/>
                <w:color w:val="000000" w:themeColor="text1"/>
                <w:sz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6）管网施工期对水源地影响分析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本项目运行管理过程中，需制定详细的风险防范和遇突发水质污染的处理预案，保证水源水质安全。为了减少突发事故引起的水质污染风险性，要求加强对饮用水源地的管理。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加强工程环境管理，防止污染事故的发生；加强对水源地水质的实时监控，掌握水质动态，及时采取相应的保护措施和应急措施；建立事故应急预案，一旦发生事故进行应急处理，对事故污水进行必要处置。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对违反规定造成重大水源污染事故，一旦发生，要求立即启动水污染防治预案，并采取紧急防护措施，防止扩大污染，消除对人、畜、水产资源的危害，并于</w:t>
            </w:r>
            <w:r>
              <w:rPr>
                <w:rFonts w:hint="eastAsia" w:cs="Times New Roman"/>
                <w:color w:val="000000" w:themeColor="text1"/>
                <w:sz w:val="24"/>
                <w:lang w:val="en-US" w:eastAsia="zh-CN"/>
                <w14:textFill>
                  <w14:solidFill>
                    <w14:schemeClr w14:val="tx1"/>
                  </w14:solidFill>
                </w14:textFill>
              </w:rPr>
              <w:t>24</w:t>
            </w:r>
            <w:r>
              <w:rPr>
                <w:rFonts w:hint="default" w:ascii="Times New Roman" w:hAnsi="Times New Roman" w:eastAsia="宋体" w:cs="Times New Roman"/>
                <w:color w:val="000000" w:themeColor="text1"/>
                <w:sz w:val="24"/>
                <w:lang w:val="en-US" w:eastAsia="zh-CN"/>
                <w14:textFill>
                  <w14:solidFill>
                    <w14:schemeClr w14:val="tx1"/>
                  </w14:solidFill>
                </w14:textFill>
              </w:rPr>
              <w:t>小时内上报当地环境保护部门和有关部门。若水源污染事故导致公私财产重大损失或者人身伤亡等严重后果的，按照《中华人民共和国水污染防治法》第四十三条的规定，由公安、司法部门追究刑事责任。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建立水质预警系统及机制，一旦发生重大污染事故，导致水质严重恶化，应采取紧急应对措施，以保证水厂的正常供水。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综上所述，</w:t>
            </w:r>
            <w:r>
              <w:rPr>
                <w:rFonts w:hint="eastAsia" w:cs="Times New Roman"/>
                <w:color w:val="000000" w:themeColor="text1"/>
                <w:sz w:val="24"/>
                <w:lang w:val="en-US" w:eastAsia="zh-CN"/>
                <w14:textFill>
                  <w14:solidFill>
                    <w14:schemeClr w14:val="tx1"/>
                  </w14:solidFill>
                </w14:textFill>
              </w:rPr>
              <w:t>本</w:t>
            </w:r>
            <w:r>
              <w:rPr>
                <w:rFonts w:hint="default" w:ascii="Times New Roman" w:hAnsi="Times New Roman" w:eastAsia="宋体" w:cs="Times New Roman"/>
                <w:color w:val="000000" w:themeColor="text1"/>
                <w:sz w:val="24"/>
                <w:lang w:val="en-US" w:eastAsia="zh-CN"/>
                <w14:textFill>
                  <w14:solidFill>
                    <w14:schemeClr w14:val="tx1"/>
                  </w14:solidFill>
                </w14:textFill>
              </w:rPr>
              <w:t>项目在施工期按上述要求，实现文明施工，采取必要的降噪、防尘等措施，施工结束后及时对占地植被重建，可将施工期环境影响降至最小，避免出现扰民现象。随着施工期的结束，其对环境的影响即可消除</w:t>
            </w:r>
            <w:r>
              <w:rPr>
                <w:rFonts w:hint="eastAsia" w:cs="Times New Roman"/>
                <w:color w:val="000000" w:themeColor="text1"/>
                <w:sz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cs="Times New Roman"/>
                <w:b w:val="0"/>
                <w:bCs w:val="0"/>
                <w:color w:val="000000" w:themeColor="text1"/>
                <w:sz w:val="24"/>
                <w:szCs w:val="24"/>
                <w14:textFill>
                  <w14:solidFill>
                    <w14:schemeClr w14:val="tx1"/>
                  </w14:solidFill>
                </w14:textFill>
              </w:rPr>
            </w:pPr>
            <w:r>
              <w:rPr>
                <w:rFonts w:hint="eastAsia" w:eastAsia="宋体" w:cs="Times New Roman"/>
                <w:b w:val="0"/>
                <w:bCs w:val="0"/>
                <w:color w:val="000000" w:themeColor="text1"/>
                <w:kern w:val="0"/>
                <w:sz w:val="24"/>
                <w:szCs w:val="24"/>
                <w:lang w:val="en-US" w:eastAsia="zh-CN"/>
                <w14:textFill>
                  <w14:solidFill>
                    <w14:schemeClr w14:val="tx1"/>
                  </w14:solidFill>
                </w14:textFill>
              </w:rPr>
              <w:t>（6）本</w:t>
            </w:r>
            <w:r>
              <w:rPr>
                <w:rFonts w:hint="default" w:ascii="Times New Roman" w:hAnsi="Times New Roman" w:eastAsia="宋体" w:cs="Times New Roman"/>
                <w:b w:val="0"/>
                <w:bCs w:val="0"/>
                <w:color w:val="000000" w:themeColor="text1"/>
                <w:sz w:val="24"/>
                <w:szCs w:val="24"/>
                <w14:textFill>
                  <w14:solidFill>
                    <w14:schemeClr w14:val="tx1"/>
                  </w14:solidFill>
                </w14:textFill>
              </w:rPr>
              <w:t>项目取水对段家峡水库的影响</w:t>
            </w:r>
          </w:p>
          <w:p>
            <w:pPr>
              <w:keepNext w:val="0"/>
              <w:keepLines w:val="0"/>
              <w:pageBreakBefore w:val="0"/>
              <w:widowControl w:val="0"/>
              <w:kinsoku/>
              <w:wordWrap/>
              <w:overflowPunct/>
              <w:topLinePunct w:val="0"/>
              <w:autoSpaceDE w:val="0"/>
              <w:autoSpaceDN w:val="0"/>
              <w:bidi w:val="0"/>
              <w:adjustRightInd/>
              <w:snapToGrid/>
              <w:spacing w:line="360" w:lineRule="auto"/>
              <w:ind w:right="0" w:firstLine="480" w:firstLineChars="200"/>
              <w:textAlignment w:val="auto"/>
              <w:rPr>
                <w:rFonts w:hint="default" w:ascii="Times New Roman" w:hAnsi="Times New Roman" w:cs="Times New Roman"/>
                <w:b w:val="0"/>
                <w:bCs w:val="0"/>
                <w:color w:val="000000" w:themeColor="text1"/>
                <w:spacing w:val="3"/>
                <w:kern w:val="0"/>
                <w:sz w:val="24"/>
                <w:szCs w:val="24"/>
                <w14:textFill>
                  <w14:solidFill>
                    <w14:schemeClr w14:val="tx1"/>
                  </w14:solidFill>
                </w14:textFill>
              </w:rPr>
            </w:pPr>
            <w:r>
              <w:rPr>
                <w:rFonts w:hint="eastAsia" w:eastAsia="宋体" w:cs="Times New Roman"/>
                <w:b w:val="0"/>
                <w:bCs w:val="0"/>
                <w:color w:val="000000" w:themeColor="text1"/>
                <w:kern w:val="0"/>
                <w:sz w:val="24"/>
                <w:szCs w:val="24"/>
                <w:lang w:val="en-US" w:eastAsia="zh-CN"/>
                <w14:textFill>
                  <w14:solidFill>
                    <w14:schemeClr w14:val="tx1"/>
                  </w14:solidFill>
                </w14:textFill>
              </w:rPr>
              <w:t>1</w:t>
            </w:r>
            <w:r>
              <w:rPr>
                <w:rFonts w:hint="eastAsia" w:eastAsia="宋体" w:cs="Times New Roman"/>
                <w:b w:val="0"/>
                <w:bCs w:val="0"/>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3"/>
                <w:kern w:val="0"/>
                <w:sz w:val="24"/>
                <w:szCs w:val="24"/>
                <w14:textFill>
                  <w14:solidFill>
                    <w14:schemeClr w14:val="tx1"/>
                  </w14:solidFill>
                </w14:textFill>
              </w:rPr>
              <w:t>对水库的影响</w:t>
            </w:r>
          </w:p>
          <w:p>
            <w:pPr>
              <w:keepNext w:val="0"/>
              <w:keepLines w:val="0"/>
              <w:pageBreakBefore w:val="0"/>
              <w:widowControl w:val="0"/>
              <w:kinsoku/>
              <w:wordWrap/>
              <w:overflowPunct/>
              <w:topLinePunct w:val="0"/>
              <w:autoSpaceDE w:val="0"/>
              <w:autoSpaceDN w:val="0"/>
              <w:bidi w:val="0"/>
              <w:adjustRightInd/>
              <w:snapToGrid/>
              <w:spacing w:line="360" w:lineRule="auto"/>
              <w:ind w:right="0" w:firstLine="492" w:firstLineChars="200"/>
              <w:textAlignment w:val="auto"/>
              <w:rPr>
                <w:rFonts w:hint="default" w:ascii="Times New Roman" w:hAnsi="Times New Roman" w:cs="Times New Roman"/>
                <w:b w:val="0"/>
                <w:bCs w:val="0"/>
                <w:color w:val="000000" w:themeColor="text1"/>
                <w:kern w:val="0"/>
                <w:sz w:val="24"/>
                <w:szCs w:val="24"/>
                <w14:textFill>
                  <w14:solidFill>
                    <w14:schemeClr w14:val="tx1"/>
                  </w14:solidFill>
                </w14:textFill>
              </w:rPr>
            </w:pPr>
            <w:r>
              <w:rPr>
                <w:rFonts w:hint="default" w:ascii="Times New Roman" w:hAnsi="Times New Roman" w:eastAsia="宋体" w:cs="Times New Roman"/>
                <w:b w:val="0"/>
                <w:bCs w:val="0"/>
                <w:color w:val="000000" w:themeColor="text1"/>
                <w:spacing w:val="3"/>
                <w:kern w:val="0"/>
                <w:sz w:val="24"/>
                <w:szCs w:val="24"/>
                <w14:textFill>
                  <w14:solidFill>
                    <w14:schemeClr w14:val="tx1"/>
                  </w14:solidFill>
                </w14:textFill>
              </w:rPr>
              <w:t>千河段家峡水库位于陇县县城上游，距陇县县城</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15km，是一座以灌溉、饮水为主，枯水年优先保证饮用，其次灌溉，兼顾防洪、发电等综合利用的中型水利工程。</w:t>
            </w:r>
          </w:p>
          <w:p>
            <w:pPr>
              <w:keepNext w:val="0"/>
              <w:keepLines w:val="0"/>
              <w:pageBreakBefore w:val="0"/>
              <w:widowControl w:val="0"/>
              <w:kinsoku/>
              <w:wordWrap/>
              <w:overflowPunct/>
              <w:topLinePunct w:val="0"/>
              <w:autoSpaceDE w:val="0"/>
              <w:autoSpaceDN w:val="0"/>
              <w:bidi w:val="0"/>
              <w:adjustRightInd/>
              <w:snapToGrid/>
              <w:spacing w:line="360" w:lineRule="auto"/>
              <w:ind w:right="0" w:firstLine="480" w:firstLineChars="200"/>
              <w:textAlignment w:val="auto"/>
              <w:rPr>
                <w:rFonts w:hint="default" w:ascii="Times New Roman" w:hAnsi="Times New Roman" w:cs="Times New Roman"/>
                <w:b w:val="0"/>
                <w:bCs w:val="0"/>
                <w:color w:val="000000" w:themeColor="text1"/>
                <w:kern w:val="0"/>
                <w:sz w:val="24"/>
                <w:szCs w:val="24"/>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坝址以上千河长度51km，平均比降18.6‰，控制流域面积634km</w:t>
            </w:r>
            <w:r>
              <w:rPr>
                <w:rFonts w:hint="default" w:ascii="Times New Roman" w:hAnsi="Times New Roman" w:eastAsia="宋体" w:cs="Times New Roman"/>
                <w:b w:val="0"/>
                <w:bCs w:val="0"/>
                <w:color w:val="000000" w:themeColor="text1"/>
                <w:kern w:val="0"/>
                <w:sz w:val="24"/>
                <w:szCs w:val="24"/>
                <w:vertAlign w:val="superscript"/>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，流域内多年平均降水量696mm，多年平均蒸发量1189mm，多年平均径流量为</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1.24亿</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m</w:t>
            </w:r>
            <w:r>
              <w:rPr>
                <w:rFonts w:hint="default" w:ascii="Times New Roman" w:hAnsi="Times New Roman" w:eastAsia="宋体" w:cs="Times New Roman"/>
                <w:b w:val="0"/>
                <w:bCs w:val="0"/>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，最大月径流量为2300万m</w:t>
            </w:r>
            <w:r>
              <w:rPr>
                <w:rFonts w:hint="default" w:ascii="Times New Roman" w:hAnsi="Times New Roman" w:eastAsia="宋体" w:cs="Times New Roman"/>
                <w:b w:val="0"/>
                <w:bCs w:val="0"/>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（9月），最小月径流量300万m</w:t>
            </w:r>
            <w:r>
              <w:rPr>
                <w:rFonts w:hint="default" w:ascii="Times New Roman" w:hAnsi="Times New Roman" w:eastAsia="宋体" w:cs="Times New Roman"/>
                <w:b w:val="0"/>
                <w:bCs w:val="0"/>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（2月），多年平均入库流量5.6m</w:t>
            </w:r>
            <w:r>
              <w:rPr>
                <w:rFonts w:hint="default" w:ascii="Times New Roman" w:hAnsi="Times New Roman" w:eastAsia="宋体" w:cs="Times New Roman"/>
                <w:b w:val="0"/>
                <w:bCs w:val="0"/>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/s，最大入库流量4385.6m</w:t>
            </w:r>
            <w:r>
              <w:rPr>
                <w:rFonts w:hint="default" w:ascii="Times New Roman" w:hAnsi="Times New Roman" w:eastAsia="宋体" w:cs="Times New Roman"/>
                <w:b w:val="0"/>
                <w:bCs w:val="0"/>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/s（1981年8月21日），最小入库流量0.23m</w:t>
            </w:r>
            <w:r>
              <w:rPr>
                <w:rFonts w:hint="default" w:ascii="Times New Roman" w:hAnsi="Times New Roman" w:eastAsia="宋体" w:cs="Times New Roman"/>
                <w:b w:val="0"/>
                <w:bCs w:val="0"/>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/s（1966年6月22日）。</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段家峡总库容1</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832.4万m</w:t>
            </w:r>
            <w:r>
              <w:rPr>
                <w:rFonts w:hint="default" w:ascii="Times New Roman" w:hAnsi="Times New Roman" w:cs="Times New Roman"/>
                <w:color w:val="000000" w:themeColor="text1"/>
                <w:kern w:val="0"/>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滞洪库容627.4万m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，兴利库容1038万m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，死库容167万m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，水源水量丰富可作为本项目的水源。</w:t>
            </w:r>
          </w:p>
          <w:p>
            <w:pPr>
              <w:keepNext w:val="0"/>
              <w:keepLines w:val="0"/>
              <w:pageBreakBefore w:val="0"/>
              <w:widowControl w:val="0"/>
              <w:kinsoku/>
              <w:wordWrap/>
              <w:overflowPunct/>
              <w:topLinePunct w:val="0"/>
              <w:autoSpaceDE w:val="0"/>
              <w:autoSpaceDN w:val="0"/>
              <w:bidi w:val="0"/>
              <w:adjustRightInd/>
              <w:snapToGrid/>
              <w:spacing w:line="360" w:lineRule="auto"/>
              <w:ind w:right="0" w:firstLine="480" w:firstLineChars="200"/>
              <w:textAlignment w:val="auto"/>
              <w:rPr>
                <w:rFonts w:hint="default" w:ascii="Times New Roman" w:hAnsi="Times New Roman"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《陕西省宝鸡市陇县农业综合开发段家峡水库中型灌区节水配套改造项目初步设计报告》对水库供水量进行了详细分析论证，并经过了水利部门的审查，本</w:t>
            </w:r>
            <w:r>
              <w:rPr>
                <w:rFonts w:hint="default" w:ascii="Times New Roman" w:hAnsi="Times New Roman" w:eastAsia="宋体" w:cs="Times New Roman"/>
                <w:b w:val="0"/>
                <w:bCs w:val="0"/>
                <w:color w:val="000000" w:themeColor="text1"/>
                <w:spacing w:val="-1"/>
                <w:kern w:val="0"/>
                <w:sz w:val="24"/>
                <w:szCs w:val="24"/>
                <w14:textFill>
                  <w14:solidFill>
                    <w14:schemeClr w14:val="tx1"/>
                  </w14:solidFill>
                </w14:textFill>
              </w:rPr>
              <w:t>次直接采用该成果。水库可供水量</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4824.25</w:t>
            </w:r>
            <w:r>
              <w:rPr>
                <w:rFonts w:hint="default" w:ascii="Times New Roman" w:hAnsi="Times New Roman" w:eastAsia="宋体" w:cs="Times New Roman"/>
                <w:b w:val="0"/>
                <w:bCs w:val="0"/>
                <w:color w:val="000000" w:themeColor="text1"/>
                <w:spacing w:val="-7"/>
                <w:kern w:val="0"/>
                <w:sz w:val="24"/>
                <w:szCs w:val="24"/>
                <w14:textFill>
                  <w14:solidFill>
                    <w14:schemeClr w14:val="tx1"/>
                  </w14:solidFill>
                </w14:textFill>
              </w:rPr>
              <w:t>万</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m³/年，灌区设计水平年2020</w:t>
            </w:r>
            <w:r>
              <w:rPr>
                <w:rFonts w:hint="default" w:ascii="Times New Roman" w:hAnsi="Times New Roman" w:eastAsia="宋体" w:cs="Times New Roman"/>
                <w:b w:val="0"/>
                <w:bCs w:val="0"/>
                <w:color w:val="000000" w:themeColor="text1"/>
                <w:spacing w:val="-57"/>
                <w:kern w:val="0"/>
                <w:sz w:val="24"/>
                <w:szCs w:val="24"/>
                <w14:textFill>
                  <w14:solidFill>
                    <w14:schemeClr w14:val="tx1"/>
                  </w14:solidFill>
                </w14:textFill>
              </w:rPr>
              <w:t xml:space="preserve"> </w:t>
            </w:r>
            <w:r>
              <w:rPr>
                <w:rFonts w:hint="default" w:ascii="Times New Roman" w:hAnsi="Times New Roman" w:eastAsia="宋体" w:cs="Times New Roman"/>
                <w:b w:val="0"/>
                <w:bCs w:val="0"/>
                <w:color w:val="000000" w:themeColor="text1"/>
                <w:spacing w:val="-5"/>
                <w:kern w:val="0"/>
                <w:sz w:val="24"/>
                <w:szCs w:val="24"/>
                <w14:textFill>
                  <w14:solidFill>
                    <w14:schemeClr w14:val="tx1"/>
                  </w14:solidFill>
                </w14:textFill>
              </w:rPr>
              <w:t>年，灌溉保证率为</w:t>
            </w:r>
            <w:r>
              <w:rPr>
                <w:rFonts w:hint="eastAsia" w:eastAsia="宋体" w:cs="Times New Roman"/>
                <w:b w:val="0"/>
                <w:bCs w:val="0"/>
                <w:color w:val="000000" w:themeColor="text1"/>
                <w:spacing w:val="-5"/>
                <w:kern w:val="0"/>
                <w:sz w:val="24"/>
                <w:szCs w:val="24"/>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0%</w:t>
            </w:r>
            <w:r>
              <w:rPr>
                <w:rFonts w:hint="default" w:ascii="Times New Roman" w:hAnsi="Times New Roman" w:eastAsia="宋体" w:cs="Times New Roman"/>
                <w:b w:val="0"/>
                <w:bCs w:val="0"/>
                <w:color w:val="000000" w:themeColor="text1"/>
                <w:spacing w:val="-7"/>
                <w:kern w:val="0"/>
                <w:sz w:val="24"/>
                <w:szCs w:val="24"/>
                <w14:textFill>
                  <w14:solidFill>
                    <w14:schemeClr w14:val="tx1"/>
                  </w14:solidFill>
                </w14:textFill>
              </w:rPr>
              <w:t>，灌溉用水量</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3029.27</w:t>
            </w:r>
            <w:r>
              <w:rPr>
                <w:rFonts w:hint="default" w:ascii="Times New Roman" w:hAnsi="Times New Roman" w:eastAsia="宋体" w:cs="Times New Roman"/>
                <w:b w:val="0"/>
                <w:bCs w:val="0"/>
                <w:color w:val="000000" w:themeColor="text1"/>
                <w:spacing w:val="-20"/>
                <w:kern w:val="0"/>
                <w:sz w:val="24"/>
                <w:szCs w:val="24"/>
                <w14:textFill>
                  <w14:solidFill>
                    <w14:schemeClr w14:val="tx1"/>
                  </w14:solidFill>
                </w14:textFill>
              </w:rPr>
              <w:t xml:space="preserve">万 </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m³/</w:t>
            </w:r>
            <w:r>
              <w:rPr>
                <w:rFonts w:hint="default" w:ascii="Times New Roman" w:hAnsi="Times New Roman" w:eastAsia="宋体" w:cs="Times New Roman"/>
                <w:b w:val="0"/>
                <w:bCs w:val="0"/>
                <w:color w:val="000000" w:themeColor="text1"/>
                <w:spacing w:val="-5"/>
                <w:kern w:val="0"/>
                <w:sz w:val="24"/>
                <w:szCs w:val="24"/>
                <w14:textFill>
                  <w14:solidFill>
                    <w14:schemeClr w14:val="tx1"/>
                  </w14:solidFill>
                </w14:textFill>
              </w:rPr>
              <w:t>年；</w:t>
            </w:r>
            <w:r>
              <w:rPr>
                <w:rFonts w:hint="default" w:ascii="Times New Roman" w:hAnsi="Times New Roman" w:eastAsia="宋体" w:cs="Times New Roman"/>
                <w:color w:val="000000" w:themeColor="text1"/>
                <w:sz w:val="24"/>
                <w:lang w:val="en-US" w:eastAsia="zh-CN"/>
                <w14:textFill>
                  <w14:solidFill>
                    <w14:schemeClr w14:val="tx1"/>
                  </w14:solidFill>
                </w14:textFill>
              </w:rPr>
              <w:t>本项目年供水量1679万m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/年，余水116万m³/年，水量充足</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w:t>
            </w:r>
            <w:r>
              <w:rPr>
                <w:rFonts w:hint="default" w:ascii="Times New Roman" w:hAnsi="Times New Roman" w:eastAsia="宋体" w:cs="Times New Roman"/>
                <w:b w:val="0"/>
                <w:bCs w:val="0"/>
                <w:color w:val="000000" w:themeColor="text1"/>
                <w:sz w:val="24"/>
                <w:szCs w:val="24"/>
                <w14:textFill>
                  <w14:solidFill>
                    <w14:schemeClr w14:val="tx1"/>
                  </w14:solidFill>
                </w14:textFill>
              </w:rPr>
              <w:t>且段家峡水库具有一定的调蓄能力，</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本项目</w:t>
            </w:r>
            <w:r>
              <w:rPr>
                <w:rFonts w:hint="default" w:ascii="Times New Roman" w:hAnsi="Times New Roman" w:eastAsia="宋体" w:cs="Times New Roman"/>
                <w:b w:val="0"/>
                <w:bCs w:val="0"/>
                <w:color w:val="000000" w:themeColor="text1"/>
                <w:sz w:val="24"/>
                <w:szCs w:val="24"/>
                <w14:textFill>
                  <w14:solidFill>
                    <w14:schemeClr w14:val="tx1"/>
                  </w14:solidFill>
                </w14:textFill>
              </w:rPr>
              <w:t>取水造成的短期影响，在其自身调节下可以得到有效缓解和消除，因此工程取水对区域水资源状况的影响较小。</w:t>
            </w:r>
          </w:p>
          <w:p>
            <w:pPr>
              <w:keepNext w:val="0"/>
              <w:keepLines w:val="0"/>
              <w:pageBreakBefore w:val="0"/>
              <w:widowControl w:val="0"/>
              <w:kinsoku/>
              <w:wordWrap/>
              <w:overflowPunct/>
              <w:topLinePunct w:val="0"/>
              <w:autoSpaceDE w:val="0"/>
              <w:autoSpaceDN w:val="0"/>
              <w:bidi w:val="0"/>
              <w:adjustRightInd/>
              <w:snapToGrid/>
              <w:spacing w:line="360" w:lineRule="auto"/>
              <w:ind w:right="0" w:firstLine="480" w:firstLineChars="200"/>
              <w:textAlignment w:val="auto"/>
              <w:rPr>
                <w:rFonts w:hint="default" w:ascii="Times New Roman" w:hAnsi="Times New Roman" w:cs="Times New Roman"/>
                <w:b w:val="0"/>
                <w:bCs w:val="0"/>
                <w:color w:val="000000" w:themeColor="text1"/>
                <w:sz w:val="24"/>
                <w:szCs w:val="24"/>
                <w14:textFill>
                  <w14:solidFill>
                    <w14:schemeClr w14:val="tx1"/>
                  </w14:solidFill>
                </w14:textFill>
              </w:rPr>
            </w:pPr>
            <w:r>
              <w:rPr>
                <w:rFonts w:hint="eastAsia" w:eastAsia="宋体" w:cs="Times New Roman"/>
                <w:b w:val="0"/>
                <w:bCs w:val="0"/>
                <w:color w:val="000000" w:themeColor="text1"/>
                <w:kern w:val="0"/>
                <w:sz w:val="24"/>
                <w:szCs w:val="24"/>
                <w:lang w:eastAsia="zh-CN"/>
                <w14:textFill>
                  <w14:solidFill>
                    <w14:schemeClr w14:val="tx1"/>
                  </w14:solidFill>
                </w14:textFill>
              </w:rPr>
              <w:t>（</w:t>
            </w:r>
            <w:r>
              <w:rPr>
                <w:rFonts w:hint="eastAsia" w:eastAsia="宋体" w:cs="Times New Roman"/>
                <w:b w:val="0"/>
                <w:bCs w:val="0"/>
                <w:color w:val="000000" w:themeColor="text1"/>
                <w:kern w:val="0"/>
                <w:sz w:val="24"/>
                <w:szCs w:val="24"/>
                <w:lang w:val="en-US" w:eastAsia="zh-CN"/>
                <w14:textFill>
                  <w14:solidFill>
                    <w14:schemeClr w14:val="tx1"/>
                  </w14:solidFill>
                </w14:textFill>
              </w:rPr>
              <w:t>2</w:t>
            </w:r>
            <w:r>
              <w:rPr>
                <w:rFonts w:hint="eastAsia" w:eastAsia="宋体" w:cs="Times New Roman"/>
                <w:b w:val="0"/>
                <w:bCs w:val="0"/>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14:textFill>
                  <w14:solidFill>
                    <w14:schemeClr w14:val="tx1"/>
                  </w14:solidFill>
                </w14:textFill>
              </w:rPr>
              <w:t>对水生生态系统的影响</w:t>
            </w:r>
          </w:p>
          <w:p>
            <w:pPr>
              <w:keepNext w:val="0"/>
              <w:keepLines w:val="0"/>
              <w:pageBreakBefore w:val="0"/>
              <w:widowControl w:val="0"/>
              <w:kinsoku/>
              <w:wordWrap/>
              <w:overflowPunct/>
              <w:topLinePunct w:val="0"/>
              <w:autoSpaceDE w:val="0"/>
              <w:autoSpaceDN w:val="0"/>
              <w:bidi w:val="0"/>
              <w:adjustRightInd/>
              <w:snapToGrid/>
              <w:spacing w:line="360" w:lineRule="auto"/>
              <w:ind w:right="0" w:firstLine="480" w:firstLineChars="200"/>
              <w:textAlignment w:val="auto"/>
              <w:rPr>
                <w:rFonts w:hint="default" w:ascii="Times New Roman" w:hAnsi="Times New Roman"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水源区域水生态主要为水库生态环境用水。正常年份水库需水量充足，本项目取水对生态系统基本上无影响，枯水年份项目取水对生态系统有一定的影响，但是遇大旱或枯水季节，有河水进行补充，届时水量能够满足需求，对生态系统的影响很小。</w:t>
            </w:r>
          </w:p>
          <w:p>
            <w:pPr>
              <w:keepNext w:val="0"/>
              <w:keepLines w:val="0"/>
              <w:pageBreakBefore w:val="0"/>
              <w:widowControl w:val="0"/>
              <w:kinsoku/>
              <w:wordWrap/>
              <w:overflowPunct/>
              <w:topLinePunct w:val="0"/>
              <w:autoSpaceDE w:val="0"/>
              <w:autoSpaceDN w:val="0"/>
              <w:bidi w:val="0"/>
              <w:adjustRightInd/>
              <w:snapToGrid/>
              <w:spacing w:line="360" w:lineRule="auto"/>
              <w:ind w:right="0" w:firstLine="480" w:firstLineChars="200"/>
              <w:textAlignment w:val="auto"/>
              <w:rPr>
                <w:rFonts w:hint="default" w:ascii="Times New Roman" w:hAnsi="Times New Roman" w:cs="Times New Roman"/>
                <w:b w:val="0"/>
                <w:bCs w:val="0"/>
                <w:color w:val="000000" w:themeColor="text1"/>
                <w:sz w:val="24"/>
                <w:szCs w:val="24"/>
                <w14:textFill>
                  <w14:solidFill>
                    <w14:schemeClr w14:val="tx1"/>
                  </w14:solidFill>
                </w14:textFill>
              </w:rPr>
            </w:pPr>
            <w:r>
              <w:rPr>
                <w:rFonts w:hint="eastAsia" w:eastAsia="宋体" w:cs="Times New Roman"/>
                <w:b w:val="0"/>
                <w:bCs w:val="0"/>
                <w:color w:val="000000" w:themeColor="text1"/>
                <w:kern w:val="0"/>
                <w:sz w:val="24"/>
                <w:szCs w:val="24"/>
                <w:lang w:eastAsia="zh-CN"/>
                <w14:textFill>
                  <w14:solidFill>
                    <w14:schemeClr w14:val="tx1"/>
                  </w14:solidFill>
                </w14:textFill>
              </w:rPr>
              <w:t>（</w:t>
            </w:r>
            <w:r>
              <w:rPr>
                <w:rFonts w:hint="eastAsia" w:eastAsia="宋体" w:cs="Times New Roman"/>
                <w:b w:val="0"/>
                <w:bCs w:val="0"/>
                <w:color w:val="000000" w:themeColor="text1"/>
                <w:kern w:val="0"/>
                <w:sz w:val="24"/>
                <w:szCs w:val="24"/>
                <w:lang w:val="en-US" w:eastAsia="zh-CN"/>
                <w14:textFill>
                  <w14:solidFill>
                    <w14:schemeClr w14:val="tx1"/>
                  </w14:solidFill>
                </w14:textFill>
              </w:rPr>
              <w:t>3</w:t>
            </w:r>
            <w:r>
              <w:rPr>
                <w:rFonts w:hint="eastAsia" w:eastAsia="宋体" w:cs="Times New Roman"/>
                <w:b w:val="0"/>
                <w:bCs w:val="0"/>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14:textFill>
                  <w14:solidFill>
                    <w14:schemeClr w14:val="tx1"/>
                  </w14:solidFill>
                </w14:textFill>
              </w:rPr>
              <w:t>对农业灌溉用水的影响</w:t>
            </w:r>
          </w:p>
          <w:p>
            <w:pPr>
              <w:keepNext w:val="0"/>
              <w:keepLines w:val="0"/>
              <w:pageBreakBefore w:val="0"/>
              <w:widowControl w:val="0"/>
              <w:kinsoku/>
              <w:wordWrap/>
              <w:overflowPunct/>
              <w:topLinePunct w:val="0"/>
              <w:autoSpaceDE w:val="0"/>
              <w:autoSpaceDN w:val="0"/>
              <w:bidi w:val="0"/>
              <w:adjustRightInd/>
              <w:snapToGrid/>
              <w:spacing w:line="360" w:lineRule="auto"/>
              <w:ind w:right="0" w:firstLine="480" w:firstLineChars="200"/>
              <w:textAlignment w:val="auto"/>
              <w:rPr>
                <w:rFonts w:hint="eastAsia" w:cs="Times New Roman"/>
                <w:b w:val="0"/>
                <w:bCs w:val="0"/>
                <w:color w:val="000000" w:themeColor="text1"/>
                <w:sz w:val="24"/>
                <w:szCs w:val="24"/>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两座水库是周边农业用水主要水源，农灌用水量大，正常年份两座水库需水量充足，本项目取水对灌溉用水影响很小，枯水年份项目取水对农业灌溉用水有一定的影响，但是遇大旱或枯水季节，有河水进行补充，届时水量能够满足需求，对农业灌溉用水影响很小</w:t>
            </w:r>
            <w:r>
              <w:rPr>
                <w:rFonts w:hint="eastAsia" w:cs="Times New Roman"/>
                <w:b w:val="0"/>
                <w:bCs w:val="0"/>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spacing w:line="360" w:lineRule="auto"/>
              <w:ind w:right="0" w:firstLine="480" w:firstLineChars="200"/>
              <w:textAlignment w:val="auto"/>
              <w:rPr>
                <w:rFonts w:hint="eastAsia" w:cs="Times New Roman"/>
                <w:b w:val="0"/>
                <w:bCs w:val="0"/>
                <w:color w:val="000000" w:themeColor="text1"/>
                <w:sz w:val="24"/>
                <w:szCs w:val="24"/>
                <w:lang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360" w:lineRule="auto"/>
              <w:ind w:right="0" w:firstLine="480" w:firstLineChars="200"/>
              <w:textAlignment w:val="auto"/>
              <w:rPr>
                <w:rFonts w:hint="eastAsia" w:cs="Times New Roman"/>
                <w:b w:val="0"/>
                <w:bCs w:val="0"/>
                <w:color w:val="000000" w:themeColor="text1"/>
                <w:sz w:val="24"/>
                <w:szCs w:val="24"/>
                <w:lang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360" w:lineRule="auto"/>
              <w:ind w:right="0" w:firstLine="480" w:firstLineChars="200"/>
              <w:textAlignment w:val="auto"/>
              <w:rPr>
                <w:rFonts w:hint="eastAsia" w:cs="Times New Roman"/>
                <w:b w:val="0"/>
                <w:bCs w:val="0"/>
                <w:color w:val="000000" w:themeColor="text1"/>
                <w:sz w:val="24"/>
                <w:szCs w:val="24"/>
                <w:lang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360" w:lineRule="auto"/>
              <w:ind w:right="0" w:firstLine="480" w:firstLineChars="200"/>
              <w:textAlignment w:val="auto"/>
              <w:rPr>
                <w:rFonts w:hint="eastAsia" w:cs="Times New Roman"/>
                <w:b w:val="0"/>
                <w:bCs w:val="0"/>
                <w:color w:val="000000" w:themeColor="text1"/>
                <w:sz w:val="24"/>
                <w:szCs w:val="24"/>
                <w:lang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360" w:lineRule="auto"/>
              <w:ind w:right="0" w:firstLine="480" w:firstLineChars="200"/>
              <w:textAlignment w:val="auto"/>
              <w:rPr>
                <w:rFonts w:hint="eastAsia" w:cs="Times New Roman"/>
                <w:b w:val="0"/>
                <w:bCs w:val="0"/>
                <w:color w:val="000000" w:themeColor="text1"/>
                <w:sz w:val="24"/>
                <w:szCs w:val="24"/>
                <w:lang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360" w:lineRule="auto"/>
              <w:ind w:right="0" w:firstLine="480" w:firstLineChars="200"/>
              <w:textAlignment w:val="auto"/>
              <w:rPr>
                <w:rFonts w:hint="eastAsia" w:cs="Times New Roman"/>
                <w:b w:val="0"/>
                <w:bCs w:val="0"/>
                <w:color w:val="000000" w:themeColor="text1"/>
                <w:sz w:val="24"/>
                <w:szCs w:val="24"/>
                <w:lang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360" w:lineRule="auto"/>
              <w:ind w:right="0" w:firstLine="480" w:firstLineChars="200"/>
              <w:textAlignment w:val="auto"/>
              <w:rPr>
                <w:rFonts w:hint="eastAsia" w:cs="Times New Roman"/>
                <w:b w:val="0"/>
                <w:bCs w:val="0"/>
                <w:color w:val="000000" w:themeColor="text1"/>
                <w:sz w:val="24"/>
                <w:szCs w:val="24"/>
                <w:lang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360" w:lineRule="auto"/>
              <w:ind w:right="0" w:firstLine="480" w:firstLineChars="200"/>
              <w:textAlignment w:val="auto"/>
              <w:rPr>
                <w:rFonts w:hint="default" w:ascii="Times New Roman" w:hAnsi="Times New Roman" w:cs="Times New Roman"/>
                <w:b w:val="0"/>
                <w:bCs w:val="0"/>
                <w:color w:val="000000" w:themeColor="text1"/>
                <w:sz w:val="24"/>
                <w:szCs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98" w:hRule="atLeast"/>
          <w:jc w:val="center"/>
        </w:trPr>
        <w:tc>
          <w:tcPr>
            <w:tcW w:w="879" w:type="dxa"/>
            <w:tcMar>
              <w:left w:w="28" w:type="dxa"/>
              <w:right w:w="28" w:type="dxa"/>
            </w:tcMar>
            <w:vAlign w:val="center"/>
          </w:tcPr>
          <w:p>
            <w:pPr>
              <w:pStyle w:val="19"/>
              <w:adjustRightInd w:val="0"/>
              <w:snapToGrid w:val="0"/>
              <w:spacing w:before="0" w:beforeAutospacing="0" w:after="0" w:afterAutospacing="0"/>
              <w:jc w:val="center"/>
              <w:rPr>
                <w:rFonts w:hint="default" w:ascii="Times New Roman" w:hAnsi="Times New Roman" w:cs="Times New Roman"/>
                <w:bCs/>
                <w:color w:val="000000" w:themeColor="text1"/>
                <w:kern w:val="2"/>
                <w:sz w:val="21"/>
                <w:szCs w:val="21"/>
                <w14:textFill>
                  <w14:solidFill>
                    <w14:schemeClr w14:val="tx1"/>
                  </w14:solidFill>
                </w14:textFill>
              </w:rPr>
            </w:pPr>
            <w:r>
              <w:rPr>
                <w:rFonts w:hint="default" w:ascii="Times New Roman" w:hAnsi="Times New Roman" w:eastAsia="宋体" w:cs="Times New Roman"/>
                <w:bCs/>
                <w:color w:val="000000" w:themeColor="text1"/>
                <w:spacing w:val="10"/>
                <w:kern w:val="2"/>
                <w:sz w:val="21"/>
                <w:szCs w:val="21"/>
                <w14:textFill>
                  <w14:solidFill>
                    <w14:schemeClr w14:val="tx1"/>
                  </w14:solidFill>
                </w14:textFill>
              </w:rPr>
              <w:t>运营期生态环境影响分析</w:t>
            </w:r>
          </w:p>
        </w:tc>
        <w:tc>
          <w:tcPr>
            <w:tcW w:w="8363"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本项目运营期污染主要为净水厂营运过程产生的污染。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一、废气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1、废气污染物排放情况</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000000" w:themeColor="text1"/>
                <w:sz w:val="24"/>
                <w:szCs w:val="21"/>
                <w14:textFill>
                  <w14:solidFill>
                    <w14:schemeClr w14:val="tx1"/>
                  </w14:solidFill>
                </w14:textFill>
              </w:rPr>
            </w:pPr>
            <w:r>
              <w:rPr>
                <w:rFonts w:hint="default" w:ascii="Times New Roman" w:hAnsi="Times New Roman" w:eastAsia="宋体" w:cs="Times New Roman"/>
                <w:b/>
                <w:bCs/>
                <w:color w:val="000000" w:themeColor="text1"/>
                <w:sz w:val="24"/>
                <w:szCs w:val="21"/>
                <w14:textFill>
                  <w14:solidFill>
                    <w14:schemeClr w14:val="tx1"/>
                  </w14:solidFill>
                </w14:textFill>
              </w:rPr>
              <w:t>表4-</w:t>
            </w:r>
            <w:r>
              <w:rPr>
                <w:rFonts w:hint="eastAsia" w:cs="Times New Roman"/>
                <w:b/>
                <w:bCs/>
                <w:color w:val="000000" w:themeColor="text1"/>
                <w:sz w:val="24"/>
                <w:szCs w:val="21"/>
                <w:lang w:val="en-US" w:eastAsia="zh-CN"/>
                <w14:textFill>
                  <w14:solidFill>
                    <w14:schemeClr w14:val="tx1"/>
                  </w14:solidFill>
                </w14:textFill>
              </w:rPr>
              <w:t>8</w:t>
            </w:r>
            <w:r>
              <w:rPr>
                <w:rFonts w:hint="default" w:ascii="Times New Roman" w:hAnsi="Times New Roman" w:eastAsia="宋体" w:cs="Times New Roman"/>
                <w:b/>
                <w:bCs/>
                <w:color w:val="000000" w:themeColor="text1"/>
                <w:sz w:val="24"/>
                <w:szCs w:val="2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1"/>
                <w14:textFill>
                  <w14:solidFill>
                    <w14:schemeClr w14:val="tx1"/>
                  </w14:solidFill>
                </w14:textFill>
              </w:rPr>
              <w:t>废气污染源源强核算汇总</w:t>
            </w:r>
            <w:r>
              <w:rPr>
                <w:rFonts w:hint="default" w:ascii="Times New Roman" w:hAnsi="Times New Roman" w:eastAsia="宋体" w:cs="Times New Roman"/>
                <w:b/>
                <w:bCs/>
                <w:color w:val="000000" w:themeColor="text1"/>
                <w:sz w:val="24"/>
                <w:szCs w:val="21"/>
                <w:lang w:val="en-US" w:eastAsia="zh-CN"/>
                <w14:textFill>
                  <w14:solidFill>
                    <w14:schemeClr w14:val="tx1"/>
                  </w14:solidFill>
                </w14:textFill>
              </w:rPr>
              <w:t>表</w:t>
            </w:r>
            <w:r>
              <w:rPr>
                <w:rFonts w:hint="default" w:ascii="Times New Roman" w:hAnsi="Times New Roman" w:eastAsia="宋体" w:cs="Times New Roman"/>
                <w:b/>
                <w:bCs/>
                <w:color w:val="000000" w:themeColor="text1"/>
                <w:sz w:val="24"/>
                <w:szCs w:val="21"/>
                <w14:textFill>
                  <w14:solidFill>
                    <w14:schemeClr w14:val="tx1"/>
                  </w14:solidFill>
                </w14:textFill>
              </w:rPr>
              <w:t>。</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52"/>
              <w:gridCol w:w="499"/>
              <w:gridCol w:w="488"/>
              <w:gridCol w:w="563"/>
              <w:gridCol w:w="508"/>
              <w:gridCol w:w="513"/>
              <w:gridCol w:w="570"/>
              <w:gridCol w:w="1453"/>
              <w:gridCol w:w="515"/>
              <w:gridCol w:w="499"/>
              <w:gridCol w:w="593"/>
              <w:gridCol w:w="604"/>
              <w:gridCol w:w="418"/>
              <w:gridCol w:w="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77" w:type="pct"/>
                  <w:vMerge w:val="restart"/>
                  <w:noWrap w:val="0"/>
                  <w:vAlign w:val="center"/>
                </w:tcPr>
                <w:p>
                  <w:pPr>
                    <w:widowControl/>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工序/生产线</w:t>
                  </w:r>
                </w:p>
              </w:tc>
              <w:tc>
                <w:tcPr>
                  <w:tcW w:w="306" w:type="pct"/>
                  <w:vMerge w:val="restart"/>
                  <w:noWrap w:val="0"/>
                  <w:vAlign w:val="center"/>
                </w:tcPr>
                <w:p>
                  <w:pPr>
                    <w:widowControl/>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装置</w:t>
                  </w:r>
                </w:p>
              </w:tc>
              <w:tc>
                <w:tcPr>
                  <w:tcW w:w="299" w:type="pct"/>
                  <w:vMerge w:val="restart"/>
                  <w:noWrap w:val="0"/>
                  <w:vAlign w:val="center"/>
                </w:tcPr>
                <w:p>
                  <w:pPr>
                    <w:widowControl/>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污染源</w:t>
                  </w:r>
                </w:p>
              </w:tc>
              <w:tc>
                <w:tcPr>
                  <w:tcW w:w="345" w:type="pct"/>
                  <w:vMerge w:val="restart"/>
                  <w:noWrap w:val="0"/>
                  <w:vAlign w:val="center"/>
                </w:tcPr>
                <w:p>
                  <w:pPr>
                    <w:widowControl/>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污染物</w:t>
                  </w:r>
                </w:p>
              </w:tc>
              <w:tc>
                <w:tcPr>
                  <w:tcW w:w="312" w:type="pct"/>
                  <w:vMerge w:val="restart"/>
                  <w:noWrap w:val="0"/>
                  <w:vAlign w:val="center"/>
                </w:tcPr>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排放形式</w:t>
                  </w:r>
                </w:p>
              </w:tc>
              <w:tc>
                <w:tcPr>
                  <w:tcW w:w="665" w:type="pct"/>
                  <w:gridSpan w:val="2"/>
                  <w:noWrap w:val="0"/>
                  <w:vAlign w:val="center"/>
                </w:tcPr>
                <w:p>
                  <w:pPr>
                    <w:widowControl/>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污染物产生</w:t>
                  </w:r>
                </w:p>
              </w:tc>
              <w:tc>
                <w:tcPr>
                  <w:tcW w:w="1515" w:type="pct"/>
                  <w:gridSpan w:val="3"/>
                  <w:noWrap w:val="0"/>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处理措施</w:t>
                  </w:r>
                </w:p>
              </w:tc>
              <w:tc>
                <w:tcPr>
                  <w:tcW w:w="992" w:type="pct"/>
                  <w:gridSpan w:val="3"/>
                  <w:noWrap w:val="0"/>
                  <w:vAlign w:val="center"/>
                </w:tcPr>
                <w:p>
                  <w:pPr>
                    <w:widowControl/>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污染物排放</w:t>
                  </w:r>
                </w:p>
              </w:tc>
              <w:tc>
                <w:tcPr>
                  <w:tcW w:w="283" w:type="pct"/>
                  <w:vMerge w:val="restart"/>
                  <w:noWrap w:val="0"/>
                  <w:vAlign w:val="center"/>
                </w:tcPr>
                <w:p>
                  <w:pPr>
                    <w:widowControl/>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排放</w:t>
                  </w:r>
                </w:p>
                <w:p>
                  <w:pPr>
                    <w:widowControl/>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时间</w:t>
                  </w:r>
                </w:p>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h/a</w:t>
                  </w:r>
                  <w:r>
                    <w:rPr>
                      <w:rFonts w:hint="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77" w:type="pct"/>
                  <w:vMerge w:val="continue"/>
                  <w:noWrap w:val="0"/>
                  <w:vAlign w:val="center"/>
                </w:tcPr>
                <w:p>
                  <w:pPr>
                    <w:widowControl/>
                    <w:jc w:val="left"/>
                    <w:rPr>
                      <w:color w:val="000000" w:themeColor="text1"/>
                      <w:sz w:val="18"/>
                      <w:szCs w:val="18"/>
                      <w14:textFill>
                        <w14:solidFill>
                          <w14:schemeClr w14:val="tx1"/>
                        </w14:solidFill>
                      </w14:textFill>
                    </w:rPr>
                  </w:pPr>
                </w:p>
              </w:tc>
              <w:tc>
                <w:tcPr>
                  <w:tcW w:w="306" w:type="pct"/>
                  <w:vMerge w:val="continue"/>
                  <w:noWrap w:val="0"/>
                  <w:vAlign w:val="center"/>
                </w:tcPr>
                <w:p>
                  <w:pPr>
                    <w:widowControl/>
                    <w:jc w:val="left"/>
                    <w:rPr>
                      <w:color w:val="000000" w:themeColor="text1"/>
                      <w:sz w:val="18"/>
                      <w:szCs w:val="18"/>
                      <w14:textFill>
                        <w14:solidFill>
                          <w14:schemeClr w14:val="tx1"/>
                        </w14:solidFill>
                      </w14:textFill>
                    </w:rPr>
                  </w:pPr>
                </w:p>
              </w:tc>
              <w:tc>
                <w:tcPr>
                  <w:tcW w:w="299" w:type="pct"/>
                  <w:vMerge w:val="continue"/>
                  <w:noWrap w:val="0"/>
                  <w:vAlign w:val="center"/>
                </w:tcPr>
                <w:p>
                  <w:pPr>
                    <w:widowControl/>
                    <w:jc w:val="left"/>
                    <w:rPr>
                      <w:color w:val="000000" w:themeColor="text1"/>
                      <w:sz w:val="18"/>
                      <w:szCs w:val="18"/>
                      <w14:textFill>
                        <w14:solidFill>
                          <w14:schemeClr w14:val="tx1"/>
                        </w14:solidFill>
                      </w14:textFill>
                    </w:rPr>
                  </w:pPr>
                </w:p>
              </w:tc>
              <w:tc>
                <w:tcPr>
                  <w:tcW w:w="345" w:type="pct"/>
                  <w:vMerge w:val="continue"/>
                  <w:noWrap w:val="0"/>
                  <w:vAlign w:val="center"/>
                </w:tcPr>
                <w:p>
                  <w:pPr>
                    <w:widowControl/>
                    <w:jc w:val="left"/>
                    <w:rPr>
                      <w:color w:val="000000" w:themeColor="text1"/>
                      <w:sz w:val="18"/>
                      <w:szCs w:val="18"/>
                      <w14:textFill>
                        <w14:solidFill>
                          <w14:schemeClr w14:val="tx1"/>
                        </w14:solidFill>
                      </w14:textFill>
                    </w:rPr>
                  </w:pPr>
                </w:p>
              </w:tc>
              <w:tc>
                <w:tcPr>
                  <w:tcW w:w="312" w:type="pct"/>
                  <w:vMerge w:val="continue"/>
                  <w:noWrap w:val="0"/>
                  <w:vAlign w:val="center"/>
                </w:tcPr>
                <w:p>
                  <w:pPr>
                    <w:widowControl/>
                    <w:jc w:val="left"/>
                    <w:rPr>
                      <w:color w:val="000000" w:themeColor="text1"/>
                      <w:sz w:val="18"/>
                      <w:szCs w:val="18"/>
                      <w14:textFill>
                        <w14:solidFill>
                          <w14:schemeClr w14:val="tx1"/>
                        </w14:solidFill>
                      </w14:textFill>
                    </w:rPr>
                  </w:pPr>
                </w:p>
              </w:tc>
              <w:tc>
                <w:tcPr>
                  <w:tcW w:w="315" w:type="pct"/>
                  <w:noWrap w:val="0"/>
                  <w:vAlign w:val="center"/>
                </w:tcPr>
                <w:p>
                  <w:pPr>
                    <w:widowControl/>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产生</w:t>
                  </w:r>
                </w:p>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浓度（mg/m</w:t>
                  </w:r>
                  <w:r>
                    <w:rPr>
                      <w:rFonts w:hint="eastAsia"/>
                      <w:color w:val="000000" w:themeColor="text1"/>
                      <w:sz w:val="18"/>
                      <w:szCs w:val="18"/>
                      <w:vertAlign w:val="superscript"/>
                      <w14:textFill>
                        <w14:solidFill>
                          <w14:schemeClr w14:val="tx1"/>
                        </w14:solidFill>
                      </w14:textFill>
                    </w:rPr>
                    <w:t>3</w:t>
                  </w:r>
                  <w:r>
                    <w:rPr>
                      <w:rFonts w:hint="eastAsia"/>
                      <w:color w:val="000000" w:themeColor="text1"/>
                      <w:sz w:val="18"/>
                      <w:szCs w:val="18"/>
                      <w14:textFill>
                        <w14:solidFill>
                          <w14:schemeClr w14:val="tx1"/>
                        </w14:solidFill>
                      </w14:textFill>
                    </w:rPr>
                    <w:t>）</w:t>
                  </w:r>
                </w:p>
              </w:tc>
              <w:tc>
                <w:tcPr>
                  <w:tcW w:w="350" w:type="pct"/>
                  <w:noWrap w:val="0"/>
                  <w:vAlign w:val="center"/>
                </w:tcPr>
                <w:p>
                  <w:pPr>
                    <w:widowControl/>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产生量</w:t>
                  </w: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t/a</w:t>
                  </w:r>
                  <w:r>
                    <w:rPr>
                      <w:rFonts w:hint="eastAsia"/>
                      <w:color w:val="000000" w:themeColor="text1"/>
                      <w:sz w:val="18"/>
                      <w:szCs w:val="18"/>
                      <w14:textFill>
                        <w14:solidFill>
                          <w14:schemeClr w14:val="tx1"/>
                        </w14:solidFill>
                      </w14:textFill>
                    </w:rPr>
                    <w:t>）</w:t>
                  </w:r>
                </w:p>
              </w:tc>
              <w:tc>
                <w:tcPr>
                  <w:tcW w:w="892" w:type="pct"/>
                  <w:noWrap w:val="0"/>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工艺</w:t>
                  </w:r>
                </w:p>
              </w:tc>
              <w:tc>
                <w:tcPr>
                  <w:tcW w:w="316" w:type="pct"/>
                  <w:noWrap w:val="0"/>
                  <w:vAlign w:val="center"/>
                </w:tcPr>
                <w:p>
                  <w:pPr>
                    <w:widowControl/>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效率</w:t>
                  </w:r>
                </w:p>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w:t>
                  </w:r>
                </w:p>
              </w:tc>
              <w:tc>
                <w:tcPr>
                  <w:tcW w:w="306" w:type="pct"/>
                  <w:noWrap w:val="0"/>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是否可行技术</w:t>
                  </w:r>
                </w:p>
              </w:tc>
              <w:tc>
                <w:tcPr>
                  <w:tcW w:w="364" w:type="pct"/>
                  <w:noWrap w:val="0"/>
                  <w:vAlign w:val="center"/>
                </w:tcPr>
                <w:p>
                  <w:pPr>
                    <w:widowControl/>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排放</w:t>
                  </w:r>
                </w:p>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浓度（mg/m</w:t>
                  </w:r>
                  <w:r>
                    <w:rPr>
                      <w:rFonts w:hint="eastAsia"/>
                      <w:color w:val="000000" w:themeColor="text1"/>
                      <w:sz w:val="18"/>
                      <w:szCs w:val="18"/>
                      <w:vertAlign w:val="superscript"/>
                      <w14:textFill>
                        <w14:solidFill>
                          <w14:schemeClr w14:val="tx1"/>
                        </w14:solidFill>
                      </w14:textFill>
                    </w:rPr>
                    <w:t>3</w:t>
                  </w:r>
                  <w:r>
                    <w:rPr>
                      <w:rFonts w:hint="eastAsia"/>
                      <w:color w:val="000000" w:themeColor="text1"/>
                      <w:sz w:val="18"/>
                      <w:szCs w:val="18"/>
                      <w14:textFill>
                        <w14:solidFill>
                          <w14:schemeClr w14:val="tx1"/>
                        </w14:solidFill>
                      </w14:textFill>
                    </w:rPr>
                    <w:t>）</w:t>
                  </w:r>
                </w:p>
              </w:tc>
              <w:tc>
                <w:tcPr>
                  <w:tcW w:w="371" w:type="pct"/>
                  <w:noWrap w:val="0"/>
                  <w:vAlign w:val="center"/>
                </w:tcPr>
                <w:p>
                  <w:pPr>
                    <w:widowControl/>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排放量</w:t>
                  </w:r>
                </w:p>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t/a</w:t>
                  </w:r>
                  <w:r>
                    <w:rPr>
                      <w:rFonts w:hint="eastAsia"/>
                      <w:color w:val="000000" w:themeColor="text1"/>
                      <w:sz w:val="18"/>
                      <w:szCs w:val="18"/>
                      <w14:textFill>
                        <w14:solidFill>
                          <w14:schemeClr w14:val="tx1"/>
                        </w14:solidFill>
                      </w14:textFill>
                    </w:rPr>
                    <w:t>）</w:t>
                  </w:r>
                </w:p>
              </w:tc>
              <w:tc>
                <w:tcPr>
                  <w:tcW w:w="256" w:type="pct"/>
                  <w:noWrap w:val="0"/>
                  <w:vAlign w:val="center"/>
                </w:tcPr>
                <w:p>
                  <w:pPr>
                    <w:widowControl/>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排放</w:t>
                  </w:r>
                </w:p>
                <w:p>
                  <w:pPr>
                    <w:widowControl/>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速率</w:t>
                  </w:r>
                </w:p>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kg/h</w:t>
                  </w:r>
                  <w:r>
                    <w:rPr>
                      <w:rFonts w:hint="eastAsia"/>
                      <w:color w:val="000000" w:themeColor="text1"/>
                      <w:sz w:val="18"/>
                      <w:szCs w:val="18"/>
                      <w14:textFill>
                        <w14:solidFill>
                          <w14:schemeClr w14:val="tx1"/>
                        </w14:solidFill>
                      </w14:textFill>
                    </w:rPr>
                    <w:t>）</w:t>
                  </w:r>
                </w:p>
              </w:tc>
              <w:tc>
                <w:tcPr>
                  <w:tcW w:w="283" w:type="pct"/>
                  <w:vMerge w:val="continue"/>
                  <w:noWrap w:val="0"/>
                  <w:vAlign w:val="center"/>
                </w:tcPr>
                <w:p>
                  <w:pPr>
                    <w:widowControl/>
                    <w:jc w:val="left"/>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77" w:type="pct"/>
                  <w:vMerge w:val="restart"/>
                  <w:noWrap w:val="0"/>
                  <w:vAlign w:val="center"/>
                </w:tcPr>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锅炉燃气燃烧</w:t>
                  </w:r>
                </w:p>
              </w:tc>
              <w:tc>
                <w:tcPr>
                  <w:tcW w:w="306" w:type="pct"/>
                  <w:vMerge w:val="restart"/>
                  <w:noWrap w:val="0"/>
                  <w:vAlign w:val="center"/>
                </w:tcPr>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锅炉</w:t>
                  </w:r>
                </w:p>
              </w:tc>
              <w:tc>
                <w:tcPr>
                  <w:tcW w:w="299" w:type="pct"/>
                  <w:vMerge w:val="restart"/>
                  <w:noWrap w:val="0"/>
                  <w:vAlign w:val="center"/>
                </w:tcPr>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燃气废气</w:t>
                  </w:r>
                </w:p>
              </w:tc>
              <w:tc>
                <w:tcPr>
                  <w:tcW w:w="345" w:type="pct"/>
                  <w:noWrap w:val="0"/>
                  <w:vAlign w:val="center"/>
                </w:tcPr>
                <w:p>
                  <w:pPr>
                    <w:widowControl/>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颗粒物</w:t>
                  </w:r>
                </w:p>
              </w:tc>
              <w:tc>
                <w:tcPr>
                  <w:tcW w:w="312" w:type="pct"/>
                  <w:vMerge w:val="restart"/>
                  <w:noWrap w:val="0"/>
                  <w:vAlign w:val="center"/>
                </w:tcPr>
                <w:p>
                  <w:pPr>
                    <w:widowControl/>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有组织</w:t>
                  </w:r>
                </w:p>
              </w:tc>
              <w:tc>
                <w:tcPr>
                  <w:tcW w:w="315" w:type="pct"/>
                  <w:noWrap w:val="0"/>
                  <w:vAlign w:val="center"/>
                </w:tcPr>
                <w:p>
                  <w:pPr>
                    <w:widowControl/>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8.95</w:t>
                  </w:r>
                </w:p>
              </w:tc>
              <w:tc>
                <w:tcPr>
                  <w:tcW w:w="350" w:type="pct"/>
                  <w:noWrap w:val="0"/>
                  <w:vAlign w:val="center"/>
                </w:tcPr>
                <w:p>
                  <w:pPr>
                    <w:widowControl/>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0.01</w:t>
                  </w:r>
                </w:p>
              </w:tc>
              <w:tc>
                <w:tcPr>
                  <w:tcW w:w="892" w:type="pct"/>
                  <w:vMerge w:val="restart"/>
                  <w:noWrap w:val="0"/>
                  <w:vAlign w:val="center"/>
                </w:tcPr>
                <w:p>
                  <w:pPr>
                    <w:widowControl/>
                    <w:rPr>
                      <w:rFonts w:hint="eastAsia" w:eastAsia="宋体"/>
                      <w:bCs/>
                      <w:color w:val="000000" w:themeColor="text1"/>
                      <w:spacing w:val="-10"/>
                      <w:sz w:val="18"/>
                      <w:szCs w:val="18"/>
                      <w:lang w:eastAsia="zh-CN"/>
                      <w14:textFill>
                        <w14:solidFill>
                          <w14:schemeClr w14:val="tx1"/>
                        </w14:solidFill>
                      </w14:textFill>
                    </w:rPr>
                  </w:pPr>
                  <w:r>
                    <w:rPr>
                      <w:color w:val="000000" w:themeColor="text1"/>
                      <w:sz w:val="18"/>
                      <w:szCs w:val="18"/>
                      <w14:textFill>
                        <w14:solidFill>
                          <w14:schemeClr w14:val="tx1"/>
                        </w14:solidFill>
                      </w14:textFill>
                    </w:rPr>
                    <w:t>经</w:t>
                  </w:r>
                  <w:r>
                    <w:rPr>
                      <w:rFonts w:hint="eastAsia"/>
                      <w:color w:val="000000" w:themeColor="text1"/>
                      <w:kern w:val="0"/>
                      <w:sz w:val="18"/>
                      <w:szCs w:val="18"/>
                      <w14:textFill>
                        <w14:solidFill>
                          <w14:schemeClr w14:val="tx1"/>
                        </w14:solidFill>
                      </w14:textFill>
                    </w:rPr>
                    <w:t>低氮燃烧器</w:t>
                  </w:r>
                  <w:r>
                    <w:rPr>
                      <w:color w:val="000000" w:themeColor="text1"/>
                      <w:sz w:val="18"/>
                      <w:szCs w:val="18"/>
                      <w14:textFill>
                        <w14:solidFill>
                          <w14:schemeClr w14:val="tx1"/>
                        </w14:solidFill>
                      </w14:textFill>
                    </w:rPr>
                    <w:t>进行</w:t>
                  </w:r>
                  <w:r>
                    <w:rPr>
                      <w:rFonts w:hint="eastAsia"/>
                      <w:color w:val="000000" w:themeColor="text1"/>
                      <w:kern w:val="0"/>
                      <w:sz w:val="18"/>
                      <w:szCs w:val="18"/>
                      <w14:textFill>
                        <w14:solidFill>
                          <w14:schemeClr w14:val="tx1"/>
                        </w14:solidFill>
                      </w14:textFill>
                    </w:rPr>
                    <w:t>处理后通过锅炉顶部管道由1根8m高排气筒（排气筒编号：DA00</w:t>
                  </w:r>
                  <w:r>
                    <w:rPr>
                      <w:rFonts w:hint="eastAsia"/>
                      <w:color w:val="000000" w:themeColor="text1"/>
                      <w:kern w:val="0"/>
                      <w:sz w:val="18"/>
                      <w:szCs w:val="18"/>
                      <w:lang w:val="en-US" w:eastAsia="zh-CN"/>
                      <w14:textFill>
                        <w14:solidFill>
                          <w14:schemeClr w14:val="tx1"/>
                        </w14:solidFill>
                      </w14:textFill>
                    </w:rPr>
                    <w:t>1</w:t>
                  </w:r>
                  <w:r>
                    <w:rPr>
                      <w:rFonts w:hint="eastAsia"/>
                      <w:color w:val="000000" w:themeColor="text1"/>
                      <w:kern w:val="0"/>
                      <w:sz w:val="18"/>
                      <w:szCs w:val="18"/>
                      <w14:textFill>
                        <w14:solidFill>
                          <w14:schemeClr w14:val="tx1"/>
                        </w14:solidFill>
                      </w14:textFill>
                    </w:rPr>
                    <w:t>）高空排放</w:t>
                  </w:r>
                  <w:r>
                    <w:rPr>
                      <w:rFonts w:hint="eastAsia"/>
                      <w:color w:val="000000" w:themeColor="text1"/>
                      <w:kern w:val="0"/>
                      <w:sz w:val="18"/>
                      <w:szCs w:val="18"/>
                      <w:lang w:eastAsia="zh-CN"/>
                      <w14:textFill>
                        <w14:solidFill>
                          <w14:schemeClr w14:val="tx1"/>
                        </w14:solidFill>
                      </w14:textFill>
                    </w:rPr>
                    <w:t>。</w:t>
                  </w:r>
                </w:p>
              </w:tc>
              <w:tc>
                <w:tcPr>
                  <w:tcW w:w="316" w:type="pct"/>
                  <w:noWrap w:val="0"/>
                  <w:vAlign w:val="center"/>
                </w:tcPr>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c>
                <w:tcPr>
                  <w:tcW w:w="306" w:type="pct"/>
                  <w:noWrap w:val="0"/>
                  <w:vAlign w:val="center"/>
                </w:tcPr>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c>
                <w:tcPr>
                  <w:tcW w:w="593" w:type="dxa"/>
                  <w:noWrap w:val="0"/>
                  <w:vAlign w:val="center"/>
                </w:tcPr>
                <w:p>
                  <w:pPr>
                    <w:widowControl/>
                    <w:jc w:val="center"/>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8.95</w:t>
                  </w:r>
                </w:p>
              </w:tc>
              <w:tc>
                <w:tcPr>
                  <w:tcW w:w="604" w:type="dxa"/>
                  <w:noWrap w:val="0"/>
                  <w:vAlign w:val="center"/>
                </w:tcPr>
                <w:p>
                  <w:pPr>
                    <w:widowControl/>
                    <w:jc w:val="center"/>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0.01</w:t>
                  </w:r>
                </w:p>
              </w:tc>
              <w:tc>
                <w:tcPr>
                  <w:tcW w:w="256" w:type="pct"/>
                  <w:noWrap w:val="0"/>
                  <w:vAlign w:val="center"/>
                </w:tcPr>
                <w:p>
                  <w:pPr>
                    <w:widowControl/>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0.001</w:t>
                  </w:r>
                </w:p>
              </w:tc>
              <w:tc>
                <w:tcPr>
                  <w:tcW w:w="283" w:type="pct"/>
                  <w:vMerge w:val="restart"/>
                  <w:noWrap w:val="0"/>
                  <w:vAlign w:val="center"/>
                </w:tcPr>
                <w:p>
                  <w:pPr>
                    <w:widowControl/>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77" w:type="pct"/>
                  <w:vMerge w:val="continue"/>
                  <w:noWrap w:val="0"/>
                  <w:vAlign w:val="center"/>
                </w:tcPr>
                <w:p>
                  <w:pPr>
                    <w:widowControl/>
                    <w:jc w:val="center"/>
                    <w:rPr>
                      <w:color w:val="000000" w:themeColor="text1"/>
                      <w:sz w:val="18"/>
                      <w:szCs w:val="18"/>
                      <w14:textFill>
                        <w14:solidFill>
                          <w14:schemeClr w14:val="tx1"/>
                        </w14:solidFill>
                      </w14:textFill>
                    </w:rPr>
                  </w:pPr>
                </w:p>
              </w:tc>
              <w:tc>
                <w:tcPr>
                  <w:tcW w:w="306" w:type="pct"/>
                  <w:vMerge w:val="continue"/>
                  <w:noWrap w:val="0"/>
                  <w:vAlign w:val="center"/>
                </w:tcPr>
                <w:p>
                  <w:pPr>
                    <w:widowControl/>
                    <w:rPr>
                      <w:color w:val="000000" w:themeColor="text1"/>
                      <w:sz w:val="18"/>
                      <w:szCs w:val="18"/>
                      <w14:textFill>
                        <w14:solidFill>
                          <w14:schemeClr w14:val="tx1"/>
                        </w14:solidFill>
                      </w14:textFill>
                    </w:rPr>
                  </w:pPr>
                </w:p>
              </w:tc>
              <w:tc>
                <w:tcPr>
                  <w:tcW w:w="299" w:type="pct"/>
                  <w:vMerge w:val="continue"/>
                  <w:noWrap w:val="0"/>
                  <w:vAlign w:val="center"/>
                </w:tcPr>
                <w:p>
                  <w:pPr>
                    <w:widowControl/>
                    <w:jc w:val="center"/>
                    <w:rPr>
                      <w:color w:val="000000" w:themeColor="text1"/>
                      <w:sz w:val="18"/>
                      <w:szCs w:val="18"/>
                      <w14:textFill>
                        <w14:solidFill>
                          <w14:schemeClr w14:val="tx1"/>
                        </w14:solidFill>
                      </w14:textFill>
                    </w:rPr>
                  </w:pPr>
                </w:p>
              </w:tc>
              <w:tc>
                <w:tcPr>
                  <w:tcW w:w="345" w:type="pct"/>
                  <w:noWrap w:val="0"/>
                  <w:vAlign w:val="center"/>
                </w:tcPr>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SO</w:t>
                  </w:r>
                  <w:r>
                    <w:rPr>
                      <w:rFonts w:hint="eastAsia"/>
                      <w:color w:val="000000" w:themeColor="text1"/>
                      <w:sz w:val="18"/>
                      <w:szCs w:val="18"/>
                      <w:vertAlign w:val="subscript"/>
                      <w14:textFill>
                        <w14:solidFill>
                          <w14:schemeClr w14:val="tx1"/>
                        </w14:solidFill>
                      </w14:textFill>
                    </w:rPr>
                    <w:t>2</w:t>
                  </w:r>
                </w:p>
              </w:tc>
              <w:tc>
                <w:tcPr>
                  <w:tcW w:w="312" w:type="pct"/>
                  <w:vMerge w:val="continue"/>
                  <w:noWrap w:val="0"/>
                  <w:vAlign w:val="center"/>
                </w:tcPr>
                <w:p>
                  <w:pPr>
                    <w:widowControl/>
                    <w:jc w:val="center"/>
                    <w:rPr>
                      <w:rFonts w:hint="eastAsia"/>
                      <w:color w:val="000000" w:themeColor="text1"/>
                      <w:sz w:val="18"/>
                      <w:szCs w:val="18"/>
                      <w14:textFill>
                        <w14:solidFill>
                          <w14:schemeClr w14:val="tx1"/>
                        </w14:solidFill>
                      </w14:textFill>
                    </w:rPr>
                  </w:pPr>
                </w:p>
              </w:tc>
              <w:tc>
                <w:tcPr>
                  <w:tcW w:w="315" w:type="pct"/>
                  <w:noWrap w:val="0"/>
                  <w:vAlign w:val="center"/>
                </w:tcPr>
                <w:p>
                  <w:pPr>
                    <w:widowControl/>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17.9</w:t>
                  </w:r>
                </w:p>
              </w:tc>
              <w:tc>
                <w:tcPr>
                  <w:tcW w:w="350" w:type="pct"/>
                  <w:noWrap w:val="0"/>
                  <w:vAlign w:val="center"/>
                </w:tcPr>
                <w:p>
                  <w:pPr>
                    <w:widowControl/>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0.02</w:t>
                  </w:r>
                </w:p>
              </w:tc>
              <w:tc>
                <w:tcPr>
                  <w:tcW w:w="892" w:type="pct"/>
                  <w:vMerge w:val="continue"/>
                  <w:noWrap w:val="0"/>
                  <w:vAlign w:val="center"/>
                </w:tcPr>
                <w:p>
                  <w:pPr>
                    <w:widowControl/>
                    <w:rPr>
                      <w:bCs/>
                      <w:color w:val="000000" w:themeColor="text1"/>
                      <w:spacing w:val="-10"/>
                      <w:sz w:val="18"/>
                      <w:szCs w:val="18"/>
                      <w14:textFill>
                        <w14:solidFill>
                          <w14:schemeClr w14:val="tx1"/>
                        </w14:solidFill>
                      </w14:textFill>
                    </w:rPr>
                  </w:pPr>
                </w:p>
              </w:tc>
              <w:tc>
                <w:tcPr>
                  <w:tcW w:w="316" w:type="pct"/>
                  <w:noWrap w:val="0"/>
                  <w:vAlign w:val="center"/>
                </w:tcPr>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c>
                <w:tcPr>
                  <w:tcW w:w="306" w:type="pct"/>
                  <w:noWrap w:val="0"/>
                  <w:vAlign w:val="center"/>
                </w:tcPr>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c>
                <w:tcPr>
                  <w:tcW w:w="593" w:type="dxa"/>
                  <w:noWrap w:val="0"/>
                  <w:vAlign w:val="center"/>
                </w:tcPr>
                <w:p>
                  <w:pPr>
                    <w:widowControl/>
                    <w:jc w:val="center"/>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17.9</w:t>
                  </w:r>
                </w:p>
              </w:tc>
              <w:tc>
                <w:tcPr>
                  <w:tcW w:w="604" w:type="dxa"/>
                  <w:noWrap w:val="0"/>
                  <w:vAlign w:val="center"/>
                </w:tcPr>
                <w:p>
                  <w:pPr>
                    <w:widowControl/>
                    <w:jc w:val="center"/>
                    <w:rPr>
                      <w:rFonts w:hint="eastAsia"/>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0.02</w:t>
                  </w:r>
                </w:p>
              </w:tc>
              <w:tc>
                <w:tcPr>
                  <w:tcW w:w="256" w:type="pct"/>
                  <w:noWrap w:val="0"/>
                  <w:vAlign w:val="center"/>
                </w:tcPr>
                <w:p>
                  <w:pPr>
                    <w:widowControl/>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0.002</w:t>
                  </w:r>
                </w:p>
              </w:tc>
              <w:tc>
                <w:tcPr>
                  <w:tcW w:w="283" w:type="pct"/>
                  <w:vMerge w:val="continue"/>
                  <w:noWrap w:val="0"/>
                  <w:vAlign w:val="center"/>
                </w:tcPr>
                <w:p>
                  <w:pPr>
                    <w:widowControl/>
                    <w:jc w:val="center"/>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77" w:type="pct"/>
                  <w:vMerge w:val="continue"/>
                  <w:noWrap w:val="0"/>
                  <w:vAlign w:val="center"/>
                </w:tcPr>
                <w:p>
                  <w:pPr>
                    <w:widowControl/>
                    <w:jc w:val="center"/>
                    <w:rPr>
                      <w:color w:val="000000" w:themeColor="text1"/>
                      <w:sz w:val="18"/>
                      <w:szCs w:val="18"/>
                      <w14:textFill>
                        <w14:solidFill>
                          <w14:schemeClr w14:val="tx1"/>
                        </w14:solidFill>
                      </w14:textFill>
                    </w:rPr>
                  </w:pPr>
                </w:p>
              </w:tc>
              <w:tc>
                <w:tcPr>
                  <w:tcW w:w="306" w:type="pct"/>
                  <w:vMerge w:val="continue"/>
                  <w:noWrap w:val="0"/>
                  <w:vAlign w:val="center"/>
                </w:tcPr>
                <w:p>
                  <w:pPr>
                    <w:widowControl/>
                    <w:rPr>
                      <w:color w:val="000000" w:themeColor="text1"/>
                      <w:sz w:val="18"/>
                      <w:szCs w:val="18"/>
                      <w14:textFill>
                        <w14:solidFill>
                          <w14:schemeClr w14:val="tx1"/>
                        </w14:solidFill>
                      </w14:textFill>
                    </w:rPr>
                  </w:pPr>
                </w:p>
              </w:tc>
              <w:tc>
                <w:tcPr>
                  <w:tcW w:w="299" w:type="pct"/>
                  <w:vMerge w:val="continue"/>
                  <w:noWrap w:val="0"/>
                  <w:vAlign w:val="center"/>
                </w:tcPr>
                <w:p>
                  <w:pPr>
                    <w:widowControl/>
                    <w:jc w:val="center"/>
                    <w:rPr>
                      <w:color w:val="000000" w:themeColor="text1"/>
                      <w:sz w:val="18"/>
                      <w:szCs w:val="18"/>
                      <w14:textFill>
                        <w14:solidFill>
                          <w14:schemeClr w14:val="tx1"/>
                        </w14:solidFill>
                      </w14:textFill>
                    </w:rPr>
                  </w:pPr>
                </w:p>
              </w:tc>
              <w:tc>
                <w:tcPr>
                  <w:tcW w:w="345" w:type="pct"/>
                  <w:noWrap w:val="0"/>
                  <w:vAlign w:val="center"/>
                </w:tcPr>
                <w:p>
                  <w:pPr>
                    <w:spacing w:line="360" w:lineRule="exac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NO</w:t>
                  </w:r>
                  <w:r>
                    <w:rPr>
                      <w:rFonts w:hint="eastAsia"/>
                      <w:color w:val="000000" w:themeColor="text1"/>
                      <w:sz w:val="18"/>
                      <w:szCs w:val="18"/>
                      <w:vertAlign w:val="subscript"/>
                      <w14:textFill>
                        <w14:solidFill>
                          <w14:schemeClr w14:val="tx1"/>
                        </w14:solidFill>
                      </w14:textFill>
                    </w:rPr>
                    <w:t>X</w:t>
                  </w:r>
                </w:p>
              </w:tc>
              <w:tc>
                <w:tcPr>
                  <w:tcW w:w="312" w:type="pct"/>
                  <w:vMerge w:val="continue"/>
                  <w:noWrap w:val="0"/>
                  <w:vAlign w:val="center"/>
                </w:tcPr>
                <w:p>
                  <w:pPr>
                    <w:spacing w:line="360" w:lineRule="exact"/>
                    <w:jc w:val="center"/>
                    <w:rPr>
                      <w:color w:val="000000" w:themeColor="text1"/>
                      <w:sz w:val="18"/>
                      <w:szCs w:val="18"/>
                      <w14:textFill>
                        <w14:solidFill>
                          <w14:schemeClr w14:val="tx1"/>
                        </w14:solidFill>
                      </w14:textFill>
                    </w:rPr>
                  </w:pPr>
                </w:p>
              </w:tc>
              <w:tc>
                <w:tcPr>
                  <w:tcW w:w="315" w:type="pct"/>
                  <w:noWrap w:val="0"/>
                  <w:vAlign w:val="center"/>
                </w:tcPr>
                <w:p>
                  <w:pPr>
                    <w:widowControl/>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26.85</w:t>
                  </w:r>
                </w:p>
              </w:tc>
              <w:tc>
                <w:tcPr>
                  <w:tcW w:w="350" w:type="pct"/>
                  <w:noWrap w:val="0"/>
                  <w:vAlign w:val="center"/>
                </w:tcPr>
                <w:p>
                  <w:pPr>
                    <w:widowControl/>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0.03</w:t>
                  </w:r>
                </w:p>
              </w:tc>
              <w:tc>
                <w:tcPr>
                  <w:tcW w:w="892" w:type="pct"/>
                  <w:vMerge w:val="continue"/>
                  <w:noWrap w:val="0"/>
                  <w:vAlign w:val="center"/>
                </w:tcPr>
                <w:p>
                  <w:pPr>
                    <w:widowControl/>
                    <w:rPr>
                      <w:bCs/>
                      <w:color w:val="000000" w:themeColor="text1"/>
                      <w:spacing w:val="-10"/>
                      <w:sz w:val="18"/>
                      <w:szCs w:val="18"/>
                      <w14:textFill>
                        <w14:solidFill>
                          <w14:schemeClr w14:val="tx1"/>
                        </w14:solidFill>
                      </w14:textFill>
                    </w:rPr>
                  </w:pPr>
                </w:p>
              </w:tc>
              <w:tc>
                <w:tcPr>
                  <w:tcW w:w="316" w:type="pct"/>
                  <w:noWrap w:val="0"/>
                  <w:vAlign w:val="center"/>
                </w:tcPr>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c>
                <w:tcPr>
                  <w:tcW w:w="306" w:type="pct"/>
                  <w:noWrap w:val="0"/>
                  <w:vAlign w:val="center"/>
                </w:tcPr>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c>
                <w:tcPr>
                  <w:tcW w:w="593" w:type="dxa"/>
                  <w:noWrap w:val="0"/>
                  <w:vAlign w:val="center"/>
                </w:tcPr>
                <w:p>
                  <w:pPr>
                    <w:widowControl/>
                    <w:jc w:val="center"/>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26.85</w:t>
                  </w:r>
                </w:p>
              </w:tc>
              <w:tc>
                <w:tcPr>
                  <w:tcW w:w="604" w:type="dxa"/>
                  <w:noWrap w:val="0"/>
                  <w:vAlign w:val="center"/>
                </w:tcPr>
                <w:p>
                  <w:pPr>
                    <w:widowControl/>
                    <w:jc w:val="center"/>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0.03</w:t>
                  </w:r>
                </w:p>
              </w:tc>
              <w:tc>
                <w:tcPr>
                  <w:tcW w:w="256" w:type="pct"/>
                  <w:noWrap w:val="0"/>
                  <w:vAlign w:val="center"/>
                </w:tcPr>
                <w:p>
                  <w:pPr>
                    <w:widowControl/>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0.003</w:t>
                  </w:r>
                </w:p>
              </w:tc>
              <w:tc>
                <w:tcPr>
                  <w:tcW w:w="283" w:type="pct"/>
                  <w:vMerge w:val="continue"/>
                  <w:noWrap w:val="0"/>
                  <w:vAlign w:val="center"/>
                </w:tcPr>
                <w:p>
                  <w:pPr>
                    <w:widowControl/>
                    <w:jc w:val="center"/>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77" w:type="pct"/>
                  <w:noWrap w:val="0"/>
                  <w:vAlign w:val="center"/>
                </w:tcPr>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厨房</w:t>
                  </w:r>
                </w:p>
              </w:tc>
              <w:tc>
                <w:tcPr>
                  <w:tcW w:w="306" w:type="pct"/>
                  <w:noWrap w:val="0"/>
                  <w:vAlign w:val="center"/>
                </w:tcPr>
                <w:p>
                  <w:pPr>
                    <w:widowControl/>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单眼灶、油锅等厨具</w:t>
                  </w:r>
                </w:p>
              </w:tc>
              <w:tc>
                <w:tcPr>
                  <w:tcW w:w="299" w:type="pct"/>
                  <w:noWrap w:val="0"/>
                  <w:vAlign w:val="center"/>
                </w:tcPr>
                <w:p>
                  <w:pPr>
                    <w:widowControl/>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油烟废气</w:t>
                  </w:r>
                </w:p>
              </w:tc>
              <w:tc>
                <w:tcPr>
                  <w:tcW w:w="345" w:type="pct"/>
                  <w:noWrap w:val="0"/>
                  <w:vAlign w:val="center"/>
                </w:tcPr>
                <w:p>
                  <w:pPr>
                    <w:widowControl/>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油烟</w:t>
                  </w:r>
                </w:p>
              </w:tc>
              <w:tc>
                <w:tcPr>
                  <w:tcW w:w="312" w:type="pct"/>
                  <w:noWrap w:val="0"/>
                  <w:vAlign w:val="center"/>
                </w:tcPr>
                <w:p>
                  <w:pPr>
                    <w:widowControl/>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c>
                <w:tcPr>
                  <w:tcW w:w="315" w:type="pct"/>
                  <w:noWrap w:val="0"/>
                  <w:vAlign w:val="center"/>
                </w:tcPr>
                <w:p>
                  <w:pPr>
                    <w:widowControl/>
                    <w:jc w:val="center"/>
                    <w:rPr>
                      <w:color w:val="000000" w:themeColor="text1"/>
                      <w:sz w:val="18"/>
                      <w:szCs w:val="18"/>
                      <w14:textFill>
                        <w14:solidFill>
                          <w14:schemeClr w14:val="tx1"/>
                        </w14:solidFill>
                      </w14:textFill>
                    </w:rPr>
                  </w:pPr>
                </w:p>
              </w:tc>
              <w:tc>
                <w:tcPr>
                  <w:tcW w:w="350" w:type="pct"/>
                  <w:noWrap w:val="0"/>
                  <w:vAlign w:val="center"/>
                </w:tcPr>
                <w:p>
                  <w:pPr>
                    <w:widowControl/>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6.2</w:t>
                  </w:r>
                  <w:r>
                    <w:rPr>
                      <w:color w:val="000000" w:themeColor="text1"/>
                      <w:sz w:val="18"/>
                      <w:szCs w:val="18"/>
                      <w14:textFill>
                        <w14:solidFill>
                          <w14:schemeClr w14:val="tx1"/>
                        </w14:solidFill>
                      </w14:textFill>
                    </w:rPr>
                    <w:t>×10</w:t>
                  </w:r>
                  <w:r>
                    <w:rPr>
                      <w:color w:val="000000" w:themeColor="text1"/>
                      <w:sz w:val="18"/>
                      <w:szCs w:val="18"/>
                      <w:vertAlign w:val="superscript"/>
                      <w14:textFill>
                        <w14:solidFill>
                          <w14:schemeClr w14:val="tx1"/>
                        </w14:solidFill>
                      </w14:textFill>
                    </w:rPr>
                    <w:t>-3</w:t>
                  </w:r>
                </w:p>
              </w:tc>
              <w:tc>
                <w:tcPr>
                  <w:tcW w:w="892" w:type="pct"/>
                  <w:noWrap w:val="0"/>
                  <w:vAlign w:val="center"/>
                </w:tcPr>
                <w:p>
                  <w:pPr>
                    <w:widowControl/>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经风机引至油烟净化器处理后至</w:t>
                  </w:r>
                  <w:r>
                    <w:rPr>
                      <w:rFonts w:hint="eastAsia"/>
                      <w:color w:val="000000" w:themeColor="text1"/>
                      <w:sz w:val="18"/>
                      <w:szCs w:val="18"/>
                      <w:lang w:val="en-US" w:eastAsia="zh-CN"/>
                      <w14:textFill>
                        <w14:solidFill>
                          <w14:schemeClr w14:val="tx1"/>
                        </w14:solidFill>
                      </w14:textFill>
                    </w:rPr>
                    <w:t>食堂</w:t>
                  </w:r>
                  <w:r>
                    <w:rPr>
                      <w:color w:val="000000" w:themeColor="text1"/>
                      <w:sz w:val="18"/>
                      <w:szCs w:val="18"/>
                      <w14:textFill>
                        <w14:solidFill>
                          <w14:schemeClr w14:val="tx1"/>
                        </w14:solidFill>
                      </w14:textFill>
                    </w:rPr>
                    <w:t>屋顶排放</w:t>
                  </w:r>
                  <w:r>
                    <w:rPr>
                      <w:rFonts w:hint="eastAsia"/>
                      <w:color w:val="000000" w:themeColor="text1"/>
                      <w:sz w:val="18"/>
                      <w:szCs w:val="18"/>
                      <w:lang w:eastAsia="zh-CN"/>
                      <w14:textFill>
                        <w14:solidFill>
                          <w14:schemeClr w14:val="tx1"/>
                        </w14:solidFill>
                      </w14:textFill>
                    </w:rPr>
                    <w:t>。</w:t>
                  </w:r>
                </w:p>
              </w:tc>
              <w:tc>
                <w:tcPr>
                  <w:tcW w:w="316" w:type="pct"/>
                  <w:noWrap w:val="0"/>
                  <w:vAlign w:val="center"/>
                </w:tcPr>
                <w:p>
                  <w:pPr>
                    <w:widowControl/>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60</w:t>
                  </w:r>
                </w:p>
              </w:tc>
              <w:tc>
                <w:tcPr>
                  <w:tcW w:w="306" w:type="pct"/>
                  <w:noWrap w:val="0"/>
                  <w:vAlign w:val="center"/>
                </w:tcPr>
                <w:p>
                  <w:pPr>
                    <w:widowControl/>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是</w:t>
                  </w:r>
                </w:p>
              </w:tc>
              <w:tc>
                <w:tcPr>
                  <w:tcW w:w="364" w:type="pct"/>
                  <w:noWrap w:val="0"/>
                  <w:vAlign w:val="center"/>
                </w:tcPr>
                <w:p>
                  <w:pPr>
                    <w:widowControl/>
                    <w:jc w:val="center"/>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14:textFill>
                        <w14:solidFill>
                          <w14:schemeClr w14:val="tx1"/>
                        </w14:solidFill>
                      </w14:textFill>
                    </w:rPr>
                    <w:t>1.</w:t>
                  </w:r>
                  <w:r>
                    <w:rPr>
                      <w:rFonts w:hint="eastAsia"/>
                      <w:color w:val="000000" w:themeColor="text1"/>
                      <w:sz w:val="18"/>
                      <w:szCs w:val="18"/>
                      <w:lang w:val="en-US" w:eastAsia="zh-CN"/>
                      <w14:textFill>
                        <w14:solidFill>
                          <w14:schemeClr w14:val="tx1"/>
                        </w14:solidFill>
                      </w14:textFill>
                    </w:rPr>
                    <w:t>7</w:t>
                  </w:r>
                </w:p>
              </w:tc>
              <w:tc>
                <w:tcPr>
                  <w:tcW w:w="371" w:type="pct"/>
                  <w:noWrap w:val="0"/>
                  <w:vAlign w:val="center"/>
                </w:tcPr>
                <w:p>
                  <w:pPr>
                    <w:widowControl/>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2.48</w:t>
                  </w:r>
                  <w:r>
                    <w:rPr>
                      <w:color w:val="000000" w:themeColor="text1"/>
                      <w:sz w:val="18"/>
                      <w:szCs w:val="18"/>
                      <w14:textFill>
                        <w14:solidFill>
                          <w14:schemeClr w14:val="tx1"/>
                        </w14:solidFill>
                      </w14:textFill>
                    </w:rPr>
                    <w:t>×10</w:t>
                  </w:r>
                  <w:r>
                    <w:rPr>
                      <w:color w:val="000000" w:themeColor="text1"/>
                      <w:sz w:val="18"/>
                      <w:szCs w:val="18"/>
                      <w:vertAlign w:val="superscript"/>
                      <w14:textFill>
                        <w14:solidFill>
                          <w14:schemeClr w14:val="tx1"/>
                        </w14:solidFill>
                      </w14:textFill>
                    </w:rPr>
                    <w:t>-3</w:t>
                  </w:r>
                </w:p>
              </w:tc>
              <w:tc>
                <w:tcPr>
                  <w:tcW w:w="256" w:type="pct"/>
                  <w:noWrap w:val="0"/>
                  <w:vAlign w:val="center"/>
                </w:tcPr>
                <w:p>
                  <w:pPr>
                    <w:widowControl/>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3.4</w:t>
                  </w:r>
                  <w:r>
                    <w:rPr>
                      <w:color w:val="000000" w:themeColor="text1"/>
                      <w:sz w:val="18"/>
                      <w:szCs w:val="18"/>
                      <w14:textFill>
                        <w14:solidFill>
                          <w14:schemeClr w14:val="tx1"/>
                        </w14:solidFill>
                      </w14:textFill>
                    </w:rPr>
                    <w:t>×10</w:t>
                  </w:r>
                  <w:r>
                    <w:rPr>
                      <w:color w:val="000000" w:themeColor="text1"/>
                      <w:sz w:val="18"/>
                      <w:szCs w:val="18"/>
                      <w:vertAlign w:val="superscript"/>
                      <w14:textFill>
                        <w14:solidFill>
                          <w14:schemeClr w14:val="tx1"/>
                        </w14:solidFill>
                      </w14:textFill>
                    </w:rPr>
                    <w:t>-3</w:t>
                  </w:r>
                </w:p>
              </w:tc>
              <w:tc>
                <w:tcPr>
                  <w:tcW w:w="283" w:type="pct"/>
                  <w:noWrap w:val="0"/>
                  <w:vAlign w:val="center"/>
                </w:tcPr>
                <w:p>
                  <w:pPr>
                    <w:widowControl/>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730</w:t>
                  </w:r>
                </w:p>
              </w:tc>
            </w:tr>
          </w:tbl>
          <w:p>
            <w:pPr>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b w:val="0"/>
                <w:bCs w:val="0"/>
                <w:color w:val="000000" w:themeColor="text1"/>
                <w:sz w:val="24"/>
                <w14:textFill>
                  <w14:solidFill>
                    <w14:schemeClr w14:val="tx1"/>
                  </w14:solidFill>
                </w14:textFill>
              </w:rPr>
            </w:pPr>
            <w:r>
              <w:rPr>
                <w:rFonts w:hint="eastAsia" w:cs="Times New Roman"/>
                <w:b w:val="0"/>
                <w:bCs w:val="0"/>
                <w:color w:val="000000" w:themeColor="text1"/>
                <w:sz w:val="24"/>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14:textFill>
                  <w14:solidFill>
                    <w14:schemeClr w14:val="tx1"/>
                  </w14:solidFill>
                </w14:textFill>
              </w:rPr>
              <w:t>、污染物源强核算</w:t>
            </w:r>
          </w:p>
          <w:p>
            <w:pPr>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本项目营运期废气主要为</w:t>
            </w:r>
            <w:r>
              <w:rPr>
                <w:rFonts w:hint="eastAsia" w:cs="Times New Roman"/>
                <w:b w:val="0"/>
                <w:bCs w:val="0"/>
                <w:color w:val="000000" w:themeColor="text1"/>
                <w:sz w:val="24"/>
                <w:lang w:eastAsia="zh-CN"/>
                <w14:textFill>
                  <w14:solidFill>
                    <w14:schemeClr w14:val="tx1"/>
                  </w14:solidFill>
                </w14:textFill>
              </w:rPr>
              <w:t>锅炉燃气废气</w:t>
            </w:r>
            <w:r>
              <w:rPr>
                <w:rFonts w:hint="default" w:ascii="Times New Roman" w:hAnsi="Times New Roman" w:eastAsia="宋体" w:cs="Times New Roman"/>
                <w:b w:val="0"/>
                <w:bCs w:val="0"/>
                <w:color w:val="000000" w:themeColor="text1"/>
                <w:sz w:val="24"/>
                <w14:textFill>
                  <w14:solidFill>
                    <w14:schemeClr w14:val="tx1"/>
                  </w14:solidFill>
                </w14:textFill>
              </w:rPr>
              <w:t>和食堂油烟。</w:t>
            </w:r>
          </w:p>
          <w:p>
            <w:pPr>
              <w:pStyle w:val="3"/>
              <w:pageBreakBefore w:val="0"/>
              <w:widowControl w:val="0"/>
              <w:numPr>
                <w:ilvl w:val="0"/>
                <w:numId w:val="0"/>
              </w:numPr>
              <w:kinsoku/>
              <w:wordWrap/>
              <w:overflowPunct/>
              <w:topLinePunct w:val="0"/>
              <w:autoSpaceDE/>
              <w:autoSpaceDN/>
              <w:bidi w:val="0"/>
              <w:adjustRightInd/>
              <w:snapToGrid/>
              <w:spacing w:before="0" w:after="0" w:line="360" w:lineRule="auto"/>
              <w:ind w:leftChars="0" w:firstLine="480" w:firstLineChars="200"/>
              <w:textAlignment w:val="auto"/>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pPr>
            <w:r>
              <w:rPr>
                <w:rFonts w:hint="eastAsia" w:cs="Times New Roman"/>
                <w:b w:val="0"/>
                <w:bCs w:val="0"/>
                <w:color w:val="000000" w:themeColor="text1"/>
                <w:sz w:val="24"/>
                <w:szCs w:val="24"/>
                <w:lang w:eastAsia="zh-CN"/>
                <w14:textFill>
                  <w14:solidFill>
                    <w14:schemeClr w14:val="tx1"/>
                  </w14:solidFill>
                </w14:textFill>
              </w:rPr>
              <w:t>（</w:t>
            </w:r>
            <w:r>
              <w:rPr>
                <w:rFonts w:hint="eastAsia" w:cs="Times New Roman"/>
                <w:b w:val="0"/>
                <w:bCs w:val="0"/>
                <w:color w:val="000000" w:themeColor="text1"/>
                <w:sz w:val="24"/>
                <w:szCs w:val="24"/>
                <w:lang w:val="en-US" w:eastAsia="zh-CN"/>
                <w14:textFill>
                  <w14:solidFill>
                    <w14:schemeClr w14:val="tx1"/>
                  </w14:solidFill>
                </w14:textFill>
              </w:rPr>
              <w:t>1</w:t>
            </w:r>
            <w:r>
              <w:rPr>
                <w:rFonts w:hint="eastAsia" w:cs="Times New Roman"/>
                <w:b w:val="0"/>
                <w:bCs w:val="0"/>
                <w:color w:val="000000" w:themeColor="text1"/>
                <w:sz w:val="24"/>
                <w:szCs w:val="24"/>
                <w:lang w:eastAsia="zh-CN"/>
                <w14:textFill>
                  <w14:solidFill>
                    <w14:schemeClr w14:val="tx1"/>
                  </w14:solidFill>
                </w14:textFill>
              </w:rPr>
              <w:t>）锅炉燃气废气</w:t>
            </w:r>
          </w:p>
          <w:p>
            <w:pPr>
              <w:pStyle w:val="13"/>
              <w:spacing w:after="0" w:line="360" w:lineRule="auto"/>
              <w:ind w:left="0" w:leftChars="0"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本项目锅炉以天然气为燃料，天然气属于清洁能源，本项目</w:t>
            </w:r>
            <w:r>
              <w:rPr>
                <w:rFonts w:hint="default" w:ascii="Times New Roman" w:hAnsi="Times New Roman" w:eastAsia="宋体" w:cs="Times New Roman"/>
                <w:b w:val="0"/>
                <w:bCs w:val="0"/>
                <w:color w:val="000000" w:themeColor="text1"/>
                <w:sz w:val="24"/>
                <w14:textFill>
                  <w14:solidFill>
                    <w14:schemeClr w14:val="tx1"/>
                  </w14:solidFill>
                </w14:textFill>
              </w:rPr>
              <w:t>燃气热水锅炉天然气耗气量为36m</w:t>
            </w:r>
            <w:r>
              <w:rPr>
                <w:rFonts w:hint="default" w:ascii="Times New Roman" w:hAnsi="Times New Roman" w:eastAsia="宋体" w:cs="Times New Roman"/>
                <w:b w:val="0"/>
                <w:bCs w:val="0"/>
                <w:color w:val="000000" w:themeColor="text1"/>
                <w:sz w:val="24"/>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4"/>
                <w14:textFill>
                  <w14:solidFill>
                    <w14:schemeClr w14:val="tx1"/>
                  </w14:solidFill>
                </w14:textFill>
              </w:rPr>
              <w:t>/h，</w:t>
            </w:r>
            <w:r>
              <w:rPr>
                <w:color w:val="000000" w:themeColor="text1"/>
                <w:sz w:val="24"/>
                <w14:textFill>
                  <w14:solidFill>
                    <w14:schemeClr w14:val="tx1"/>
                  </w14:solidFill>
                </w14:textFill>
              </w:rPr>
              <w:t>预计年用气量约为</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10.368万</w:t>
            </w:r>
            <w:r>
              <w:rPr>
                <w:color w:val="000000" w:themeColor="text1"/>
                <w:sz w:val="24"/>
                <w14:textFill>
                  <w14:solidFill>
                    <w14:schemeClr w14:val="tx1"/>
                  </w14:solidFill>
                </w14:textFill>
              </w:rPr>
              <w:t>m³，燃气锅炉日运行</w:t>
            </w:r>
            <w:r>
              <w:rPr>
                <w:rFonts w:hint="eastAsia"/>
                <w:color w:val="000000" w:themeColor="text1"/>
                <w:sz w:val="24"/>
                <w:lang w:val="en-US" w:eastAsia="zh-CN"/>
                <w14:textFill>
                  <w14:solidFill>
                    <w14:schemeClr w14:val="tx1"/>
                  </w14:solidFill>
                </w14:textFill>
              </w:rPr>
              <w:t>24</w:t>
            </w:r>
            <w:r>
              <w:rPr>
                <w:color w:val="000000" w:themeColor="text1"/>
                <w:sz w:val="24"/>
                <w14:textFill>
                  <w14:solidFill>
                    <w14:schemeClr w14:val="tx1"/>
                  </w14:solidFill>
                </w14:textFill>
              </w:rPr>
              <w:t>h，年运行</w:t>
            </w:r>
            <w:r>
              <w:rPr>
                <w:rFonts w:hint="eastAsia"/>
                <w:color w:val="000000" w:themeColor="text1"/>
                <w:sz w:val="24"/>
                <w:lang w:val="en-US" w:eastAsia="zh-CN"/>
                <w14:textFill>
                  <w14:solidFill>
                    <w14:schemeClr w14:val="tx1"/>
                  </w14:solidFill>
                </w14:textFill>
              </w:rPr>
              <w:t>2880</w:t>
            </w:r>
            <w:r>
              <w:rPr>
                <w:rFonts w:hint="eastAsia"/>
                <w:color w:val="000000" w:themeColor="text1"/>
                <w:sz w:val="24"/>
                <w14:textFill>
                  <w14:solidFill>
                    <w14:schemeClr w14:val="tx1"/>
                  </w14:solidFill>
                </w14:textFill>
              </w:rPr>
              <w:t>h</w:t>
            </w:r>
            <w:r>
              <w:rPr>
                <w:color w:val="000000" w:themeColor="text1"/>
                <w:sz w:val="24"/>
                <w14:textFill>
                  <w14:solidFill>
                    <w14:schemeClr w14:val="tx1"/>
                  </w14:solidFill>
                </w14:textFill>
              </w:rPr>
              <w:t>。</w:t>
            </w:r>
            <w:r>
              <w:rPr>
                <w:bCs/>
                <w:color w:val="000000" w:themeColor="text1"/>
                <w:sz w:val="24"/>
                <w14:textFill>
                  <w14:solidFill>
                    <w14:schemeClr w14:val="tx1"/>
                  </w14:solidFill>
                </w14:textFill>
              </w:rPr>
              <w:t>参照《排放源统计调查产排污核算方法和系数手册》（生态环境部办公厅2021年6月11日印发）中“《锅炉产排污量核算系数手册》”-“4430工业锅炉（热力生产和供应行业）产污系数表-燃气工业锅炉”-“蒸汽/热水/其它”-“天然气”-“室燃炉”</w:t>
            </w:r>
            <w:r>
              <w:rPr>
                <w:color w:val="000000" w:themeColor="text1"/>
                <w:sz w:val="24"/>
                <w14:textFill>
                  <w14:solidFill>
                    <w14:schemeClr w14:val="tx1"/>
                  </w14:solidFill>
                </w14:textFill>
              </w:rPr>
              <w:t>，天然气燃烧废气中SO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、NO</w:t>
            </w:r>
            <w:r>
              <w:rPr>
                <w:color w:val="000000" w:themeColor="text1"/>
                <w:sz w:val="24"/>
                <w:vertAlign w:val="subscript"/>
                <w14:textFill>
                  <w14:solidFill>
                    <w14:schemeClr w14:val="tx1"/>
                  </w14:solidFill>
                </w14:textFill>
              </w:rPr>
              <w:t>X</w:t>
            </w:r>
            <w:r>
              <w:rPr>
                <w:color w:val="000000" w:themeColor="text1"/>
                <w:sz w:val="24"/>
                <w14:textFill>
                  <w14:solidFill>
                    <w14:schemeClr w14:val="tx1"/>
                  </w14:solidFill>
                </w14:textFill>
              </w:rPr>
              <w:t>产污系数见表4-</w:t>
            </w:r>
            <w:r>
              <w:rPr>
                <w:rFonts w:hint="eastAsia"/>
                <w:color w:val="000000" w:themeColor="text1"/>
                <w:sz w:val="24"/>
                <w:lang w:val="en-US" w:eastAsia="zh-CN"/>
                <w14:textFill>
                  <w14:solidFill>
                    <w14:schemeClr w14:val="tx1"/>
                  </w14:solidFill>
                </w14:textFill>
              </w:rPr>
              <w:t>9</w:t>
            </w:r>
            <w:r>
              <w:rPr>
                <w:color w:val="000000" w:themeColor="text1"/>
                <w:sz w:val="24"/>
                <w14:textFill>
                  <w14:solidFill>
                    <w14:schemeClr w14:val="tx1"/>
                  </w14:solidFill>
                </w14:textFill>
              </w:rPr>
              <w:t>。</w:t>
            </w:r>
          </w:p>
          <w:p>
            <w:pPr>
              <w:pStyle w:val="10"/>
              <w:spacing w:after="0"/>
              <w:jc w:val="center"/>
              <w:rPr>
                <w:b/>
                <w:color w:val="000000" w:themeColor="text1"/>
                <w:sz w:val="24"/>
                <w:lang w:val="en-US" w:eastAsia="zh-CN"/>
                <w14:textFill>
                  <w14:solidFill>
                    <w14:schemeClr w14:val="tx1"/>
                  </w14:solidFill>
                </w14:textFill>
              </w:rPr>
            </w:pPr>
            <w:r>
              <w:rPr>
                <w:b/>
                <w:color w:val="000000" w:themeColor="text1"/>
                <w:sz w:val="24"/>
                <w:lang w:val="en-US" w:eastAsia="zh-CN"/>
                <w14:textFill>
                  <w14:solidFill>
                    <w14:schemeClr w14:val="tx1"/>
                  </w14:solidFill>
                </w14:textFill>
              </w:rPr>
              <w:t>表4-</w:t>
            </w:r>
            <w:r>
              <w:rPr>
                <w:rFonts w:hint="eastAsia"/>
                <w:b/>
                <w:color w:val="000000" w:themeColor="text1"/>
                <w:sz w:val="24"/>
                <w:lang w:val="en-US" w:eastAsia="zh-CN"/>
                <w14:textFill>
                  <w14:solidFill>
                    <w14:schemeClr w14:val="tx1"/>
                  </w14:solidFill>
                </w14:textFill>
              </w:rPr>
              <w:t>9</w:t>
            </w:r>
            <w:r>
              <w:rPr>
                <w:b/>
                <w:color w:val="000000" w:themeColor="text1"/>
                <w:sz w:val="24"/>
                <w:lang w:val="en-US" w:eastAsia="zh-CN"/>
                <w14:textFill>
                  <w14:solidFill>
                    <w14:schemeClr w14:val="tx1"/>
                  </w14:solidFill>
                </w14:textFill>
              </w:rPr>
              <w:t xml:space="preserve">  天然气锅炉SO</w:t>
            </w:r>
            <w:r>
              <w:rPr>
                <w:b/>
                <w:color w:val="000000" w:themeColor="text1"/>
                <w:sz w:val="24"/>
                <w:vertAlign w:val="subscript"/>
                <w:lang w:val="en-US" w:eastAsia="zh-CN"/>
                <w14:textFill>
                  <w14:solidFill>
                    <w14:schemeClr w14:val="tx1"/>
                  </w14:solidFill>
                </w14:textFill>
              </w:rPr>
              <w:t>2</w:t>
            </w:r>
            <w:r>
              <w:rPr>
                <w:b/>
                <w:color w:val="000000" w:themeColor="text1"/>
                <w:sz w:val="24"/>
                <w:lang w:val="en-US" w:eastAsia="zh-CN"/>
                <w14:textFill>
                  <w14:solidFill>
                    <w14:schemeClr w14:val="tx1"/>
                  </w14:solidFill>
                </w14:textFill>
              </w:rPr>
              <w:t>、NO</w:t>
            </w:r>
            <w:r>
              <w:rPr>
                <w:b/>
                <w:color w:val="000000" w:themeColor="text1"/>
                <w:sz w:val="24"/>
                <w:vertAlign w:val="subscript"/>
                <w:lang w:val="en-US" w:eastAsia="zh-CN"/>
                <w14:textFill>
                  <w14:solidFill>
                    <w14:schemeClr w14:val="tx1"/>
                  </w14:solidFill>
                </w14:textFill>
              </w:rPr>
              <w:t>X</w:t>
            </w:r>
            <w:r>
              <w:rPr>
                <w:b/>
                <w:color w:val="000000" w:themeColor="text1"/>
                <w:sz w:val="24"/>
                <w:lang w:val="en-US" w:eastAsia="zh-CN"/>
                <w14:textFill>
                  <w14:solidFill>
                    <w14:schemeClr w14:val="tx1"/>
                  </w14:solidFill>
                </w14:textFill>
              </w:rPr>
              <w:t>产污系数</w:t>
            </w:r>
          </w:p>
          <w:tbl>
            <w:tblPr>
              <w:tblStyle w:val="22"/>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51"/>
              <w:gridCol w:w="706"/>
              <w:gridCol w:w="677"/>
              <w:gridCol w:w="677"/>
              <w:gridCol w:w="882"/>
              <w:gridCol w:w="1292"/>
              <w:gridCol w:w="1589"/>
              <w:gridCol w:w="851"/>
              <w:gridCol w:w="61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6" w:hRule="atLeast"/>
                <w:jc w:val="center"/>
              </w:trPr>
              <w:tc>
                <w:tcPr>
                  <w:tcW w:w="830" w:type="dxa"/>
                  <w:noWrap w:val="0"/>
                  <w:tcMar>
                    <w:left w:w="28" w:type="dxa"/>
                    <w:right w:w="28"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产品名称</w:t>
                  </w:r>
                </w:p>
              </w:tc>
              <w:tc>
                <w:tcPr>
                  <w:tcW w:w="689" w:type="dxa"/>
                  <w:noWrap w:val="0"/>
                  <w:tcMar>
                    <w:left w:w="28" w:type="dxa"/>
                    <w:right w:w="28"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燃料</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名称</w:t>
                  </w:r>
                </w:p>
              </w:tc>
              <w:tc>
                <w:tcPr>
                  <w:tcW w:w="660" w:type="dxa"/>
                  <w:noWrap w:val="0"/>
                  <w:tcMar>
                    <w:left w:w="28" w:type="dxa"/>
                    <w:right w:w="28"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工艺</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名称</w:t>
                  </w:r>
                </w:p>
              </w:tc>
              <w:tc>
                <w:tcPr>
                  <w:tcW w:w="660" w:type="dxa"/>
                  <w:noWrap w:val="0"/>
                  <w:tcMar>
                    <w:left w:w="28" w:type="dxa"/>
                    <w:right w:w="28"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规模等级</w:t>
                  </w:r>
                </w:p>
              </w:tc>
              <w:tc>
                <w:tcPr>
                  <w:tcW w:w="860" w:type="dxa"/>
                  <w:noWrap w:val="0"/>
                  <w:tcMar>
                    <w:left w:w="28" w:type="dxa"/>
                    <w:right w:w="28"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污染物指标</w:t>
                  </w:r>
                </w:p>
              </w:tc>
              <w:tc>
                <w:tcPr>
                  <w:tcW w:w="1260" w:type="dxa"/>
                  <w:noWrap w:val="0"/>
                  <w:tcMar>
                    <w:left w:w="28" w:type="dxa"/>
                    <w:right w:w="28"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单位</w:t>
                  </w:r>
                </w:p>
              </w:tc>
              <w:tc>
                <w:tcPr>
                  <w:tcW w:w="1550" w:type="dxa"/>
                  <w:noWrap w:val="0"/>
                  <w:tcMar>
                    <w:left w:w="28" w:type="dxa"/>
                    <w:right w:w="28"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产污系数</w:t>
                  </w:r>
                </w:p>
              </w:tc>
              <w:tc>
                <w:tcPr>
                  <w:tcW w:w="830" w:type="dxa"/>
                  <w:noWrap w:val="0"/>
                  <w:tcMar>
                    <w:left w:w="28" w:type="dxa"/>
                    <w:right w:w="28"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末端治理技术名称</w:t>
                  </w:r>
                </w:p>
              </w:tc>
              <w:tc>
                <w:tcPr>
                  <w:tcW w:w="598" w:type="dxa"/>
                  <w:noWrap w:val="0"/>
                  <w:tcMar>
                    <w:left w:w="28" w:type="dxa"/>
                    <w:right w:w="28"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去除效率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6" w:hRule="atLeast"/>
                <w:jc w:val="center"/>
              </w:trPr>
              <w:tc>
                <w:tcPr>
                  <w:tcW w:w="830" w:type="dxa"/>
                  <w:vMerge w:val="restart"/>
                  <w:noWrap w:val="0"/>
                  <w:tcMar>
                    <w:left w:w="28" w:type="dxa"/>
                    <w:right w:w="28"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蒸汽/热水/其它</w:t>
                  </w:r>
                </w:p>
              </w:tc>
              <w:tc>
                <w:tcPr>
                  <w:tcW w:w="689" w:type="dxa"/>
                  <w:vMerge w:val="restart"/>
                  <w:noWrap w:val="0"/>
                  <w:tcMar>
                    <w:left w:w="28" w:type="dxa"/>
                    <w:right w:w="28"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天</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然气</w:t>
                  </w:r>
                </w:p>
              </w:tc>
              <w:tc>
                <w:tcPr>
                  <w:tcW w:w="660" w:type="dxa"/>
                  <w:vMerge w:val="restart"/>
                  <w:noWrap w:val="0"/>
                  <w:tcMar>
                    <w:left w:w="28" w:type="dxa"/>
                    <w:right w:w="28"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室</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燃炉</w:t>
                  </w:r>
                </w:p>
              </w:tc>
              <w:tc>
                <w:tcPr>
                  <w:tcW w:w="660" w:type="dxa"/>
                  <w:vMerge w:val="restart"/>
                  <w:noWrap w:val="0"/>
                  <w:tcMar>
                    <w:left w:w="28" w:type="dxa"/>
                    <w:right w:w="28"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所有规模</w:t>
                  </w:r>
                </w:p>
              </w:tc>
              <w:tc>
                <w:tcPr>
                  <w:tcW w:w="860" w:type="dxa"/>
                  <w:noWrap w:val="0"/>
                  <w:tcMar>
                    <w:left w:w="28" w:type="dxa"/>
                    <w:right w:w="28"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工业</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废气量</w:t>
                  </w:r>
                </w:p>
              </w:tc>
              <w:tc>
                <w:tcPr>
                  <w:tcW w:w="1260" w:type="dxa"/>
                  <w:noWrap w:val="0"/>
                  <w:tcMar>
                    <w:left w:w="28" w:type="dxa"/>
                    <w:right w:w="28" w:type="dxa"/>
                  </w:tcMar>
                  <w:vAlign w:val="center"/>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标立方米/万立方米-原料 </w:t>
                  </w:r>
                </w:p>
              </w:tc>
              <w:tc>
                <w:tcPr>
                  <w:tcW w:w="1550" w:type="dxa"/>
                  <w:noWrap w:val="0"/>
                  <w:tcMar>
                    <w:left w:w="28" w:type="dxa"/>
                    <w:right w:w="28"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107753</w:t>
                  </w:r>
                </w:p>
              </w:tc>
              <w:tc>
                <w:tcPr>
                  <w:tcW w:w="830" w:type="dxa"/>
                  <w:vMerge w:val="restart"/>
                  <w:noWrap w:val="0"/>
                  <w:tcMar>
                    <w:left w:w="28" w:type="dxa"/>
                    <w:right w:w="28"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98" w:type="dxa"/>
                  <w:noWrap w:val="0"/>
                  <w:tcMar>
                    <w:left w:w="28" w:type="dxa"/>
                    <w:right w:w="28"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6" w:hRule="atLeast"/>
                <w:jc w:val="center"/>
              </w:trPr>
              <w:tc>
                <w:tcPr>
                  <w:tcW w:w="830" w:type="dxa"/>
                  <w:vMerge w:val="continue"/>
                  <w:noWrap w:val="0"/>
                  <w:tcMar>
                    <w:left w:w="28" w:type="dxa"/>
                    <w:right w:w="28" w:type="dxa"/>
                  </w:tcMar>
                  <w:vAlign w:val="center"/>
                </w:tcPr>
                <w:p>
                  <w:pPr>
                    <w:adjustRightInd w:val="0"/>
                    <w:snapToGrid w:val="0"/>
                    <w:jc w:val="center"/>
                    <w:rPr>
                      <w:color w:val="000000" w:themeColor="text1"/>
                      <w:szCs w:val="21"/>
                      <w14:textFill>
                        <w14:solidFill>
                          <w14:schemeClr w14:val="tx1"/>
                        </w14:solidFill>
                      </w14:textFill>
                    </w:rPr>
                  </w:pPr>
                </w:p>
              </w:tc>
              <w:tc>
                <w:tcPr>
                  <w:tcW w:w="689" w:type="dxa"/>
                  <w:vMerge w:val="continue"/>
                  <w:noWrap w:val="0"/>
                  <w:tcMar>
                    <w:left w:w="28" w:type="dxa"/>
                    <w:right w:w="28" w:type="dxa"/>
                  </w:tcMar>
                  <w:vAlign w:val="center"/>
                </w:tcPr>
                <w:p>
                  <w:pPr>
                    <w:adjustRightInd w:val="0"/>
                    <w:snapToGrid w:val="0"/>
                    <w:jc w:val="center"/>
                    <w:rPr>
                      <w:color w:val="000000" w:themeColor="text1"/>
                      <w:szCs w:val="21"/>
                      <w14:textFill>
                        <w14:solidFill>
                          <w14:schemeClr w14:val="tx1"/>
                        </w14:solidFill>
                      </w14:textFill>
                    </w:rPr>
                  </w:pPr>
                </w:p>
              </w:tc>
              <w:tc>
                <w:tcPr>
                  <w:tcW w:w="660" w:type="dxa"/>
                  <w:vMerge w:val="continue"/>
                  <w:noWrap w:val="0"/>
                  <w:tcMar>
                    <w:left w:w="28" w:type="dxa"/>
                    <w:right w:w="28" w:type="dxa"/>
                  </w:tcMar>
                  <w:vAlign w:val="center"/>
                </w:tcPr>
                <w:p>
                  <w:pPr>
                    <w:adjustRightInd w:val="0"/>
                    <w:snapToGrid w:val="0"/>
                    <w:jc w:val="center"/>
                    <w:rPr>
                      <w:color w:val="000000" w:themeColor="text1"/>
                      <w:szCs w:val="21"/>
                      <w14:textFill>
                        <w14:solidFill>
                          <w14:schemeClr w14:val="tx1"/>
                        </w14:solidFill>
                      </w14:textFill>
                    </w:rPr>
                  </w:pPr>
                </w:p>
              </w:tc>
              <w:tc>
                <w:tcPr>
                  <w:tcW w:w="660" w:type="dxa"/>
                  <w:vMerge w:val="continue"/>
                  <w:noWrap w:val="0"/>
                  <w:tcMar>
                    <w:left w:w="28" w:type="dxa"/>
                    <w:right w:w="28" w:type="dxa"/>
                  </w:tcMar>
                  <w:vAlign w:val="center"/>
                </w:tcPr>
                <w:p>
                  <w:pPr>
                    <w:adjustRightInd w:val="0"/>
                    <w:snapToGrid w:val="0"/>
                    <w:jc w:val="center"/>
                    <w:rPr>
                      <w:color w:val="000000" w:themeColor="text1"/>
                      <w:szCs w:val="21"/>
                      <w14:textFill>
                        <w14:solidFill>
                          <w14:schemeClr w14:val="tx1"/>
                        </w14:solidFill>
                      </w14:textFill>
                    </w:rPr>
                  </w:pPr>
                </w:p>
              </w:tc>
              <w:tc>
                <w:tcPr>
                  <w:tcW w:w="860" w:type="dxa"/>
                  <w:noWrap w:val="0"/>
                  <w:tcMar>
                    <w:left w:w="28" w:type="dxa"/>
                    <w:right w:w="28"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二氧</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化硫</w:t>
                  </w:r>
                </w:p>
              </w:tc>
              <w:tc>
                <w:tcPr>
                  <w:tcW w:w="1260" w:type="dxa"/>
                  <w:noWrap w:val="0"/>
                  <w:tcMar>
                    <w:left w:w="28" w:type="dxa"/>
                    <w:right w:w="28" w:type="dxa"/>
                  </w:tcMar>
                  <w:vAlign w:val="center"/>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千克/万立方米-原料</w:t>
                  </w:r>
                </w:p>
              </w:tc>
              <w:tc>
                <w:tcPr>
                  <w:tcW w:w="1550" w:type="dxa"/>
                  <w:noWrap w:val="0"/>
                  <w:tcMar>
                    <w:left w:w="28" w:type="dxa"/>
                    <w:right w:w="28"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0.02S</w:t>
                  </w:r>
                  <w:r>
                    <w:rPr>
                      <w:rFonts w:hint="eastAsia" w:ascii="宋体" w:hAnsi="宋体" w:cs="宋体"/>
                      <w:color w:val="000000" w:themeColor="text1"/>
                      <w:szCs w:val="21"/>
                      <w:vertAlign w:val="superscript"/>
                      <w14:textFill>
                        <w14:solidFill>
                          <w14:schemeClr w14:val="tx1"/>
                        </w14:solidFill>
                      </w14:textFill>
                    </w:rPr>
                    <w:t>①</w:t>
                  </w:r>
                </w:p>
              </w:tc>
              <w:tc>
                <w:tcPr>
                  <w:tcW w:w="830" w:type="dxa"/>
                  <w:vMerge w:val="continue"/>
                  <w:noWrap w:val="0"/>
                  <w:tcMar>
                    <w:left w:w="28" w:type="dxa"/>
                    <w:right w:w="28" w:type="dxa"/>
                  </w:tcMar>
                  <w:vAlign w:val="center"/>
                </w:tcPr>
                <w:p>
                  <w:pPr>
                    <w:adjustRightInd w:val="0"/>
                    <w:snapToGrid w:val="0"/>
                    <w:jc w:val="center"/>
                    <w:rPr>
                      <w:color w:val="000000" w:themeColor="text1"/>
                      <w:szCs w:val="21"/>
                      <w14:textFill>
                        <w14:solidFill>
                          <w14:schemeClr w14:val="tx1"/>
                        </w14:solidFill>
                      </w14:textFill>
                    </w:rPr>
                  </w:pPr>
                </w:p>
              </w:tc>
              <w:tc>
                <w:tcPr>
                  <w:tcW w:w="598" w:type="dxa"/>
                  <w:noWrap w:val="0"/>
                  <w:tcMar>
                    <w:left w:w="28" w:type="dxa"/>
                    <w:right w:w="28"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6" w:hRule="atLeast"/>
                <w:jc w:val="center"/>
              </w:trPr>
              <w:tc>
                <w:tcPr>
                  <w:tcW w:w="830" w:type="dxa"/>
                  <w:vMerge w:val="continue"/>
                  <w:noWrap w:val="0"/>
                  <w:tcMar>
                    <w:left w:w="28" w:type="dxa"/>
                    <w:right w:w="28" w:type="dxa"/>
                  </w:tcMar>
                  <w:vAlign w:val="center"/>
                </w:tcPr>
                <w:p>
                  <w:pPr>
                    <w:adjustRightInd w:val="0"/>
                    <w:snapToGrid w:val="0"/>
                    <w:jc w:val="center"/>
                    <w:rPr>
                      <w:color w:val="000000" w:themeColor="text1"/>
                      <w:szCs w:val="21"/>
                      <w14:textFill>
                        <w14:solidFill>
                          <w14:schemeClr w14:val="tx1"/>
                        </w14:solidFill>
                      </w14:textFill>
                    </w:rPr>
                  </w:pPr>
                </w:p>
              </w:tc>
              <w:tc>
                <w:tcPr>
                  <w:tcW w:w="689" w:type="dxa"/>
                  <w:vMerge w:val="continue"/>
                  <w:noWrap w:val="0"/>
                  <w:tcMar>
                    <w:left w:w="28" w:type="dxa"/>
                    <w:right w:w="28" w:type="dxa"/>
                  </w:tcMar>
                  <w:vAlign w:val="center"/>
                </w:tcPr>
                <w:p>
                  <w:pPr>
                    <w:adjustRightInd w:val="0"/>
                    <w:snapToGrid w:val="0"/>
                    <w:jc w:val="center"/>
                    <w:rPr>
                      <w:color w:val="000000" w:themeColor="text1"/>
                      <w:szCs w:val="21"/>
                      <w14:textFill>
                        <w14:solidFill>
                          <w14:schemeClr w14:val="tx1"/>
                        </w14:solidFill>
                      </w14:textFill>
                    </w:rPr>
                  </w:pPr>
                </w:p>
              </w:tc>
              <w:tc>
                <w:tcPr>
                  <w:tcW w:w="660" w:type="dxa"/>
                  <w:vMerge w:val="continue"/>
                  <w:noWrap w:val="0"/>
                  <w:tcMar>
                    <w:left w:w="28" w:type="dxa"/>
                    <w:right w:w="28" w:type="dxa"/>
                  </w:tcMar>
                  <w:vAlign w:val="center"/>
                </w:tcPr>
                <w:p>
                  <w:pPr>
                    <w:adjustRightInd w:val="0"/>
                    <w:snapToGrid w:val="0"/>
                    <w:jc w:val="center"/>
                    <w:rPr>
                      <w:color w:val="000000" w:themeColor="text1"/>
                      <w:szCs w:val="21"/>
                      <w14:textFill>
                        <w14:solidFill>
                          <w14:schemeClr w14:val="tx1"/>
                        </w14:solidFill>
                      </w14:textFill>
                    </w:rPr>
                  </w:pPr>
                </w:p>
              </w:tc>
              <w:tc>
                <w:tcPr>
                  <w:tcW w:w="660" w:type="dxa"/>
                  <w:vMerge w:val="continue"/>
                  <w:noWrap w:val="0"/>
                  <w:tcMar>
                    <w:left w:w="28" w:type="dxa"/>
                    <w:right w:w="28" w:type="dxa"/>
                  </w:tcMar>
                  <w:vAlign w:val="center"/>
                </w:tcPr>
                <w:p>
                  <w:pPr>
                    <w:adjustRightInd w:val="0"/>
                    <w:snapToGrid w:val="0"/>
                    <w:jc w:val="center"/>
                    <w:rPr>
                      <w:color w:val="000000" w:themeColor="text1"/>
                      <w:szCs w:val="21"/>
                      <w14:textFill>
                        <w14:solidFill>
                          <w14:schemeClr w14:val="tx1"/>
                        </w14:solidFill>
                      </w14:textFill>
                    </w:rPr>
                  </w:pPr>
                </w:p>
              </w:tc>
              <w:tc>
                <w:tcPr>
                  <w:tcW w:w="860" w:type="dxa"/>
                  <w:noWrap w:val="0"/>
                  <w:tcMar>
                    <w:left w:w="28" w:type="dxa"/>
                    <w:right w:w="28"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氮氧</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化物</w:t>
                  </w:r>
                </w:p>
              </w:tc>
              <w:tc>
                <w:tcPr>
                  <w:tcW w:w="1260" w:type="dxa"/>
                  <w:noWrap w:val="0"/>
                  <w:tcMar>
                    <w:left w:w="28" w:type="dxa"/>
                    <w:right w:w="28" w:type="dxa"/>
                  </w:tcMar>
                  <w:vAlign w:val="center"/>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千克/万立方米-原料</w:t>
                  </w:r>
                </w:p>
              </w:tc>
              <w:tc>
                <w:tcPr>
                  <w:tcW w:w="1550" w:type="dxa"/>
                  <w:noWrap w:val="0"/>
                  <w:tcMar>
                    <w:left w:w="28" w:type="dxa"/>
                    <w:right w:w="28" w:type="dxa"/>
                  </w:tcMar>
                  <w:vAlign w:val="center"/>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3.03（低氮燃烧-国际领先）</w:t>
                  </w:r>
                  <w:r>
                    <w:rPr>
                      <w:rFonts w:hint="eastAsia" w:ascii="宋体" w:hAnsi="宋体" w:cs="宋体"/>
                      <w:color w:val="000000" w:themeColor="text1"/>
                      <w:szCs w:val="21"/>
                      <w:vertAlign w:val="superscript"/>
                      <w14:textFill>
                        <w14:solidFill>
                          <w14:schemeClr w14:val="tx1"/>
                        </w14:solidFill>
                      </w14:textFill>
                    </w:rPr>
                    <w:t>②</w:t>
                  </w:r>
                </w:p>
              </w:tc>
              <w:tc>
                <w:tcPr>
                  <w:tcW w:w="830" w:type="dxa"/>
                  <w:vMerge w:val="continue"/>
                  <w:noWrap w:val="0"/>
                  <w:tcMar>
                    <w:left w:w="28" w:type="dxa"/>
                    <w:right w:w="28" w:type="dxa"/>
                  </w:tcMar>
                  <w:vAlign w:val="center"/>
                </w:tcPr>
                <w:p>
                  <w:pPr>
                    <w:adjustRightInd w:val="0"/>
                    <w:snapToGrid w:val="0"/>
                    <w:jc w:val="center"/>
                    <w:rPr>
                      <w:color w:val="000000" w:themeColor="text1"/>
                      <w:szCs w:val="21"/>
                      <w14:textFill>
                        <w14:solidFill>
                          <w14:schemeClr w14:val="tx1"/>
                        </w14:solidFill>
                      </w14:textFill>
                    </w:rPr>
                  </w:pPr>
                </w:p>
              </w:tc>
              <w:tc>
                <w:tcPr>
                  <w:tcW w:w="598" w:type="dxa"/>
                  <w:noWrap w:val="0"/>
                  <w:tcMar>
                    <w:left w:w="28" w:type="dxa"/>
                    <w:right w:w="28"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bl>
          <w:p>
            <w:pPr>
              <w:rPr>
                <w:b/>
                <w:bCs/>
                <w:color w:val="000000" w:themeColor="text1"/>
                <w:szCs w:val="21"/>
                <w14:textFill>
                  <w14:solidFill>
                    <w14:schemeClr w14:val="tx1"/>
                  </w14:solidFill>
                </w14:textFill>
              </w:rPr>
            </w:pPr>
            <w:r>
              <w:rPr>
                <w:b/>
                <w:bCs/>
                <w:snapToGrid w:val="0"/>
                <w:color w:val="000000" w:themeColor="text1"/>
                <w:szCs w:val="21"/>
                <w14:textFill>
                  <w14:solidFill>
                    <w14:schemeClr w14:val="tx1"/>
                  </w14:solidFill>
                </w14:textFill>
              </w:rPr>
              <w:t>注：</w:t>
            </w:r>
            <w:r>
              <w:rPr>
                <w:rFonts w:hint="eastAsia" w:ascii="宋体" w:hAnsi="宋体" w:cs="宋体"/>
                <w:b/>
                <w:bCs/>
                <w:snapToGrid w:val="0"/>
                <w:color w:val="000000" w:themeColor="text1"/>
                <w:szCs w:val="21"/>
                <w14:textFill>
                  <w14:solidFill>
                    <w14:schemeClr w14:val="tx1"/>
                  </w14:solidFill>
                </w14:textFill>
              </w:rPr>
              <w:t>①</w:t>
            </w:r>
            <w:r>
              <w:rPr>
                <w:b/>
                <w:bCs/>
                <w:snapToGrid w:val="0"/>
                <w:color w:val="000000" w:themeColor="text1"/>
                <w:szCs w:val="21"/>
                <w14:textFill>
                  <w14:solidFill>
                    <w14:schemeClr w14:val="tx1"/>
                  </w14:solidFill>
                </w14:textFill>
              </w:rPr>
              <w:t>含硫量（S）指燃气收到基硫份含量，单位为mg/m³，根据《天然气》（GB 17820-2018），国家强制规定我国二类天然气总硫（以硫计）必须≤100mg/m³，本项目S取100mg/m³；</w:t>
            </w:r>
            <w:r>
              <w:rPr>
                <w:rFonts w:hint="eastAsia" w:ascii="宋体" w:hAnsi="宋体" w:cs="宋体"/>
                <w:b/>
                <w:bCs/>
                <w:snapToGrid w:val="0"/>
                <w:color w:val="000000" w:themeColor="text1"/>
                <w:szCs w:val="21"/>
                <w14:textFill>
                  <w14:solidFill>
                    <w14:schemeClr w14:val="tx1"/>
                  </w14:solidFill>
                </w14:textFill>
              </w:rPr>
              <w:t>②</w:t>
            </w:r>
            <w:r>
              <w:rPr>
                <w:b/>
                <w:bCs/>
                <w:snapToGrid w:val="0"/>
                <w:color w:val="000000" w:themeColor="text1"/>
                <w:szCs w:val="21"/>
                <w14:textFill>
                  <w14:solidFill>
                    <w14:schemeClr w14:val="tx1"/>
                  </w14:solidFill>
                </w14:textFill>
              </w:rPr>
              <w:t>低氮燃烧-国际领先技术的天然气锅炉设计NO</w:t>
            </w:r>
            <w:r>
              <w:rPr>
                <w:b/>
                <w:bCs/>
                <w:snapToGrid w:val="0"/>
                <w:color w:val="000000" w:themeColor="text1"/>
                <w:szCs w:val="21"/>
                <w:vertAlign w:val="subscript"/>
                <w14:textFill>
                  <w14:solidFill>
                    <w14:schemeClr w14:val="tx1"/>
                  </w14:solidFill>
                </w14:textFill>
              </w:rPr>
              <w:t>X</w:t>
            </w:r>
            <w:r>
              <w:rPr>
                <w:b/>
                <w:bCs/>
                <w:snapToGrid w:val="0"/>
                <w:color w:val="000000" w:themeColor="text1"/>
                <w:szCs w:val="21"/>
                <w14:textFill>
                  <w14:solidFill>
                    <w14:schemeClr w14:val="tx1"/>
                  </w14:solidFill>
                </w14:textFill>
              </w:rPr>
              <w:t>排放控制要求一般小于60mg/m</w:t>
            </w:r>
            <w:r>
              <w:rPr>
                <w:b/>
                <w:bCs/>
                <w:snapToGrid w:val="0"/>
                <w:color w:val="000000" w:themeColor="text1"/>
                <w:szCs w:val="21"/>
                <w:vertAlign w:val="superscript"/>
                <w14:textFill>
                  <w14:solidFill>
                    <w14:schemeClr w14:val="tx1"/>
                  </w14:solidFill>
                </w14:textFill>
              </w:rPr>
              <w:t>3</w:t>
            </w:r>
            <w:r>
              <w:rPr>
                <w:b/>
                <w:bCs/>
                <w:snapToGrid w:val="0"/>
                <w:color w:val="000000" w:themeColor="text1"/>
                <w:szCs w:val="21"/>
                <w14:textFill>
                  <w14:solidFill>
                    <w14:schemeClr w14:val="tx1"/>
                  </w14:solidFill>
                </w14:textFill>
              </w:rPr>
              <w:t>（@3.5%O</w:t>
            </w:r>
            <w:r>
              <w:rPr>
                <w:b/>
                <w:bCs/>
                <w:snapToGrid w:val="0"/>
                <w:color w:val="000000" w:themeColor="text1"/>
                <w:szCs w:val="21"/>
                <w:vertAlign w:val="subscript"/>
                <w14:textFill>
                  <w14:solidFill>
                    <w14:schemeClr w14:val="tx1"/>
                  </w14:solidFill>
                </w14:textFill>
              </w:rPr>
              <w:t>2</w:t>
            </w:r>
            <w:r>
              <w:rPr>
                <w:b/>
                <w:bCs/>
                <w:snapToGrid w:val="0"/>
                <w:color w:val="000000" w:themeColor="text1"/>
                <w:szCs w:val="21"/>
                <w14:textFill>
                  <w14:solidFill>
                    <w14:schemeClr w14:val="tx1"/>
                  </w14:solidFill>
                </w14:textFill>
              </w:rPr>
              <w:t>）。</w:t>
            </w:r>
          </w:p>
          <w:p>
            <w:pPr>
              <w:pStyle w:val="13"/>
              <w:spacing w:after="0" w:line="360" w:lineRule="auto"/>
              <w:ind w:left="0" w:leftChars="0"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根据《环境影响评价工程师职业资格登记培训教材社会区域类》（中国环境科学出版社）中P123表4-12“油、气燃料的污染物排放因子”产排污系数，每1000m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天然气燃烧产生的烟尘为0.1kg。建设单位拟将天然气锅炉燃烧废气经</w:t>
            </w:r>
            <w:r>
              <w:rPr>
                <w:color w:val="000000" w:themeColor="text1"/>
                <w:kern w:val="0"/>
                <w:sz w:val="24"/>
                <w14:textFill>
                  <w14:solidFill>
                    <w14:schemeClr w14:val="tx1"/>
                  </w14:solidFill>
                </w14:textFill>
              </w:rPr>
              <w:t>低氮燃烧器</w:t>
            </w:r>
            <w:r>
              <w:rPr>
                <w:color w:val="000000" w:themeColor="text1"/>
                <w:sz w:val="24"/>
                <w14:textFill>
                  <w14:solidFill>
                    <w14:schemeClr w14:val="tx1"/>
                  </w14:solidFill>
                </w14:textFill>
              </w:rPr>
              <w:t>燃烧</w:t>
            </w:r>
            <w:r>
              <w:rPr>
                <w:color w:val="000000" w:themeColor="text1"/>
                <w:kern w:val="0"/>
                <w:sz w:val="24"/>
                <w14:textFill>
                  <w14:solidFill>
                    <w14:schemeClr w14:val="tx1"/>
                  </w14:solidFill>
                </w14:textFill>
              </w:rPr>
              <w:t>后通过锅炉顶部管道由1根8m高排气筒（排气筒编号：DA00</w:t>
            </w:r>
            <w:r>
              <w:rPr>
                <w:rFonts w:hint="eastAsia"/>
                <w:color w:val="000000" w:themeColor="text1"/>
                <w:kern w:val="0"/>
                <w:sz w:val="24"/>
                <w:lang w:val="en-US" w:eastAsia="zh-CN"/>
                <w14:textFill>
                  <w14:solidFill>
                    <w14:schemeClr w14:val="tx1"/>
                  </w14:solidFill>
                </w14:textFill>
              </w:rPr>
              <w:t>1</w:t>
            </w:r>
            <w:r>
              <w:rPr>
                <w:color w:val="000000" w:themeColor="text1"/>
                <w:sz w:val="24"/>
                <w14:textFill>
                  <w14:solidFill>
                    <w14:schemeClr w14:val="tx1"/>
                  </w14:solidFill>
                </w14:textFill>
              </w:rPr>
              <w:t>；高8m；内径0.2m</w:t>
            </w:r>
            <w:r>
              <w:rPr>
                <w:color w:val="000000" w:themeColor="text1"/>
                <w:kern w:val="0"/>
                <w:sz w:val="24"/>
                <w14:textFill>
                  <w14:solidFill>
                    <w14:schemeClr w14:val="tx1"/>
                  </w14:solidFill>
                </w14:textFill>
              </w:rPr>
              <w:t>）高空排放。</w:t>
            </w:r>
            <w:r>
              <w:rPr>
                <w:color w:val="000000" w:themeColor="text1"/>
                <w:sz w:val="24"/>
                <w14:textFill>
                  <w14:solidFill>
                    <w14:schemeClr w14:val="tx1"/>
                  </w14:solidFill>
                </w14:textFill>
              </w:rPr>
              <w:t>则烟气中各污染物排放情况见表4-</w:t>
            </w:r>
            <w:r>
              <w:rPr>
                <w:rFonts w:hint="eastAsia"/>
                <w:color w:val="000000" w:themeColor="text1"/>
                <w:sz w:val="24"/>
                <w:lang w:val="en-US" w:eastAsia="zh-CN"/>
                <w14:textFill>
                  <w14:solidFill>
                    <w14:schemeClr w14:val="tx1"/>
                  </w14:solidFill>
                </w14:textFill>
              </w:rPr>
              <w:t>10</w:t>
            </w:r>
            <w:r>
              <w:rPr>
                <w:color w:val="000000" w:themeColor="text1"/>
                <w:sz w:val="24"/>
                <w14:textFill>
                  <w14:solidFill>
                    <w14:schemeClr w14:val="tx1"/>
                  </w14:solidFill>
                </w14:textFill>
              </w:rPr>
              <w:t>。</w:t>
            </w:r>
          </w:p>
          <w:p>
            <w:pPr>
              <w:pStyle w:val="10"/>
              <w:spacing w:after="0"/>
              <w:jc w:val="center"/>
              <w:rPr>
                <w:b/>
                <w:color w:val="000000" w:themeColor="text1"/>
                <w:sz w:val="24"/>
                <w:lang w:val="en-US" w:eastAsia="zh-CN"/>
                <w14:textFill>
                  <w14:solidFill>
                    <w14:schemeClr w14:val="tx1"/>
                  </w14:solidFill>
                </w14:textFill>
              </w:rPr>
            </w:pPr>
            <w:r>
              <w:rPr>
                <w:b/>
                <w:color w:val="000000" w:themeColor="text1"/>
                <w:sz w:val="24"/>
                <w:lang w:val="en-US" w:eastAsia="zh-CN"/>
                <w14:textFill>
                  <w14:solidFill>
                    <w14:schemeClr w14:val="tx1"/>
                  </w14:solidFill>
                </w14:textFill>
              </w:rPr>
              <w:t>表4-</w:t>
            </w:r>
            <w:r>
              <w:rPr>
                <w:rFonts w:hint="eastAsia"/>
                <w:b/>
                <w:color w:val="000000" w:themeColor="text1"/>
                <w:sz w:val="24"/>
                <w:lang w:val="en-US" w:eastAsia="zh-CN"/>
                <w14:textFill>
                  <w14:solidFill>
                    <w14:schemeClr w14:val="tx1"/>
                  </w14:solidFill>
                </w14:textFill>
              </w:rPr>
              <w:t>10</w:t>
            </w:r>
            <w:r>
              <w:rPr>
                <w:b/>
                <w:color w:val="000000" w:themeColor="text1"/>
                <w:sz w:val="24"/>
                <w:lang w:val="en-US" w:eastAsia="zh-CN"/>
                <w14:textFill>
                  <w14:solidFill>
                    <w14:schemeClr w14:val="tx1"/>
                  </w14:solidFill>
                </w14:textFill>
              </w:rPr>
              <w:t xml:space="preserve">  本项目锅炉废气排放情况一览表</w:t>
            </w:r>
          </w:p>
          <w:tbl>
            <w:tblPr>
              <w:tblStyle w:val="22"/>
              <w:tblW w:w="499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52"/>
              <w:gridCol w:w="777"/>
              <w:gridCol w:w="676"/>
              <w:gridCol w:w="656"/>
              <w:gridCol w:w="789"/>
              <w:gridCol w:w="677"/>
              <w:gridCol w:w="748"/>
              <w:gridCol w:w="769"/>
              <w:gridCol w:w="646"/>
              <w:gridCol w:w="656"/>
              <w:gridCol w:w="78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jc w:val="center"/>
              </w:trPr>
              <w:tc>
                <w:tcPr>
                  <w:tcW w:w="930" w:type="dxa"/>
                  <w:vMerge w:val="restart"/>
                  <w:noWrap w:val="0"/>
                  <w:tcMar>
                    <w:left w:w="28" w:type="dxa"/>
                    <w:right w:w="28" w:type="dxa"/>
                  </w:tcMar>
                  <w:vAlign w:val="center"/>
                </w:tcPr>
                <w:p>
                  <w:pPr>
                    <w:spacing w:line="360" w:lineRule="exact"/>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锅炉</w:t>
                  </w:r>
                </w:p>
                <w:p>
                  <w:pPr>
                    <w:spacing w:line="360" w:lineRule="exact"/>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烟气</w:t>
                  </w:r>
                </w:p>
              </w:tc>
              <w:tc>
                <w:tcPr>
                  <w:tcW w:w="759" w:type="dxa"/>
                  <w:vMerge w:val="restart"/>
                  <w:noWrap w:val="0"/>
                  <w:tcMar>
                    <w:left w:w="28" w:type="dxa"/>
                    <w:right w:w="28" w:type="dxa"/>
                  </w:tcMar>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工业</w:t>
                  </w:r>
                </w:p>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废气量</w:t>
                  </w:r>
                </w:p>
              </w:tc>
              <w:tc>
                <w:tcPr>
                  <w:tcW w:w="2070" w:type="dxa"/>
                  <w:gridSpan w:val="3"/>
                  <w:noWrap w:val="0"/>
                  <w:tcMar>
                    <w:left w:w="28" w:type="dxa"/>
                    <w:right w:w="28" w:type="dxa"/>
                  </w:tcMar>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2140" w:type="dxa"/>
                  <w:gridSpan w:val="3"/>
                  <w:noWrap w:val="0"/>
                  <w:tcMar>
                    <w:left w:w="28" w:type="dxa"/>
                    <w:right w:w="28" w:type="dxa"/>
                  </w:tcMar>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二氧化硫</w:t>
                  </w:r>
                </w:p>
              </w:tc>
              <w:tc>
                <w:tcPr>
                  <w:tcW w:w="2038" w:type="dxa"/>
                  <w:gridSpan w:val="3"/>
                  <w:noWrap w:val="0"/>
                  <w:tcMar>
                    <w:left w:w="28" w:type="dxa"/>
                    <w:right w:w="28" w:type="dxa"/>
                  </w:tcMar>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氮氧化物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30" w:type="dxa"/>
                  <w:vMerge w:val="continue"/>
                  <w:noWrap w:val="0"/>
                  <w:tcMar>
                    <w:left w:w="28" w:type="dxa"/>
                    <w:right w:w="28" w:type="dxa"/>
                  </w:tcMar>
                  <w:vAlign w:val="center"/>
                </w:tcPr>
                <w:p>
                  <w:pPr>
                    <w:spacing w:line="360" w:lineRule="exact"/>
                    <w:jc w:val="center"/>
                    <w:rPr>
                      <w:rFonts w:ascii="Times New Roman" w:hAnsi="Times New Roman" w:eastAsia="宋体" w:cs="Times New Roman"/>
                      <w:bCs/>
                      <w:color w:val="000000" w:themeColor="text1"/>
                      <w:szCs w:val="21"/>
                      <w14:textFill>
                        <w14:solidFill>
                          <w14:schemeClr w14:val="tx1"/>
                        </w14:solidFill>
                      </w14:textFill>
                    </w:rPr>
                  </w:pPr>
                </w:p>
              </w:tc>
              <w:tc>
                <w:tcPr>
                  <w:tcW w:w="759" w:type="dxa"/>
                  <w:vMerge w:val="continue"/>
                  <w:noWrap w:val="0"/>
                  <w:tcMar>
                    <w:left w:w="28" w:type="dxa"/>
                    <w:right w:w="28" w:type="dxa"/>
                  </w:tcMar>
                  <w:vAlign w:val="center"/>
                </w:tcPr>
                <w:p>
                  <w:pPr>
                    <w:spacing w:line="360" w:lineRule="exact"/>
                    <w:jc w:val="center"/>
                    <w:rPr>
                      <w:color w:val="000000" w:themeColor="text1"/>
                      <w:szCs w:val="21"/>
                      <w14:textFill>
                        <w14:solidFill>
                          <w14:schemeClr w14:val="tx1"/>
                        </w14:solidFill>
                      </w14:textFill>
                    </w:rPr>
                  </w:pPr>
                </w:p>
              </w:tc>
              <w:tc>
                <w:tcPr>
                  <w:tcW w:w="660" w:type="dxa"/>
                  <w:noWrap w:val="0"/>
                  <w:tcMar>
                    <w:left w:w="28" w:type="dxa"/>
                    <w:right w:w="28" w:type="dxa"/>
                  </w:tcMar>
                  <w:vAlign w:val="center"/>
                </w:tcPr>
                <w:p>
                  <w:pPr>
                    <w:spacing w:line="36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排放量</w:t>
                  </w:r>
                </w:p>
              </w:tc>
              <w:tc>
                <w:tcPr>
                  <w:tcW w:w="640" w:type="dxa"/>
                  <w:noWrap w:val="0"/>
                  <w:tcMar>
                    <w:left w:w="28" w:type="dxa"/>
                    <w:right w:w="28" w:type="dxa"/>
                  </w:tcMar>
                  <w:vAlign w:val="center"/>
                </w:tcPr>
                <w:p>
                  <w:pPr>
                    <w:spacing w:line="36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排放</w:t>
                  </w:r>
                </w:p>
                <w:p>
                  <w:pPr>
                    <w:spacing w:line="36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速率</w:t>
                  </w:r>
                </w:p>
              </w:tc>
              <w:tc>
                <w:tcPr>
                  <w:tcW w:w="770" w:type="dxa"/>
                  <w:noWrap w:val="0"/>
                  <w:tcMar>
                    <w:left w:w="28" w:type="dxa"/>
                    <w:right w:w="28" w:type="dxa"/>
                  </w:tcMar>
                  <w:vAlign w:val="center"/>
                </w:tcPr>
                <w:p>
                  <w:pPr>
                    <w:spacing w:line="36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排放</w:t>
                  </w:r>
                </w:p>
                <w:p>
                  <w:pPr>
                    <w:spacing w:line="36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浓度</w:t>
                  </w:r>
                </w:p>
              </w:tc>
              <w:tc>
                <w:tcPr>
                  <w:tcW w:w="660" w:type="dxa"/>
                  <w:noWrap w:val="0"/>
                  <w:tcMar>
                    <w:left w:w="28" w:type="dxa"/>
                    <w:right w:w="28" w:type="dxa"/>
                  </w:tcMar>
                  <w:vAlign w:val="center"/>
                </w:tcPr>
                <w:p>
                  <w:pPr>
                    <w:spacing w:line="36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排放量</w:t>
                  </w:r>
                </w:p>
              </w:tc>
              <w:tc>
                <w:tcPr>
                  <w:tcW w:w="730" w:type="dxa"/>
                  <w:noWrap w:val="0"/>
                  <w:tcMar>
                    <w:left w:w="28" w:type="dxa"/>
                    <w:right w:w="28" w:type="dxa"/>
                  </w:tcMar>
                  <w:vAlign w:val="center"/>
                </w:tcPr>
                <w:p>
                  <w:pPr>
                    <w:spacing w:line="36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排放</w:t>
                  </w:r>
                </w:p>
                <w:p>
                  <w:pPr>
                    <w:spacing w:line="36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速率</w:t>
                  </w:r>
                </w:p>
              </w:tc>
              <w:tc>
                <w:tcPr>
                  <w:tcW w:w="750" w:type="dxa"/>
                  <w:noWrap w:val="0"/>
                  <w:tcMar>
                    <w:left w:w="28" w:type="dxa"/>
                    <w:right w:w="28" w:type="dxa"/>
                  </w:tcMar>
                  <w:vAlign w:val="center"/>
                </w:tcPr>
                <w:p>
                  <w:pPr>
                    <w:spacing w:line="36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排放</w:t>
                  </w:r>
                </w:p>
                <w:p>
                  <w:pPr>
                    <w:spacing w:line="36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浓度</w:t>
                  </w:r>
                </w:p>
              </w:tc>
              <w:tc>
                <w:tcPr>
                  <w:tcW w:w="630" w:type="dxa"/>
                  <w:noWrap w:val="0"/>
                  <w:tcMar>
                    <w:left w:w="28" w:type="dxa"/>
                    <w:right w:w="28" w:type="dxa"/>
                  </w:tcMar>
                  <w:vAlign w:val="center"/>
                </w:tcPr>
                <w:p>
                  <w:pPr>
                    <w:spacing w:line="36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排放量</w:t>
                  </w:r>
                </w:p>
              </w:tc>
              <w:tc>
                <w:tcPr>
                  <w:tcW w:w="640" w:type="dxa"/>
                  <w:noWrap w:val="0"/>
                  <w:tcMar>
                    <w:left w:w="28" w:type="dxa"/>
                    <w:right w:w="28" w:type="dxa"/>
                  </w:tcMar>
                  <w:vAlign w:val="center"/>
                </w:tcPr>
                <w:p>
                  <w:pPr>
                    <w:spacing w:line="36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排放</w:t>
                  </w:r>
                </w:p>
                <w:p>
                  <w:pPr>
                    <w:spacing w:line="36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速率</w:t>
                  </w:r>
                </w:p>
              </w:tc>
              <w:tc>
                <w:tcPr>
                  <w:tcW w:w="768" w:type="dxa"/>
                  <w:noWrap w:val="0"/>
                  <w:tcMar>
                    <w:left w:w="28" w:type="dxa"/>
                    <w:right w:w="28" w:type="dxa"/>
                  </w:tcMar>
                  <w:vAlign w:val="center"/>
                </w:tcPr>
                <w:p>
                  <w:pPr>
                    <w:spacing w:line="36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排放</w:t>
                  </w:r>
                </w:p>
                <w:p>
                  <w:pPr>
                    <w:spacing w:line="36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浓度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30" w:type="dxa"/>
                  <w:vMerge w:val="continue"/>
                  <w:noWrap w:val="0"/>
                  <w:tcMar>
                    <w:left w:w="28" w:type="dxa"/>
                    <w:right w:w="28" w:type="dxa"/>
                  </w:tcMar>
                  <w:vAlign w:val="center"/>
                </w:tcPr>
                <w:p>
                  <w:pPr>
                    <w:spacing w:line="360" w:lineRule="exact"/>
                    <w:jc w:val="center"/>
                    <w:rPr>
                      <w:rFonts w:ascii="Times New Roman" w:hAnsi="Times New Roman" w:eastAsia="宋体" w:cs="Times New Roman"/>
                      <w:bCs/>
                      <w:color w:val="000000" w:themeColor="text1"/>
                      <w:szCs w:val="21"/>
                      <w14:textFill>
                        <w14:solidFill>
                          <w14:schemeClr w14:val="tx1"/>
                        </w14:solidFill>
                      </w14:textFill>
                    </w:rPr>
                  </w:pPr>
                </w:p>
              </w:tc>
              <w:tc>
                <w:tcPr>
                  <w:tcW w:w="759" w:type="dxa"/>
                  <w:noWrap w:val="0"/>
                  <w:tcMar>
                    <w:left w:w="28" w:type="dxa"/>
                    <w:right w:w="28" w:type="dxa"/>
                  </w:tcMar>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万Nm</w:t>
                  </w:r>
                  <w:r>
                    <w:rPr>
                      <w:color w:val="000000" w:themeColor="text1"/>
                      <w:szCs w:val="21"/>
                      <w:vertAlign w:val="superscript"/>
                      <w14:textFill>
                        <w14:solidFill>
                          <w14:schemeClr w14:val="tx1"/>
                        </w14:solidFill>
                      </w14:textFill>
                    </w:rPr>
                    <w:t>3</w:t>
                  </w:r>
                </w:p>
              </w:tc>
              <w:tc>
                <w:tcPr>
                  <w:tcW w:w="660" w:type="dxa"/>
                  <w:noWrap w:val="0"/>
                  <w:tcMar>
                    <w:left w:w="28" w:type="dxa"/>
                    <w:right w:w="28" w:type="dxa"/>
                  </w:tcMar>
                  <w:vAlign w:val="center"/>
                </w:tcPr>
                <w:p>
                  <w:pPr>
                    <w:spacing w:line="36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t/a</w:t>
                  </w:r>
                </w:p>
              </w:tc>
              <w:tc>
                <w:tcPr>
                  <w:tcW w:w="640" w:type="dxa"/>
                  <w:noWrap w:val="0"/>
                  <w:tcMar>
                    <w:left w:w="28" w:type="dxa"/>
                    <w:right w:w="28" w:type="dxa"/>
                  </w:tcMar>
                  <w:vAlign w:val="center"/>
                </w:tcPr>
                <w:p>
                  <w:pPr>
                    <w:spacing w:line="36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kg/h</w:t>
                  </w:r>
                </w:p>
              </w:tc>
              <w:tc>
                <w:tcPr>
                  <w:tcW w:w="770" w:type="dxa"/>
                  <w:noWrap w:val="0"/>
                  <w:tcMar>
                    <w:left w:w="28" w:type="dxa"/>
                    <w:right w:w="28" w:type="dxa"/>
                  </w:tcMar>
                  <w:vAlign w:val="center"/>
                </w:tcPr>
                <w:p>
                  <w:pPr>
                    <w:spacing w:line="36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mg/m</w:t>
                  </w:r>
                  <w:r>
                    <w:rPr>
                      <w:color w:val="000000" w:themeColor="text1"/>
                      <w:szCs w:val="21"/>
                      <w:vertAlign w:val="superscript"/>
                      <w14:textFill>
                        <w14:solidFill>
                          <w14:schemeClr w14:val="tx1"/>
                        </w14:solidFill>
                      </w14:textFill>
                    </w:rPr>
                    <w:t>3</w:t>
                  </w:r>
                </w:p>
              </w:tc>
              <w:tc>
                <w:tcPr>
                  <w:tcW w:w="660" w:type="dxa"/>
                  <w:noWrap w:val="0"/>
                  <w:tcMar>
                    <w:left w:w="28" w:type="dxa"/>
                    <w:right w:w="28" w:type="dxa"/>
                  </w:tcMar>
                  <w:vAlign w:val="center"/>
                </w:tcPr>
                <w:p>
                  <w:pPr>
                    <w:spacing w:line="36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t/a</w:t>
                  </w:r>
                </w:p>
              </w:tc>
              <w:tc>
                <w:tcPr>
                  <w:tcW w:w="730" w:type="dxa"/>
                  <w:noWrap w:val="0"/>
                  <w:tcMar>
                    <w:left w:w="28" w:type="dxa"/>
                    <w:right w:w="28" w:type="dxa"/>
                  </w:tcMar>
                  <w:vAlign w:val="center"/>
                </w:tcPr>
                <w:p>
                  <w:pPr>
                    <w:spacing w:line="36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kg/h</w:t>
                  </w:r>
                </w:p>
              </w:tc>
              <w:tc>
                <w:tcPr>
                  <w:tcW w:w="750" w:type="dxa"/>
                  <w:noWrap w:val="0"/>
                  <w:tcMar>
                    <w:left w:w="28" w:type="dxa"/>
                    <w:right w:w="28" w:type="dxa"/>
                  </w:tcMar>
                  <w:vAlign w:val="center"/>
                </w:tcPr>
                <w:p>
                  <w:pPr>
                    <w:spacing w:line="36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mg/m</w:t>
                  </w:r>
                  <w:r>
                    <w:rPr>
                      <w:color w:val="000000" w:themeColor="text1"/>
                      <w:szCs w:val="21"/>
                      <w:vertAlign w:val="superscript"/>
                      <w14:textFill>
                        <w14:solidFill>
                          <w14:schemeClr w14:val="tx1"/>
                        </w14:solidFill>
                      </w14:textFill>
                    </w:rPr>
                    <w:t>3</w:t>
                  </w:r>
                </w:p>
              </w:tc>
              <w:tc>
                <w:tcPr>
                  <w:tcW w:w="630" w:type="dxa"/>
                  <w:noWrap w:val="0"/>
                  <w:tcMar>
                    <w:left w:w="28" w:type="dxa"/>
                    <w:right w:w="28" w:type="dxa"/>
                  </w:tcMar>
                  <w:vAlign w:val="center"/>
                </w:tcPr>
                <w:p>
                  <w:pPr>
                    <w:spacing w:line="36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t/a</w:t>
                  </w:r>
                </w:p>
              </w:tc>
              <w:tc>
                <w:tcPr>
                  <w:tcW w:w="640" w:type="dxa"/>
                  <w:noWrap w:val="0"/>
                  <w:tcMar>
                    <w:left w:w="28" w:type="dxa"/>
                    <w:right w:w="28" w:type="dxa"/>
                  </w:tcMar>
                  <w:vAlign w:val="center"/>
                </w:tcPr>
                <w:p>
                  <w:pPr>
                    <w:spacing w:line="36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kg/h</w:t>
                  </w:r>
                </w:p>
              </w:tc>
              <w:tc>
                <w:tcPr>
                  <w:tcW w:w="768" w:type="dxa"/>
                  <w:noWrap w:val="0"/>
                  <w:tcMar>
                    <w:left w:w="28" w:type="dxa"/>
                    <w:right w:w="28" w:type="dxa"/>
                  </w:tcMar>
                  <w:vAlign w:val="center"/>
                </w:tcPr>
                <w:p>
                  <w:pPr>
                    <w:spacing w:line="36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mg/m</w:t>
                  </w:r>
                  <w:r>
                    <w:rPr>
                      <w:color w:val="000000" w:themeColor="text1"/>
                      <w:szCs w:val="21"/>
                      <w:vertAlign w:val="superscript"/>
                      <w14:textFill>
                        <w14:solidFill>
                          <w14:schemeClr w14:val="tx1"/>
                        </w14:solidFill>
                      </w14:textFill>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30" w:type="dxa"/>
                  <w:noWrap w:val="0"/>
                  <w:tcMar>
                    <w:left w:w="28" w:type="dxa"/>
                    <w:right w:w="28" w:type="dxa"/>
                  </w:tcMar>
                  <w:vAlign w:val="center"/>
                </w:tcPr>
                <w:p>
                  <w:pPr>
                    <w:spacing w:line="360" w:lineRule="exact"/>
                    <w:jc w:val="center"/>
                    <w:rPr>
                      <w:rFonts w:ascii="Times New Roman" w:hAnsi="Times New Roman" w:eastAsia="宋体" w:cs="Times New Roman"/>
                      <w:bCs/>
                      <w:color w:val="000000" w:themeColor="text1"/>
                      <w:szCs w:val="21"/>
                      <w:lang w:val="en-US" w:eastAsia="zh-CN"/>
                      <w14:textFill>
                        <w14:solidFill>
                          <w14:schemeClr w14:val="tx1"/>
                        </w14:solidFill>
                      </w14:textFill>
                    </w:rPr>
                  </w:pPr>
                  <w:r>
                    <w:rPr>
                      <w:rFonts w:ascii="Times New Roman" w:hAnsi="Times New Roman" w:eastAsia="宋体" w:cs="Times New Roman"/>
                      <w:bCs/>
                      <w:color w:val="000000" w:themeColor="text1"/>
                      <w:szCs w:val="21"/>
                      <w:lang w:val="en-US" w:eastAsia="zh-CN"/>
                      <w14:textFill>
                        <w14:solidFill>
                          <w14:schemeClr w14:val="tx1"/>
                        </w14:solidFill>
                      </w14:textFill>
                    </w:rPr>
                    <w:t>燃天</w:t>
                  </w:r>
                </w:p>
                <w:p>
                  <w:pPr>
                    <w:spacing w:line="360" w:lineRule="exact"/>
                    <w:jc w:val="center"/>
                    <w:rPr>
                      <w:rFonts w:ascii="Times New Roman" w:hAnsi="Times New Roman" w:eastAsia="宋体" w:cs="Times New Roman"/>
                      <w:bCs/>
                      <w:color w:val="000000" w:themeColor="text1"/>
                      <w:szCs w:val="21"/>
                      <w:lang w:val="en-US" w:eastAsia="zh-CN"/>
                      <w14:textFill>
                        <w14:solidFill>
                          <w14:schemeClr w14:val="tx1"/>
                        </w14:solidFill>
                      </w14:textFill>
                    </w:rPr>
                  </w:pPr>
                  <w:r>
                    <w:rPr>
                      <w:rFonts w:ascii="Times New Roman" w:hAnsi="Times New Roman" w:eastAsia="宋体" w:cs="Times New Roman"/>
                      <w:bCs/>
                      <w:color w:val="000000" w:themeColor="text1"/>
                      <w:szCs w:val="21"/>
                      <w:lang w:val="en-US" w:eastAsia="zh-CN"/>
                      <w14:textFill>
                        <w14:solidFill>
                          <w14:schemeClr w14:val="tx1"/>
                        </w14:solidFill>
                      </w14:textFill>
                    </w:rPr>
                    <w:t>然气</w:t>
                  </w:r>
                </w:p>
              </w:tc>
              <w:tc>
                <w:tcPr>
                  <w:tcW w:w="759" w:type="dxa"/>
                  <w:noWrap w:val="0"/>
                  <w:tcMar>
                    <w:left w:w="28" w:type="dxa"/>
                    <w:right w:w="28" w:type="dxa"/>
                  </w:tcMar>
                  <w:vAlign w:val="center"/>
                </w:tcPr>
                <w:p>
                  <w:pPr>
                    <w:spacing w:line="3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111.72</w:t>
                  </w:r>
                </w:p>
              </w:tc>
              <w:tc>
                <w:tcPr>
                  <w:tcW w:w="660" w:type="dxa"/>
                  <w:noWrap w:val="0"/>
                  <w:tcMar>
                    <w:left w:w="28" w:type="dxa"/>
                    <w:right w:w="28" w:type="dxa"/>
                  </w:tcMar>
                  <w:vAlign w:val="center"/>
                </w:tcPr>
                <w:p>
                  <w:pPr>
                    <w:spacing w:line="3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0.01</w:t>
                  </w:r>
                </w:p>
              </w:tc>
              <w:tc>
                <w:tcPr>
                  <w:tcW w:w="640" w:type="dxa"/>
                  <w:noWrap w:val="0"/>
                  <w:tcMar>
                    <w:left w:w="28" w:type="dxa"/>
                    <w:right w:w="28" w:type="dxa"/>
                  </w:tcMar>
                  <w:vAlign w:val="center"/>
                </w:tcPr>
                <w:p>
                  <w:pPr>
                    <w:spacing w:line="3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0.001</w:t>
                  </w:r>
                </w:p>
              </w:tc>
              <w:tc>
                <w:tcPr>
                  <w:tcW w:w="770" w:type="dxa"/>
                  <w:noWrap w:val="0"/>
                  <w:tcMar>
                    <w:left w:w="28" w:type="dxa"/>
                    <w:right w:w="28" w:type="dxa"/>
                  </w:tcMar>
                  <w:vAlign w:val="center"/>
                </w:tcPr>
                <w:p>
                  <w:pPr>
                    <w:spacing w:line="3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8.95</w:t>
                  </w:r>
                </w:p>
              </w:tc>
              <w:tc>
                <w:tcPr>
                  <w:tcW w:w="660" w:type="dxa"/>
                  <w:noWrap w:val="0"/>
                  <w:tcMar>
                    <w:left w:w="28" w:type="dxa"/>
                    <w:right w:w="28" w:type="dxa"/>
                  </w:tcMar>
                  <w:vAlign w:val="center"/>
                </w:tcPr>
                <w:p>
                  <w:pPr>
                    <w:spacing w:line="3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0.02</w:t>
                  </w:r>
                </w:p>
              </w:tc>
              <w:tc>
                <w:tcPr>
                  <w:tcW w:w="730" w:type="dxa"/>
                  <w:noWrap w:val="0"/>
                  <w:tcMar>
                    <w:left w:w="28" w:type="dxa"/>
                    <w:right w:w="28" w:type="dxa"/>
                  </w:tcMar>
                  <w:vAlign w:val="center"/>
                </w:tcPr>
                <w:p>
                  <w:pPr>
                    <w:spacing w:line="3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0.002</w:t>
                  </w:r>
                </w:p>
              </w:tc>
              <w:tc>
                <w:tcPr>
                  <w:tcW w:w="750" w:type="dxa"/>
                  <w:noWrap w:val="0"/>
                  <w:tcMar>
                    <w:left w:w="28" w:type="dxa"/>
                    <w:right w:w="28" w:type="dxa"/>
                  </w:tcMar>
                  <w:vAlign w:val="center"/>
                </w:tcPr>
                <w:p>
                  <w:pPr>
                    <w:spacing w:line="3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17.9</w:t>
                  </w:r>
                </w:p>
              </w:tc>
              <w:tc>
                <w:tcPr>
                  <w:tcW w:w="630" w:type="dxa"/>
                  <w:noWrap w:val="0"/>
                  <w:tcMar>
                    <w:left w:w="28" w:type="dxa"/>
                    <w:right w:w="28" w:type="dxa"/>
                  </w:tcMar>
                  <w:vAlign w:val="center"/>
                </w:tcPr>
                <w:p>
                  <w:pPr>
                    <w:spacing w:line="3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w:t>
                  </w:r>
                </w:p>
              </w:tc>
              <w:tc>
                <w:tcPr>
                  <w:tcW w:w="640" w:type="dxa"/>
                  <w:noWrap w:val="0"/>
                  <w:tcMar>
                    <w:left w:w="28" w:type="dxa"/>
                    <w:right w:w="28" w:type="dxa"/>
                  </w:tcMar>
                  <w:vAlign w:val="center"/>
                </w:tcPr>
                <w:p>
                  <w:pPr>
                    <w:spacing w:line="3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0.003</w:t>
                  </w:r>
                </w:p>
              </w:tc>
              <w:tc>
                <w:tcPr>
                  <w:tcW w:w="768" w:type="dxa"/>
                  <w:noWrap w:val="0"/>
                  <w:tcMar>
                    <w:left w:w="28" w:type="dxa"/>
                    <w:right w:w="28" w:type="dxa"/>
                  </w:tcMar>
                  <w:vAlign w:val="center"/>
                </w:tcPr>
                <w:p>
                  <w:pPr>
                    <w:spacing w:line="3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26.85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30" w:type="dxa"/>
                  <w:noWrap w:val="0"/>
                  <w:tcMar>
                    <w:left w:w="28" w:type="dxa"/>
                    <w:right w:w="28" w:type="dxa"/>
                  </w:tcMar>
                  <w:vAlign w:val="center"/>
                </w:tcPr>
                <w:p>
                  <w:pPr>
                    <w:spacing w:line="360" w:lineRule="exact"/>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标准值</w:t>
                  </w:r>
                </w:p>
              </w:tc>
              <w:tc>
                <w:tcPr>
                  <w:tcW w:w="759" w:type="dxa"/>
                  <w:noWrap w:val="0"/>
                  <w:tcMar>
                    <w:left w:w="28" w:type="dxa"/>
                    <w:right w:w="28" w:type="dxa"/>
                  </w:tcMar>
                  <w:vAlign w:val="center"/>
                </w:tcPr>
                <w:p>
                  <w:pPr>
                    <w:spacing w:line="36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660" w:type="dxa"/>
                  <w:noWrap w:val="0"/>
                  <w:tcMar>
                    <w:left w:w="28" w:type="dxa"/>
                    <w:right w:w="28" w:type="dxa"/>
                  </w:tcMar>
                  <w:vAlign w:val="center"/>
                </w:tcPr>
                <w:p>
                  <w:pPr>
                    <w:spacing w:line="36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640" w:type="dxa"/>
                  <w:noWrap w:val="0"/>
                  <w:tcMar>
                    <w:left w:w="28" w:type="dxa"/>
                    <w:right w:w="28" w:type="dxa"/>
                  </w:tcMar>
                  <w:vAlign w:val="center"/>
                </w:tcPr>
                <w:p>
                  <w:pPr>
                    <w:spacing w:line="36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770" w:type="dxa"/>
                  <w:noWrap w:val="0"/>
                  <w:tcMar>
                    <w:left w:w="28" w:type="dxa"/>
                    <w:right w:w="28" w:type="dxa"/>
                  </w:tcMar>
                  <w:vAlign w:val="center"/>
                </w:tcPr>
                <w:p>
                  <w:pPr>
                    <w:spacing w:line="36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w:t>
                  </w:r>
                </w:p>
              </w:tc>
              <w:tc>
                <w:tcPr>
                  <w:tcW w:w="660" w:type="dxa"/>
                  <w:noWrap w:val="0"/>
                  <w:tcMar>
                    <w:left w:w="28" w:type="dxa"/>
                    <w:right w:w="28" w:type="dxa"/>
                  </w:tcMar>
                  <w:vAlign w:val="center"/>
                </w:tcPr>
                <w:p>
                  <w:pPr>
                    <w:spacing w:line="36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730" w:type="dxa"/>
                  <w:noWrap w:val="0"/>
                  <w:tcMar>
                    <w:left w:w="28" w:type="dxa"/>
                    <w:right w:w="28" w:type="dxa"/>
                  </w:tcMar>
                  <w:vAlign w:val="center"/>
                </w:tcPr>
                <w:p>
                  <w:pPr>
                    <w:spacing w:line="36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750" w:type="dxa"/>
                  <w:noWrap w:val="0"/>
                  <w:tcMar>
                    <w:left w:w="28" w:type="dxa"/>
                    <w:right w:w="28" w:type="dxa"/>
                  </w:tcMar>
                  <w:vAlign w:val="center"/>
                </w:tcPr>
                <w:p>
                  <w:pPr>
                    <w:spacing w:line="36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20</w:t>
                  </w:r>
                </w:p>
              </w:tc>
              <w:tc>
                <w:tcPr>
                  <w:tcW w:w="630" w:type="dxa"/>
                  <w:noWrap w:val="0"/>
                  <w:tcMar>
                    <w:left w:w="28" w:type="dxa"/>
                    <w:right w:w="28" w:type="dxa"/>
                  </w:tcMar>
                  <w:vAlign w:val="center"/>
                </w:tcPr>
                <w:p>
                  <w:pPr>
                    <w:spacing w:line="36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640" w:type="dxa"/>
                  <w:noWrap w:val="0"/>
                  <w:tcMar>
                    <w:left w:w="28" w:type="dxa"/>
                    <w:right w:w="28" w:type="dxa"/>
                  </w:tcMar>
                  <w:vAlign w:val="center"/>
                </w:tcPr>
                <w:p>
                  <w:pPr>
                    <w:spacing w:line="36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768" w:type="dxa"/>
                  <w:noWrap w:val="0"/>
                  <w:tcMar>
                    <w:left w:w="28" w:type="dxa"/>
                    <w:right w:w="28" w:type="dxa"/>
                  </w:tcMar>
                  <w:vAlign w:val="center"/>
                </w:tcPr>
                <w:p>
                  <w:pPr>
                    <w:spacing w:line="36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50</w:t>
                  </w:r>
                </w:p>
              </w:tc>
            </w:tr>
          </w:tbl>
          <w:p>
            <w:pPr>
              <w:pStyle w:val="13"/>
              <w:spacing w:after="0" w:line="360" w:lineRule="auto"/>
              <w:ind w:left="0" w:leftChars="0" w:firstLine="480" w:firstLineChars="200"/>
              <w:rPr>
                <w:bCs/>
                <w:color w:val="000000" w:themeColor="text1"/>
                <w:spacing w:val="-10"/>
                <w:sz w:val="24"/>
                <w14:textFill>
                  <w14:solidFill>
                    <w14:schemeClr w14:val="tx1"/>
                  </w14:solidFill>
                </w14:textFill>
              </w:rPr>
            </w:pPr>
            <w:r>
              <w:rPr>
                <w:color w:val="000000" w:themeColor="text1"/>
                <w:sz w:val="24"/>
                <w14:textFill>
                  <w14:solidFill>
                    <w14:schemeClr w14:val="tx1"/>
                  </w14:solidFill>
                </w14:textFill>
              </w:rPr>
              <w:t>由表4-</w:t>
            </w:r>
            <w:r>
              <w:rPr>
                <w:rFonts w:hint="eastAsia"/>
                <w:color w:val="000000" w:themeColor="text1"/>
                <w:sz w:val="24"/>
                <w:lang w:val="en-US" w:eastAsia="zh-CN"/>
                <w14:textFill>
                  <w14:solidFill>
                    <w14:schemeClr w14:val="tx1"/>
                  </w14:solidFill>
                </w14:textFill>
              </w:rPr>
              <w:t>10</w:t>
            </w:r>
            <w:r>
              <w:rPr>
                <w:color w:val="000000" w:themeColor="text1"/>
                <w:sz w:val="24"/>
                <w14:textFill>
                  <w14:solidFill>
                    <w14:schemeClr w14:val="tx1"/>
                  </w14:solidFill>
                </w14:textFill>
              </w:rPr>
              <w:t>可知，采取该措施后，锅炉天然气燃烧废气中颗粒物、SO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、氮氧化物排放浓度均可达《锅炉大气污染物排放标准》（DB 61/1226-2018）表3中的燃气锅炉大气污染物排放限值要求。</w:t>
            </w:r>
          </w:p>
          <w:p>
            <w:pPr>
              <w:pStyle w:val="62"/>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cs="Times New Roman"/>
                <w:b w:val="0"/>
                <w:bCs w:val="0"/>
                <w:color w:val="000000" w:themeColor="text1"/>
                <w:sz w:val="24"/>
                <w:szCs w:val="22"/>
                <w14:textFill>
                  <w14:solidFill>
                    <w14:schemeClr w14:val="tx1"/>
                  </w14:solidFill>
                </w14:textFill>
              </w:rPr>
            </w:pPr>
            <w:r>
              <w:rPr>
                <w:rFonts w:hint="eastAsia" w:cs="Times New Roman"/>
                <w:b w:val="0"/>
                <w:bCs w:val="0"/>
                <w:color w:val="000000" w:themeColor="text1"/>
                <w:sz w:val="24"/>
                <w:szCs w:val="22"/>
                <w:lang w:eastAsia="zh-CN"/>
                <w14:textFill>
                  <w14:solidFill>
                    <w14:schemeClr w14:val="tx1"/>
                  </w14:solidFill>
                </w14:textFill>
              </w:rPr>
              <w:t>（</w:t>
            </w:r>
            <w:r>
              <w:rPr>
                <w:rFonts w:hint="eastAsia" w:cs="Times New Roman"/>
                <w:b w:val="0"/>
                <w:bCs w:val="0"/>
                <w:color w:val="000000" w:themeColor="text1"/>
                <w:sz w:val="24"/>
                <w:szCs w:val="22"/>
                <w:lang w:val="en-US" w:eastAsia="zh-CN"/>
                <w14:textFill>
                  <w14:solidFill>
                    <w14:schemeClr w14:val="tx1"/>
                  </w14:solidFill>
                </w14:textFill>
              </w:rPr>
              <w:t>2</w:t>
            </w:r>
            <w:r>
              <w:rPr>
                <w:rFonts w:hint="eastAsia" w:cs="Times New Roman"/>
                <w:b w:val="0"/>
                <w:bCs w:val="0"/>
                <w:color w:val="000000" w:themeColor="text1"/>
                <w:sz w:val="24"/>
                <w:szCs w:val="22"/>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2"/>
                <w14:textFill>
                  <w14:solidFill>
                    <w14:schemeClr w14:val="tx1"/>
                  </w14:solidFill>
                </w14:textFill>
              </w:rPr>
              <w:t xml:space="preserve">食堂油烟 </w:t>
            </w:r>
          </w:p>
          <w:p>
            <w:pPr>
              <w:pStyle w:val="13"/>
              <w:spacing w:after="0" w:line="360" w:lineRule="auto"/>
              <w:ind w:left="0" w:leftChars="0"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w:t>
            </w:r>
            <w:r>
              <w:rPr>
                <w:rFonts w:hint="default" w:ascii="Times New Roman" w:hAnsi="Times New Roman" w:eastAsia="宋体" w:cs="Times New Roman"/>
                <w:b w:val="0"/>
                <w:bCs w:val="0"/>
                <w:color w:val="000000" w:themeColor="text1"/>
                <w:sz w:val="24"/>
                <w:szCs w:val="22"/>
                <w14:textFill>
                  <w14:solidFill>
                    <w14:schemeClr w14:val="tx1"/>
                  </w14:solidFill>
                </w14:textFill>
              </w:rPr>
              <w:t>食堂</w:t>
            </w:r>
            <w:r>
              <w:rPr>
                <w:color w:val="000000" w:themeColor="text1"/>
                <w:sz w:val="24"/>
                <w14:textFill>
                  <w14:solidFill>
                    <w14:schemeClr w14:val="tx1"/>
                  </w14:solidFill>
                </w14:textFill>
              </w:rPr>
              <w:t>采用</w:t>
            </w:r>
            <w:r>
              <w:rPr>
                <w:rFonts w:hint="eastAsia"/>
                <w:color w:val="000000" w:themeColor="text1"/>
                <w:sz w:val="24"/>
                <w14:textFill>
                  <w14:solidFill>
                    <w14:schemeClr w14:val="tx1"/>
                  </w14:solidFill>
                </w14:textFill>
              </w:rPr>
              <w:t>天然气</w:t>
            </w:r>
            <w:r>
              <w:rPr>
                <w:color w:val="000000" w:themeColor="text1"/>
                <w:sz w:val="24"/>
                <w14:textFill>
                  <w14:solidFill>
                    <w14:schemeClr w14:val="tx1"/>
                  </w14:solidFill>
                </w14:textFill>
              </w:rPr>
              <w:t>作为能源，</w:t>
            </w:r>
            <w:r>
              <w:rPr>
                <w:rFonts w:hint="eastAsia"/>
                <w:color w:val="000000" w:themeColor="text1"/>
                <w:sz w:val="24"/>
                <w14:textFill>
                  <w14:solidFill>
                    <w14:schemeClr w14:val="tx1"/>
                  </w14:solidFill>
                </w14:textFill>
              </w:rPr>
              <w:t>天然气</w:t>
            </w:r>
            <w:r>
              <w:rPr>
                <w:color w:val="000000" w:themeColor="text1"/>
                <w:sz w:val="24"/>
                <w:szCs w:val="22"/>
                <w14:textFill>
                  <w14:solidFill>
                    <w14:schemeClr w14:val="tx1"/>
                  </w14:solidFill>
                </w14:textFill>
              </w:rPr>
              <w:t>是一种无毒、无有害废气，既安全又经济的清洁燃料，其燃烧废气较小，对周边大气环境产生</w:t>
            </w:r>
            <w:r>
              <w:rPr>
                <w:rFonts w:hint="eastAsia"/>
                <w:color w:val="000000" w:themeColor="text1"/>
                <w:sz w:val="24"/>
                <w:szCs w:val="22"/>
                <w:lang w:val="en-US" w:eastAsia="zh-CN"/>
                <w14:textFill>
                  <w14:solidFill>
                    <w14:schemeClr w14:val="tx1"/>
                  </w14:solidFill>
                </w14:textFill>
              </w:rPr>
              <w:t>的</w:t>
            </w:r>
            <w:r>
              <w:rPr>
                <w:color w:val="000000" w:themeColor="text1"/>
                <w:sz w:val="24"/>
                <w:szCs w:val="22"/>
                <w14:textFill>
                  <w14:solidFill>
                    <w14:schemeClr w14:val="tx1"/>
                  </w14:solidFill>
                </w14:textFill>
              </w:rPr>
              <w:t>影响</w:t>
            </w:r>
            <w:r>
              <w:rPr>
                <w:color w:val="000000" w:themeColor="text1"/>
                <w:sz w:val="24"/>
                <w14:textFill>
                  <w14:solidFill>
                    <w14:schemeClr w14:val="tx1"/>
                  </w14:solidFill>
                </w14:textFill>
              </w:rPr>
              <w:t>可接受。</w:t>
            </w:r>
          </w:p>
          <w:p>
            <w:pPr>
              <w:spacing w:line="360" w:lineRule="auto"/>
              <w:ind w:firstLine="480" w:firstLineChars="200"/>
              <w:rPr>
                <w:bCs/>
                <w:color w:val="000000" w:themeColor="text1"/>
                <w:spacing w:val="-10"/>
                <w:sz w:val="24"/>
                <w14:textFill>
                  <w14:solidFill>
                    <w14:schemeClr w14:val="tx1"/>
                  </w14:solidFill>
                </w14:textFill>
              </w:rPr>
            </w:pPr>
            <w:r>
              <w:rPr>
                <w:color w:val="000000" w:themeColor="text1"/>
                <w:sz w:val="24"/>
                <w14:textFill>
                  <w14:solidFill>
                    <w14:schemeClr w14:val="tx1"/>
                  </w14:solidFill>
                </w14:textFill>
              </w:rPr>
              <w:t>本项目在</w:t>
            </w:r>
            <w:r>
              <w:rPr>
                <w:rFonts w:hint="default" w:ascii="Times New Roman" w:hAnsi="Times New Roman" w:eastAsia="宋体" w:cs="Times New Roman"/>
                <w:b w:val="0"/>
                <w:bCs w:val="0"/>
                <w:color w:val="000000" w:themeColor="text1"/>
                <w:sz w:val="24"/>
                <w:szCs w:val="22"/>
                <w14:textFill>
                  <w14:solidFill>
                    <w14:schemeClr w14:val="tx1"/>
                  </w14:solidFill>
                </w14:textFill>
              </w:rPr>
              <w:t>食堂</w:t>
            </w:r>
            <w:r>
              <w:rPr>
                <w:color w:val="000000" w:themeColor="text1"/>
                <w:sz w:val="24"/>
                <w14:textFill>
                  <w14:solidFill>
                    <w14:schemeClr w14:val="tx1"/>
                  </w14:solidFill>
                </w14:textFill>
              </w:rPr>
              <w:t>安装标准单眼灶</w:t>
            </w:r>
            <w:r>
              <w:rPr>
                <w:rFonts w:hint="eastAsia"/>
                <w:color w:val="000000" w:themeColor="text1"/>
                <w:sz w:val="24"/>
                <w:lang w:val="en-US" w:eastAsia="zh-CN"/>
                <w14:textFill>
                  <w14:solidFill>
                    <w14:schemeClr w14:val="tx1"/>
                  </w14:solidFill>
                </w14:textFill>
              </w:rPr>
              <w:t>1</w:t>
            </w:r>
            <w:r>
              <w:rPr>
                <w:color w:val="000000" w:themeColor="text1"/>
                <w:sz w:val="24"/>
                <w14:textFill>
                  <w14:solidFill>
                    <w14:schemeClr w14:val="tx1"/>
                  </w14:solidFill>
                </w14:textFill>
              </w:rPr>
              <w:t>个，提供员工</w:t>
            </w:r>
            <w:r>
              <w:rPr>
                <w:rFonts w:hint="eastAsia"/>
                <w:color w:val="000000" w:themeColor="text1"/>
                <w:sz w:val="24"/>
                <w:lang w:val="en-US" w:eastAsia="zh-CN"/>
                <w14:textFill>
                  <w14:solidFill>
                    <w14:schemeClr w14:val="tx1"/>
                  </w14:solidFill>
                </w14:textFill>
              </w:rPr>
              <w:t>午餐</w:t>
            </w:r>
            <w:r>
              <w:rPr>
                <w:color w:val="000000" w:themeColor="text1"/>
                <w:sz w:val="24"/>
                <w14:textFill>
                  <w14:solidFill>
                    <w14:schemeClr w14:val="tx1"/>
                  </w14:solidFill>
                </w14:textFill>
              </w:rPr>
              <w:t>，日就餐平均人数约为</w:t>
            </w:r>
            <w:r>
              <w:rPr>
                <w:rFonts w:hint="eastAsia"/>
                <w:color w:val="000000" w:themeColor="text1"/>
                <w:sz w:val="24"/>
                <w:lang w:val="en-US" w:eastAsia="zh-CN"/>
                <w14:textFill>
                  <w14:solidFill>
                    <w14:schemeClr w14:val="tx1"/>
                  </w14:solidFill>
                </w14:textFill>
              </w:rPr>
              <w:t>30</w:t>
            </w:r>
            <w:r>
              <w:rPr>
                <w:color w:val="000000" w:themeColor="text1"/>
                <w:sz w:val="24"/>
                <w14:textFill>
                  <w14:solidFill>
                    <w14:schemeClr w14:val="tx1"/>
                  </w14:solidFill>
                </w14:textFill>
              </w:rPr>
              <w:t>人次。根据同类餐饮调查，食用油消耗系数为2.0kg/100人·餐，则本项目食用油消耗量为</w:t>
            </w:r>
            <w:r>
              <w:rPr>
                <w:rFonts w:hint="eastAsia"/>
                <w:color w:val="000000" w:themeColor="text1"/>
                <w:sz w:val="24"/>
                <w:lang w:val="en-US" w:eastAsia="zh-CN"/>
                <w14:textFill>
                  <w14:solidFill>
                    <w14:schemeClr w14:val="tx1"/>
                  </w14:solidFill>
                </w14:textFill>
              </w:rPr>
              <w:t>0.6</w:t>
            </w:r>
            <w:r>
              <w:rPr>
                <w:color w:val="000000" w:themeColor="text1"/>
                <w:sz w:val="24"/>
                <w14:textFill>
                  <w14:solidFill>
                    <w14:schemeClr w14:val="tx1"/>
                  </w14:solidFill>
                </w14:textFill>
              </w:rPr>
              <w:t>kg/d，</w:t>
            </w:r>
            <w:r>
              <w:rPr>
                <w:rFonts w:hint="eastAsia"/>
                <w:color w:val="000000" w:themeColor="text1"/>
                <w:sz w:val="24"/>
                <w:lang w:val="en-US" w:eastAsia="zh-CN"/>
                <w14:textFill>
                  <w14:solidFill>
                    <w14:schemeClr w14:val="tx1"/>
                  </w14:solidFill>
                </w14:textFill>
              </w:rPr>
              <w:t>219</w:t>
            </w:r>
            <w:r>
              <w:rPr>
                <w:color w:val="000000" w:themeColor="text1"/>
                <w:sz w:val="24"/>
                <w14:textFill>
                  <w14:solidFill>
                    <w14:schemeClr w14:val="tx1"/>
                  </w14:solidFill>
                </w14:textFill>
              </w:rPr>
              <w:t>kg/a。根据餐饮业的调查和监测，不同的炒炸工况，油的挥发量不同，平均约占总耗油量的1％-3％，由于是大锅菜，挥发量一般是在2%-4%，本项目油的挥发量取2.83%，则油烟的发生量</w:t>
            </w:r>
            <w:r>
              <w:rPr>
                <w:rFonts w:hint="eastAsia"/>
                <w:color w:val="000000" w:themeColor="text1"/>
                <w:sz w:val="24"/>
                <w14:textFill>
                  <w14:solidFill>
                    <w14:schemeClr w14:val="tx1"/>
                  </w14:solidFill>
                </w14:textFill>
              </w:rPr>
              <w:t>约</w:t>
            </w:r>
            <w:r>
              <w:rPr>
                <w:rFonts w:hint="eastAsia"/>
                <w:color w:val="000000" w:themeColor="text1"/>
                <w:sz w:val="24"/>
                <w:lang w:val="en-US" w:eastAsia="zh-CN"/>
                <w14:textFill>
                  <w14:solidFill>
                    <w14:schemeClr w14:val="tx1"/>
                  </w14:solidFill>
                </w14:textFill>
              </w:rPr>
              <w:t>6.2</w:t>
            </w:r>
            <w:r>
              <w:rPr>
                <w:color w:val="000000" w:themeColor="text1"/>
                <w:sz w:val="24"/>
                <w14:textFill>
                  <w14:solidFill>
                    <w14:schemeClr w14:val="tx1"/>
                  </w14:solidFill>
                </w14:textFill>
              </w:rPr>
              <w:t>kg/a</w:t>
            </w:r>
            <w:r>
              <w:rPr>
                <w:rFonts w:hint="eastAsia"/>
                <w:color w:val="000000" w:themeColor="text1"/>
                <w:sz w:val="24"/>
                <w14:textFill>
                  <w14:solidFill>
                    <w14:schemeClr w14:val="tx1"/>
                  </w14:solidFill>
                </w14:textFill>
              </w:rPr>
              <w:t>，产生浓度约为</w:t>
            </w:r>
            <w:r>
              <w:rPr>
                <w:rFonts w:hint="eastAsia"/>
                <w:color w:val="000000" w:themeColor="text1"/>
                <w:sz w:val="24"/>
                <w:lang w:val="en-US" w:eastAsia="zh-CN"/>
                <w14:textFill>
                  <w14:solidFill>
                    <w14:schemeClr w14:val="tx1"/>
                  </w14:solidFill>
                </w14:textFill>
              </w:rPr>
              <w:t>4.25</w:t>
            </w:r>
            <w:r>
              <w:rPr>
                <w:rFonts w:hint="eastAsia"/>
                <w:color w:val="000000" w:themeColor="text1"/>
                <w:sz w:val="24"/>
                <w14:textFill>
                  <w14:solidFill>
                    <w14:schemeClr w14:val="tx1"/>
                  </w14:solidFill>
                </w14:textFill>
              </w:rPr>
              <w:t>mg/m</w:t>
            </w:r>
            <w:r>
              <w:rPr>
                <w:rFonts w:hint="eastAsia"/>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。本项目</w:t>
            </w:r>
            <w:r>
              <w:rPr>
                <w:rFonts w:hint="default" w:ascii="Times New Roman" w:hAnsi="Times New Roman" w:eastAsia="宋体" w:cs="Times New Roman"/>
                <w:b w:val="0"/>
                <w:bCs w:val="0"/>
                <w:color w:val="000000" w:themeColor="text1"/>
                <w:sz w:val="24"/>
                <w:szCs w:val="22"/>
                <w14:textFill>
                  <w14:solidFill>
                    <w14:schemeClr w14:val="tx1"/>
                  </w14:solidFill>
                </w14:textFill>
              </w:rPr>
              <w:t>食堂</w:t>
            </w:r>
            <w:r>
              <w:rPr>
                <w:color w:val="000000" w:themeColor="text1"/>
                <w:sz w:val="24"/>
                <w14:textFill>
                  <w14:solidFill>
                    <w14:schemeClr w14:val="tx1"/>
                  </w14:solidFill>
                </w14:textFill>
              </w:rPr>
              <w:t>共设有单眼灶</w:t>
            </w:r>
            <w:r>
              <w:rPr>
                <w:rFonts w:hint="eastAsia"/>
                <w:color w:val="000000" w:themeColor="text1"/>
                <w:sz w:val="24"/>
                <w:lang w:val="en-US" w:eastAsia="zh-CN"/>
                <w14:textFill>
                  <w14:solidFill>
                    <w14:schemeClr w14:val="tx1"/>
                  </w14:solidFill>
                </w14:textFill>
              </w:rPr>
              <w:t>1</w:t>
            </w:r>
            <w:r>
              <w:rPr>
                <w:color w:val="000000" w:themeColor="text1"/>
                <w:sz w:val="24"/>
                <w14:textFill>
                  <w14:solidFill>
                    <w14:schemeClr w14:val="tx1"/>
                  </w14:solidFill>
                </w14:textFill>
              </w:rPr>
              <w:t>个，其建设规模为小型。建设单位拟安装风量不低于</w:t>
            </w:r>
            <w:r>
              <w:rPr>
                <w:rFonts w:hint="eastAsia"/>
                <w:color w:val="000000" w:themeColor="text1"/>
                <w:sz w:val="24"/>
                <w:lang w:val="en-US" w:eastAsia="zh-CN"/>
                <w14:textFill>
                  <w14:solidFill>
                    <w14:schemeClr w14:val="tx1"/>
                  </w14:solidFill>
                </w14:textFill>
              </w:rPr>
              <w:t>2</w:t>
            </w:r>
            <w:r>
              <w:rPr>
                <w:color w:val="000000" w:themeColor="text1"/>
                <w:sz w:val="24"/>
                <w14:textFill>
                  <w14:solidFill>
                    <w14:schemeClr w14:val="tx1"/>
                  </w14:solidFill>
                </w14:textFill>
              </w:rPr>
              <w:t>000m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/h，最低去除效率大于60％的油烟净化设施。</w:t>
            </w:r>
            <w:r>
              <w:rPr>
                <w:rFonts w:hint="eastAsia"/>
                <w:color w:val="000000" w:themeColor="text1"/>
                <w:sz w:val="24"/>
                <w:lang w:val="en-US" w:eastAsia="zh-CN"/>
                <w14:textFill>
                  <w14:solidFill>
                    <w14:schemeClr w14:val="tx1"/>
                  </w14:solidFill>
                </w14:textFill>
              </w:rPr>
              <w:t>食堂</w:t>
            </w:r>
            <w:r>
              <w:rPr>
                <w:color w:val="000000" w:themeColor="text1"/>
                <w:sz w:val="24"/>
                <w14:textFill>
                  <w14:solidFill>
                    <w14:schemeClr w14:val="tx1"/>
                  </w14:solidFill>
                </w14:textFill>
              </w:rPr>
              <w:t>产生的油烟经风机引至油烟净化器处理后至</w:t>
            </w:r>
            <w:r>
              <w:rPr>
                <w:rFonts w:hint="default" w:ascii="Times New Roman" w:hAnsi="Times New Roman" w:eastAsia="宋体" w:cs="Times New Roman"/>
                <w:b w:val="0"/>
                <w:bCs w:val="0"/>
                <w:color w:val="000000" w:themeColor="text1"/>
                <w:sz w:val="24"/>
                <w:szCs w:val="22"/>
                <w14:textFill>
                  <w14:solidFill>
                    <w14:schemeClr w14:val="tx1"/>
                  </w14:solidFill>
                </w14:textFill>
              </w:rPr>
              <w:t>食堂</w:t>
            </w:r>
            <w:r>
              <w:rPr>
                <w:color w:val="000000" w:themeColor="text1"/>
                <w:sz w:val="24"/>
                <w14:textFill>
                  <w14:solidFill>
                    <w14:schemeClr w14:val="tx1"/>
                  </w14:solidFill>
                </w14:textFill>
              </w:rPr>
              <w:t>屋顶排放。本项目油烟经油烟净化器处理后，油烟排放量约为</w:t>
            </w:r>
            <w:r>
              <w:rPr>
                <w:rFonts w:hint="eastAsia"/>
                <w:color w:val="000000" w:themeColor="text1"/>
                <w:sz w:val="24"/>
                <w:lang w:val="en-US" w:eastAsia="zh-CN"/>
                <w14:textFill>
                  <w14:solidFill>
                    <w14:schemeClr w14:val="tx1"/>
                  </w14:solidFill>
                </w14:textFill>
              </w:rPr>
              <w:t>2.48</w:t>
            </w:r>
            <w:r>
              <w:rPr>
                <w:color w:val="000000" w:themeColor="text1"/>
                <w:sz w:val="24"/>
                <w14:textFill>
                  <w14:solidFill>
                    <w14:schemeClr w14:val="tx1"/>
                  </w14:solidFill>
                </w14:textFill>
              </w:rPr>
              <w:t>kg/a。灶头以日运转</w:t>
            </w:r>
            <w:r>
              <w:rPr>
                <w:rFonts w:hint="eastAsia"/>
                <w:color w:val="000000" w:themeColor="text1"/>
                <w:sz w:val="24"/>
                <w:lang w:val="en-US" w:eastAsia="zh-CN"/>
                <w14:textFill>
                  <w14:solidFill>
                    <w14:schemeClr w14:val="tx1"/>
                  </w14:solidFill>
                </w14:textFill>
              </w:rPr>
              <w:t>2</w:t>
            </w:r>
            <w:r>
              <w:rPr>
                <w:color w:val="000000" w:themeColor="text1"/>
                <w:sz w:val="24"/>
                <w14:textFill>
                  <w14:solidFill>
                    <w14:schemeClr w14:val="tx1"/>
                  </w14:solidFill>
                </w14:textFill>
              </w:rPr>
              <w:t>h计，则年油烟废气排放量为</w:t>
            </w:r>
            <w:r>
              <w:rPr>
                <w:rFonts w:hint="eastAsia"/>
                <w:color w:val="000000" w:themeColor="text1"/>
                <w:sz w:val="24"/>
                <w:lang w:val="en-US" w:eastAsia="zh-CN"/>
                <w14:textFill>
                  <w14:solidFill>
                    <w14:schemeClr w14:val="tx1"/>
                  </w14:solidFill>
                </w14:textFill>
              </w:rPr>
              <w:t>292</w:t>
            </w:r>
            <w:r>
              <w:rPr>
                <w:color w:val="000000" w:themeColor="text1"/>
                <w:sz w:val="24"/>
                <w14:textFill>
                  <w14:solidFill>
                    <w14:schemeClr w14:val="tx1"/>
                  </w14:solidFill>
                </w14:textFill>
              </w:rPr>
              <w:t>万m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，经计算，油烟</w:t>
            </w:r>
            <w:r>
              <w:rPr>
                <w:rFonts w:hint="default" w:ascii="Times New Roman" w:hAnsi="Times New Roman" w:cs="Times New Roman"/>
                <w:color w:val="000000" w:themeColor="text1"/>
                <w:sz w:val="24"/>
                <w14:textFill>
                  <w14:solidFill>
                    <w14:schemeClr w14:val="tx1"/>
                  </w14:solidFill>
                </w14:textFill>
              </w:rPr>
              <w:t>排放速率为</w:t>
            </w:r>
            <w:r>
              <w:rPr>
                <w:rFonts w:hint="default" w:ascii="Times New Roman" w:hAnsi="Times New Roman" w:cs="Times New Roman"/>
                <w:color w:val="000000" w:themeColor="text1"/>
                <w:sz w:val="24"/>
                <w:lang w:val="en-US" w:eastAsia="zh-CN"/>
                <w14:textFill>
                  <w14:solidFill>
                    <w14:schemeClr w14:val="tx1"/>
                  </w14:solidFill>
                </w14:textFill>
              </w:rPr>
              <w:t>3.4×10</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kg/h，排放浓度为</w:t>
            </w:r>
            <w:r>
              <w:rPr>
                <w:rFonts w:hint="eastAsia" w:ascii="Times New Roman" w:hAnsi="Times New Roman" w:cs="Times New Roman"/>
                <w:color w:val="000000" w:themeColor="text1"/>
                <w:sz w:val="24"/>
                <w:lang w:val="en-US" w:eastAsia="zh-CN"/>
                <w14:textFill>
                  <w14:solidFill>
                    <w14:schemeClr w14:val="tx1"/>
                  </w14:solidFill>
                </w14:textFill>
              </w:rPr>
              <w:t>1.7</w:t>
            </w:r>
            <w:r>
              <w:rPr>
                <w:rFonts w:hint="default" w:ascii="Times New Roman" w:hAnsi="Times New Roman" w:cs="Times New Roman"/>
                <w:color w:val="000000" w:themeColor="text1"/>
                <w:sz w:val="24"/>
                <w14:textFill>
                  <w14:solidFill>
                    <w14:schemeClr w14:val="tx1"/>
                  </w14:solidFill>
                </w14:textFill>
              </w:rPr>
              <w:t>mg/m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＜2.0mg/m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，可满足《饮食业油烟</w:t>
            </w:r>
            <w:r>
              <w:rPr>
                <w:color w:val="000000" w:themeColor="text1"/>
                <w:sz w:val="24"/>
                <w14:textFill>
                  <w14:solidFill>
                    <w14:schemeClr w14:val="tx1"/>
                  </w14:solidFill>
                </w14:textFill>
              </w:rPr>
              <w:t>排放标准（试行）》（GB 18483-2001）所规定的2.0mg/m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000000" w:themeColor="text1"/>
                <w:sz w:val="24"/>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14:textFill>
                  <w14:solidFill>
                    <w14:schemeClr w14:val="tx1"/>
                  </w14:solidFill>
                </w14:textFill>
              </w:rPr>
              <w:t>、</w:t>
            </w:r>
            <w:r>
              <w:rPr>
                <w:rFonts w:hint="default" w:ascii="Times New Roman" w:hAnsi="Times New Roman" w:eastAsia="宋体" w:cs="Times New Roman"/>
                <w:b w:val="0"/>
                <w:bCs w:val="0"/>
                <w:color w:val="000000" w:themeColor="text1"/>
                <w:sz w:val="24"/>
                <w:szCs w:val="21"/>
                <w14:textFill>
                  <w14:solidFill>
                    <w14:schemeClr w14:val="tx1"/>
                  </w14:solidFill>
                </w14:textFill>
              </w:rPr>
              <w:t>废气排放口基本情况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000000" w:themeColor="text1"/>
                <w:sz w:val="24"/>
                <w:szCs w:val="21"/>
                <w14:textFill>
                  <w14:solidFill>
                    <w14:schemeClr w14:val="tx1"/>
                  </w14:solidFill>
                </w14:textFill>
              </w:rPr>
            </w:pPr>
            <w:r>
              <w:rPr>
                <w:rFonts w:hint="default" w:ascii="Times New Roman" w:hAnsi="Times New Roman" w:eastAsia="宋体" w:cs="Times New Roman"/>
                <w:b w:val="0"/>
                <w:bCs w:val="0"/>
                <w:color w:val="000000" w:themeColor="text1"/>
                <w:sz w:val="24"/>
                <w:szCs w:val="21"/>
                <w14:textFill>
                  <w14:solidFill>
                    <w14:schemeClr w14:val="tx1"/>
                  </w14:solidFill>
                </w14:textFill>
              </w:rPr>
              <w:t>本次新建项目排放口基本情况见表4-</w:t>
            </w:r>
            <w:r>
              <w:rPr>
                <w:rFonts w:hint="eastAsia" w:cs="Times New Roman"/>
                <w:b w:val="0"/>
                <w:bCs w:val="0"/>
                <w:color w:val="000000" w:themeColor="text1"/>
                <w:sz w:val="24"/>
                <w:szCs w:val="21"/>
                <w:lang w:val="en-US" w:eastAsia="zh-CN"/>
                <w14:textFill>
                  <w14:solidFill>
                    <w14:schemeClr w14:val="tx1"/>
                  </w14:solidFill>
                </w14:textFill>
              </w:rPr>
              <w:t>11</w:t>
            </w:r>
            <w:r>
              <w:rPr>
                <w:rFonts w:hint="default" w:ascii="Times New Roman" w:hAnsi="Times New Roman" w:eastAsia="宋体" w:cs="Times New Roman"/>
                <w:b w:val="0"/>
                <w:bCs w:val="0"/>
                <w:color w:val="000000" w:themeColor="text1"/>
                <w:sz w:val="24"/>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4"/>
                <w:szCs w:val="21"/>
                <w14:textFill>
                  <w14:solidFill>
                    <w14:schemeClr w14:val="tx1"/>
                  </w14:solidFill>
                </w14:textFill>
              </w:rPr>
            </w:pPr>
            <w:r>
              <w:rPr>
                <w:rFonts w:hint="default" w:ascii="Times New Roman" w:hAnsi="Times New Roman" w:eastAsia="宋体" w:cs="Times New Roman"/>
                <w:b/>
                <w:bCs/>
                <w:color w:val="000000" w:themeColor="text1"/>
                <w:sz w:val="24"/>
                <w:szCs w:val="21"/>
                <w14:textFill>
                  <w14:solidFill>
                    <w14:schemeClr w14:val="tx1"/>
                  </w14:solidFill>
                </w14:textFill>
              </w:rPr>
              <w:t>表4-</w:t>
            </w:r>
            <w:r>
              <w:rPr>
                <w:rFonts w:hint="eastAsia" w:cs="Times New Roman"/>
                <w:b/>
                <w:bCs/>
                <w:color w:val="000000" w:themeColor="text1"/>
                <w:sz w:val="24"/>
                <w:szCs w:val="21"/>
                <w:lang w:val="en-US" w:eastAsia="zh-CN"/>
                <w14:textFill>
                  <w14:solidFill>
                    <w14:schemeClr w14:val="tx1"/>
                  </w14:solidFill>
                </w14:textFill>
              </w:rPr>
              <w:t>11</w:t>
            </w:r>
            <w:r>
              <w:rPr>
                <w:rFonts w:hint="default" w:ascii="Times New Roman" w:hAnsi="Times New Roman" w:eastAsia="宋体" w:cs="Times New Roman"/>
                <w:b/>
                <w:bCs/>
                <w:color w:val="000000" w:themeColor="text1"/>
                <w:sz w:val="24"/>
                <w:szCs w:val="21"/>
                <w14:textFill>
                  <w14:solidFill>
                    <w14:schemeClr w14:val="tx1"/>
                  </w14:solidFill>
                </w14:textFill>
              </w:rPr>
              <w:t xml:space="preserve">  废气排放口基本情况</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
              <w:gridCol w:w="1096"/>
              <w:gridCol w:w="1910"/>
              <w:gridCol w:w="1263"/>
              <w:gridCol w:w="1111"/>
              <w:gridCol w:w="1090"/>
              <w:gridCol w:w="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5" w:type="pct"/>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编号</w:t>
                  </w:r>
                </w:p>
              </w:tc>
              <w:tc>
                <w:tcPr>
                  <w:tcW w:w="673" w:type="pct"/>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名称</w:t>
                  </w:r>
                </w:p>
              </w:tc>
              <w:tc>
                <w:tcPr>
                  <w:tcW w:w="1173" w:type="pct"/>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污染物种类</w:t>
                  </w:r>
                </w:p>
              </w:tc>
              <w:tc>
                <w:tcPr>
                  <w:tcW w:w="1458" w:type="pct"/>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排气筒地理位置</w:t>
                  </w:r>
                </w:p>
              </w:tc>
              <w:tc>
                <w:tcPr>
                  <w:tcW w:w="669" w:type="pct"/>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排气筒高度（m）</w:t>
                  </w:r>
                </w:p>
              </w:tc>
              <w:tc>
                <w:tcPr>
                  <w:tcW w:w="438" w:type="pct"/>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出口</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5"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p>
              </w:tc>
              <w:tc>
                <w:tcPr>
                  <w:tcW w:w="673"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p>
              </w:tc>
              <w:tc>
                <w:tcPr>
                  <w:tcW w:w="1173"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p>
              </w:tc>
              <w:tc>
                <w:tcPr>
                  <w:tcW w:w="776"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经度</w:t>
                  </w:r>
                </w:p>
              </w:tc>
              <w:tc>
                <w:tcPr>
                  <w:tcW w:w="682"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纬度</w:t>
                  </w:r>
                </w:p>
              </w:tc>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p>
              </w:tc>
              <w:tc>
                <w:tcPr>
                  <w:tcW w:w="438"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85"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DA001</w:t>
                  </w:r>
                </w:p>
              </w:tc>
              <w:tc>
                <w:tcPr>
                  <w:tcW w:w="673"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000000" w:themeColor="text1"/>
                      <w:kern w:val="0"/>
                      <w:szCs w:val="21"/>
                      <w:lang w:eastAsia="zh-CN"/>
                      <w14:textFill>
                        <w14:solidFill>
                          <w14:schemeClr w14:val="tx1"/>
                        </w14:solidFill>
                      </w14:textFill>
                    </w:rPr>
                  </w:pPr>
                  <w:r>
                    <w:rPr>
                      <w:rFonts w:hint="eastAsia" w:cs="Times New Roman"/>
                      <w:b w:val="0"/>
                      <w:bCs w:val="0"/>
                      <w:color w:val="000000" w:themeColor="text1"/>
                      <w:kern w:val="0"/>
                      <w:szCs w:val="21"/>
                      <w:lang w:eastAsia="zh-CN"/>
                      <w14:textFill>
                        <w14:solidFill>
                          <w14:schemeClr w14:val="tx1"/>
                        </w14:solidFill>
                      </w14:textFill>
                    </w:rPr>
                    <w:t>锅炉燃气废气</w:t>
                  </w:r>
                </w:p>
              </w:tc>
              <w:tc>
                <w:tcPr>
                  <w:tcW w:w="1173" w:type="pct"/>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颗粒物、氮氧化物、二氧化硫</w:t>
                  </w:r>
                </w:p>
              </w:tc>
              <w:tc>
                <w:tcPr>
                  <w:tcW w:w="1263" w:type="dxa"/>
                  <w:vAlign w:val="center"/>
                </w:tcPr>
                <w:p>
                  <w:pPr>
                    <w:rPr>
                      <w:rFonts w:hint="default" w:ascii="Times New Roman" w:hAnsi="Times New Roman" w:cs="Times New Roman"/>
                      <w:b w:val="0"/>
                      <w:bCs w:val="0"/>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10</w:t>
                  </w:r>
                  <w:r>
                    <w:rPr>
                      <w:rFonts w:hint="eastAsia"/>
                      <w:color w:val="000000" w:themeColor="text1"/>
                      <w:szCs w:val="21"/>
                      <w:lang w:val="en-US" w:eastAsia="zh-CN"/>
                      <w14:textFill>
                        <w14:solidFill>
                          <w14:schemeClr w14:val="tx1"/>
                        </w14:solidFill>
                      </w14:textFill>
                    </w:rPr>
                    <w:t>6</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46</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28</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49</w:t>
                  </w:r>
                  <w:r>
                    <w:rPr>
                      <w:color w:val="000000" w:themeColor="text1"/>
                      <w:szCs w:val="21"/>
                      <w14:textFill>
                        <w14:solidFill>
                          <w14:schemeClr w14:val="tx1"/>
                        </w14:solidFill>
                      </w14:textFill>
                    </w:rPr>
                    <w:t>″</w:t>
                  </w:r>
                </w:p>
              </w:tc>
              <w:tc>
                <w:tcPr>
                  <w:tcW w:w="1111" w:type="dxa"/>
                  <w:vAlign w:val="center"/>
                </w:tcPr>
                <w:p>
                  <w:pPr>
                    <w:rPr>
                      <w:rFonts w:hint="default" w:ascii="Times New Roman" w:hAnsi="Times New Roman" w:cs="Times New Roman"/>
                      <w:b w:val="0"/>
                      <w:bCs w:val="0"/>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34°</w:t>
                  </w:r>
                  <w:r>
                    <w:rPr>
                      <w:rFonts w:hint="eastAsia"/>
                      <w:color w:val="000000" w:themeColor="text1"/>
                      <w:szCs w:val="21"/>
                      <w:lang w:val="en-US" w:eastAsia="zh-CN"/>
                      <w14:textFill>
                        <w14:solidFill>
                          <w14:schemeClr w14:val="tx1"/>
                        </w14:solidFill>
                      </w14:textFill>
                    </w:rPr>
                    <w:t>52</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40</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3</w:t>
                  </w:r>
                  <w:r>
                    <w:rPr>
                      <w:color w:val="000000" w:themeColor="text1"/>
                      <w:szCs w:val="21"/>
                      <w14:textFill>
                        <w14:solidFill>
                          <w14:schemeClr w14:val="tx1"/>
                        </w14:solidFill>
                      </w14:textFill>
                    </w:rPr>
                    <w:t>″</w:t>
                  </w:r>
                </w:p>
              </w:tc>
              <w:tc>
                <w:tcPr>
                  <w:tcW w:w="66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000000" w:themeColor="text1"/>
                      <w:kern w:val="0"/>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kern w:val="0"/>
                      <w:szCs w:val="21"/>
                      <w:lang w:val="en-US" w:eastAsia="zh-CN"/>
                      <w14:textFill>
                        <w14:solidFill>
                          <w14:schemeClr w14:val="tx1"/>
                        </w14:solidFill>
                      </w14:textFill>
                    </w:rPr>
                    <w:t>8</w:t>
                  </w:r>
                </w:p>
              </w:tc>
              <w:tc>
                <w:tcPr>
                  <w:tcW w:w="43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45</w:t>
                  </w:r>
                </w:p>
              </w:tc>
            </w:tr>
          </w:tbl>
          <w:p>
            <w:pPr>
              <w:pStyle w:val="27"/>
              <w:keepNext w:val="0"/>
              <w:keepLines w:val="0"/>
              <w:pageBreakBefore w:val="0"/>
              <w:widowControl w:val="0"/>
              <w:kinsoku/>
              <w:wordWrap/>
              <w:overflowPunct/>
              <w:topLinePunct w:val="0"/>
              <w:bidi w:val="0"/>
              <w:adjustRightInd/>
              <w:snapToGrid/>
              <w:spacing w:line="360" w:lineRule="auto"/>
              <w:ind w:left="0" w:firstLine="480" w:firstLineChars="200"/>
              <w:jc w:val="both"/>
              <w:textAlignment w:val="auto"/>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pPr>
            <w:r>
              <w:rPr>
                <w:rFonts w:hint="eastAsia" w:ascii="Times New Roman" w:cs="Times New Roman"/>
                <w:b w:val="0"/>
                <w:bCs w:val="0"/>
                <w:color w:val="000000" w:themeColor="text1"/>
                <w:kern w:val="0"/>
                <w:sz w:val="24"/>
                <w:szCs w:val="24"/>
                <w:lang w:val="en-US" w:eastAsia="zh-CN"/>
                <w14:textFill>
                  <w14:solidFill>
                    <w14:schemeClr w14:val="tx1"/>
                  </w14:solidFill>
                </w14:textFill>
              </w:rPr>
              <w:t>4、监测计划</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cs="Times New Roman"/>
                <w:b w:val="0"/>
                <w:bCs w:val="0"/>
                <w:color w:val="000000" w:themeColor="text1"/>
                <w:sz w:val="24"/>
                <w14:textFill>
                  <w14:solidFill>
                    <w14:schemeClr w14:val="tx1"/>
                  </w14:solidFill>
                </w14:textFill>
              </w:rPr>
            </w:pPr>
            <w:r>
              <w:rPr>
                <w:color w:val="000000" w:themeColor="text1"/>
                <w:sz w:val="24"/>
                <w14:textFill>
                  <w14:solidFill>
                    <w14:schemeClr w14:val="tx1"/>
                  </w14:solidFill>
                </w14:textFill>
              </w:rPr>
              <w:t>监测工作可由建设单位根据自身条件和能力，利用自有人员、场所和设备按照</w:t>
            </w:r>
            <w:r>
              <w:rPr>
                <w:rFonts w:hint="eastAsia"/>
                <w:color w:val="000000" w:themeColor="text1"/>
                <w:sz w:val="24"/>
                <w:lang w:val="zh-CN"/>
                <w14:textFill>
                  <w14:solidFill>
                    <w14:schemeClr w14:val="tx1"/>
                  </w14:solidFill>
                </w14:textFill>
              </w:rPr>
              <w:t>《排污单位自行监测技术指南</w:t>
            </w:r>
            <w:r>
              <w:rPr>
                <w:rFonts w:hint="eastAsia"/>
                <w:color w:val="000000" w:themeColor="text1"/>
                <w:sz w:val="24"/>
                <w14:textFill>
                  <w14:solidFill>
                    <w14:schemeClr w14:val="tx1"/>
                  </w14:solidFill>
                </w14:textFill>
              </w:rPr>
              <w:t xml:space="preserve"> 火力发电及锅炉</w:t>
            </w:r>
            <w:r>
              <w:rPr>
                <w:rFonts w:hint="eastAsia"/>
                <w:color w:val="000000" w:themeColor="text1"/>
                <w:sz w:val="24"/>
                <w:lang w:val="zh-CN"/>
                <w14:textFill>
                  <w14:solidFill>
                    <w14:schemeClr w14:val="tx1"/>
                  </w14:solidFill>
                </w14:textFill>
              </w:rPr>
              <w:t>》（HJ 820-2017）</w:t>
            </w:r>
            <w:r>
              <w:rPr>
                <w:color w:val="000000" w:themeColor="text1"/>
                <w:sz w:val="24"/>
                <w14:textFill>
                  <w14:solidFill>
                    <w14:schemeClr w14:val="tx1"/>
                  </w14:solidFill>
                </w14:textFill>
              </w:rPr>
              <w:t>等相关要求</w:t>
            </w:r>
            <w:r>
              <w:rPr>
                <w:rFonts w:hint="eastAsia"/>
                <w:color w:val="000000" w:themeColor="text1"/>
                <w:sz w:val="24"/>
                <w14:textFill>
                  <w14:solidFill>
                    <w14:schemeClr w14:val="tx1"/>
                  </w14:solidFill>
                </w14:textFill>
              </w:rPr>
              <w:t>开展</w:t>
            </w:r>
            <w:r>
              <w:rPr>
                <w:color w:val="000000" w:themeColor="text1"/>
                <w:sz w:val="24"/>
                <w:lang w:val="zh-CN"/>
                <w14:textFill>
                  <w14:solidFill>
                    <w14:schemeClr w14:val="tx1"/>
                  </w14:solidFill>
                </w14:textFill>
              </w:rPr>
              <w:t>自行监测</w:t>
            </w:r>
            <w:r>
              <w:rPr>
                <w:color w:val="000000" w:themeColor="text1"/>
                <w:sz w:val="24"/>
                <w14:textFill>
                  <w14:solidFill>
                    <w14:schemeClr w14:val="tx1"/>
                  </w14:solidFill>
                </w14:textFill>
              </w:rPr>
              <w:t>，建设单位如不具备工作条件，也可委托其它有资质的检（监）测机构代其开展自行监测，具体内容</w:t>
            </w:r>
            <w:r>
              <w:rPr>
                <w:rFonts w:hint="eastAsia"/>
                <w:color w:val="000000" w:themeColor="text1"/>
                <w:sz w:val="24"/>
                <w:lang w:val="en-US" w:eastAsia="zh-CN"/>
                <w14:textFill>
                  <w14:solidFill>
                    <w14:schemeClr w14:val="tx1"/>
                  </w14:solidFill>
                </w14:textFill>
              </w:rPr>
              <w:t>见表4-12</w:t>
            </w:r>
            <w:r>
              <w:rPr>
                <w:rFonts w:hint="default" w:ascii="Times New Roman" w:hAnsi="Times New Roman" w:eastAsia="宋体" w:cs="Times New Roman"/>
                <w:b w:val="0"/>
                <w:bCs w:val="0"/>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4"/>
                <w:szCs w:val="21"/>
                <w14:textFill>
                  <w14:solidFill>
                    <w14:schemeClr w14:val="tx1"/>
                  </w14:solidFill>
                </w14:textFill>
              </w:rPr>
            </w:pPr>
            <w:r>
              <w:rPr>
                <w:rFonts w:hint="default" w:ascii="Times New Roman" w:hAnsi="Times New Roman" w:eastAsia="宋体" w:cs="Times New Roman"/>
                <w:b/>
                <w:bCs/>
                <w:color w:val="000000" w:themeColor="text1"/>
                <w:sz w:val="24"/>
                <w:szCs w:val="21"/>
                <w14:textFill>
                  <w14:solidFill>
                    <w14:schemeClr w14:val="tx1"/>
                  </w14:solidFill>
                </w14:textFill>
              </w:rPr>
              <w:t>表4-</w:t>
            </w:r>
            <w:r>
              <w:rPr>
                <w:rFonts w:hint="eastAsia" w:cs="Times New Roman"/>
                <w:b/>
                <w:bCs/>
                <w:color w:val="000000" w:themeColor="text1"/>
                <w:sz w:val="24"/>
                <w:szCs w:val="21"/>
                <w:lang w:val="en-US" w:eastAsia="zh-CN"/>
                <w14:textFill>
                  <w14:solidFill>
                    <w14:schemeClr w14:val="tx1"/>
                  </w14:solidFill>
                </w14:textFill>
              </w:rPr>
              <w:t>12</w:t>
            </w:r>
            <w:r>
              <w:rPr>
                <w:rFonts w:hint="default" w:ascii="Times New Roman" w:hAnsi="Times New Roman" w:eastAsia="宋体" w:cs="Times New Roman"/>
                <w:b/>
                <w:bCs/>
                <w:color w:val="000000" w:themeColor="text1"/>
                <w:sz w:val="24"/>
                <w:szCs w:val="21"/>
                <w14:textFill>
                  <w14:solidFill>
                    <w14:schemeClr w14:val="tx1"/>
                  </w14:solidFill>
                </w14:textFill>
              </w:rPr>
              <w:t xml:space="preserve">  运行期大气环境监测计划</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33"/>
              <w:gridCol w:w="1095"/>
              <w:gridCol w:w="1575"/>
              <w:gridCol w:w="1575"/>
              <w:gridCol w:w="3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50" w:type="pct"/>
                  <w:tcBorders>
                    <w:top w:val="single" w:color="auto" w:sz="4" w:space="0"/>
                    <w:left w:val="single" w:color="auto" w:sz="4" w:space="0"/>
                    <w:bottom w:val="single" w:color="auto" w:sz="4" w:space="0"/>
                    <w:right w:val="single" w:color="auto" w:sz="4" w:space="0"/>
                  </w:tcBorders>
                  <w:shd w:val="clear" w:color="auto" w:fill="auto"/>
                  <w:tcMar>
                    <w:top w:w="0" w:type="dxa"/>
                    <w:left w:w="57" w:type="dxa"/>
                    <w:bottom w:w="0" w:type="dxa"/>
                    <w:right w:w="57" w:type="dxa"/>
                  </w:tcMar>
                  <w:vAlign w:val="center"/>
                </w:tcPr>
                <w:p>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类型</w:t>
                  </w:r>
                </w:p>
              </w:tc>
              <w:tc>
                <w:tcPr>
                  <w:tcW w:w="673" w:type="pct"/>
                  <w:tcBorders>
                    <w:top w:val="single" w:color="auto" w:sz="4" w:space="0"/>
                    <w:left w:val="single" w:color="auto" w:sz="4" w:space="0"/>
                    <w:bottom w:val="single" w:color="auto" w:sz="4" w:space="0"/>
                    <w:right w:val="single" w:color="auto" w:sz="4" w:space="0"/>
                  </w:tcBorders>
                  <w:shd w:val="clear" w:color="auto" w:fill="auto"/>
                  <w:tcMar>
                    <w:top w:w="0" w:type="dxa"/>
                    <w:left w:w="57" w:type="dxa"/>
                    <w:bottom w:w="0" w:type="dxa"/>
                    <w:right w:w="57" w:type="dxa"/>
                  </w:tcMar>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污染源</w:t>
                  </w:r>
                </w:p>
              </w:tc>
              <w:tc>
                <w:tcPr>
                  <w:tcW w:w="968" w:type="pct"/>
                  <w:tcBorders>
                    <w:top w:val="single" w:color="auto" w:sz="4" w:space="0"/>
                    <w:left w:val="single" w:color="auto" w:sz="4" w:space="0"/>
                    <w:bottom w:val="single" w:color="auto" w:sz="4" w:space="0"/>
                    <w:right w:val="single" w:color="auto" w:sz="4" w:space="0"/>
                  </w:tcBorders>
                  <w:shd w:val="clear" w:color="auto" w:fill="auto"/>
                  <w:tcMar>
                    <w:top w:w="0" w:type="dxa"/>
                    <w:left w:w="57" w:type="dxa"/>
                    <w:bottom w:w="0" w:type="dxa"/>
                    <w:right w:w="57" w:type="dxa"/>
                  </w:tcMar>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监测因子</w:t>
                  </w:r>
                </w:p>
              </w:tc>
              <w:tc>
                <w:tcPr>
                  <w:tcW w:w="968" w:type="pct"/>
                  <w:tcBorders>
                    <w:top w:val="single" w:color="auto" w:sz="4" w:space="0"/>
                    <w:left w:val="single" w:color="auto" w:sz="4" w:space="0"/>
                    <w:bottom w:val="single" w:color="auto" w:sz="4" w:space="0"/>
                    <w:right w:val="single" w:color="auto" w:sz="4" w:space="0"/>
                  </w:tcBorders>
                  <w:shd w:val="clear" w:color="auto" w:fill="auto"/>
                  <w:tcMar>
                    <w:top w:w="0" w:type="dxa"/>
                    <w:left w:w="57" w:type="dxa"/>
                    <w:bottom w:w="0" w:type="dxa"/>
                    <w:right w:w="57" w:type="dxa"/>
                  </w:tcMar>
                  <w:vAlign w:val="center"/>
                </w:tcPr>
                <w:p>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监测频次</w:t>
                  </w:r>
                </w:p>
              </w:tc>
              <w:tc>
                <w:tcPr>
                  <w:tcW w:w="1940" w:type="pct"/>
                  <w:tcBorders>
                    <w:top w:val="single" w:color="auto" w:sz="4" w:space="0"/>
                    <w:left w:val="single" w:color="auto" w:sz="4" w:space="0"/>
                    <w:bottom w:val="single" w:color="auto" w:sz="4" w:space="0"/>
                    <w:right w:val="single" w:color="auto" w:sz="4" w:space="0"/>
                  </w:tcBorders>
                  <w:shd w:val="clear" w:color="auto" w:fill="auto"/>
                  <w:tcMar>
                    <w:top w:w="0" w:type="dxa"/>
                    <w:left w:w="57" w:type="dxa"/>
                    <w:bottom w:w="0" w:type="dxa"/>
                    <w:right w:w="57" w:type="dxa"/>
                  </w:tcMar>
                  <w:vAlign w:val="center"/>
                </w:tcPr>
                <w:p>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50" w:type="pct"/>
                  <w:vMerge w:val="restart"/>
                  <w:tcBorders>
                    <w:top w:val="single" w:color="auto" w:sz="4" w:space="0"/>
                    <w:left w:val="single" w:color="auto" w:sz="4" w:space="0"/>
                    <w:right w:val="single" w:color="auto" w:sz="4" w:space="0"/>
                  </w:tcBorders>
                  <w:shd w:val="clear" w:color="auto" w:fill="auto"/>
                  <w:tcMar>
                    <w:top w:w="0" w:type="dxa"/>
                    <w:left w:w="57" w:type="dxa"/>
                    <w:bottom w:w="0" w:type="dxa"/>
                    <w:right w:w="57" w:type="dxa"/>
                  </w:tcMar>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废气</w:t>
                  </w:r>
                </w:p>
              </w:tc>
              <w:tc>
                <w:tcPr>
                  <w:tcW w:w="673" w:type="pct"/>
                  <w:vMerge w:val="restart"/>
                  <w:tcBorders>
                    <w:top w:val="single" w:color="auto" w:sz="4" w:space="0"/>
                    <w:left w:val="single" w:color="auto" w:sz="4" w:space="0"/>
                    <w:right w:val="single" w:color="auto" w:sz="4" w:space="0"/>
                  </w:tcBorders>
                  <w:shd w:val="clear" w:color="auto" w:fill="auto"/>
                  <w:tcMar>
                    <w:top w:w="0" w:type="dxa"/>
                    <w:left w:w="57" w:type="dxa"/>
                    <w:bottom w:w="0" w:type="dxa"/>
                    <w:right w:w="57" w:type="dxa"/>
                  </w:tcMar>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DA001</w:t>
                  </w:r>
                </w:p>
              </w:tc>
              <w:tc>
                <w:tcPr>
                  <w:tcW w:w="968" w:type="pct"/>
                  <w:tcBorders>
                    <w:top w:val="single" w:color="auto" w:sz="4" w:space="0"/>
                    <w:left w:val="single" w:color="auto" w:sz="4" w:space="0"/>
                    <w:bottom w:val="single" w:color="auto" w:sz="4" w:space="0"/>
                    <w:right w:val="single" w:color="auto" w:sz="4" w:space="0"/>
                  </w:tcBorders>
                  <w:shd w:val="clear" w:color="auto" w:fill="auto"/>
                  <w:tcMar>
                    <w:top w:w="0" w:type="dxa"/>
                    <w:left w:w="57" w:type="dxa"/>
                    <w:bottom w:w="0" w:type="dxa"/>
                    <w:right w:w="57" w:type="dxa"/>
                  </w:tcMar>
                  <w:vAlign w:val="center"/>
                </w:tcPr>
                <w:p>
                  <w:pPr>
                    <w:autoSpaceDE w:val="0"/>
                    <w:autoSpaceDN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颗粒物</w:t>
                  </w:r>
                </w:p>
              </w:tc>
              <w:tc>
                <w:tcPr>
                  <w:tcW w:w="968" w:type="pct"/>
                  <w:tcBorders>
                    <w:top w:val="single" w:color="auto" w:sz="4" w:space="0"/>
                    <w:left w:val="single" w:color="auto" w:sz="4" w:space="0"/>
                    <w:bottom w:val="single" w:color="auto" w:sz="4" w:space="0"/>
                    <w:right w:val="single" w:color="auto" w:sz="4" w:space="0"/>
                  </w:tcBorders>
                  <w:shd w:val="clear" w:color="auto" w:fill="auto"/>
                  <w:tcMar>
                    <w:top w:w="0" w:type="dxa"/>
                    <w:left w:w="57" w:type="dxa"/>
                    <w:bottom w:w="0" w:type="dxa"/>
                    <w:right w:w="57" w:type="dxa"/>
                  </w:tcMar>
                  <w:vAlign w:val="center"/>
                </w:tcPr>
                <w:p>
                  <w:pPr>
                    <w:autoSpaceDE w:val="0"/>
                    <w:autoSpaceDN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1次/年</w:t>
                  </w:r>
                </w:p>
              </w:tc>
              <w:tc>
                <w:tcPr>
                  <w:tcW w:w="1940" w:type="pct"/>
                  <w:vMerge w:val="restart"/>
                  <w:shd w:val="clear" w:color="auto" w:fill="auto"/>
                  <w:tcMar>
                    <w:top w:w="0" w:type="dxa"/>
                    <w:left w:w="57" w:type="dxa"/>
                    <w:bottom w:w="0" w:type="dxa"/>
                    <w:right w:w="57" w:type="dxa"/>
                  </w:tcMar>
                  <w:vAlign w:val="center"/>
                </w:tcPr>
                <w:p>
                  <w:pPr>
                    <w:jc w:val="both"/>
                    <w:rPr>
                      <w:rFonts w:hint="default" w:ascii="Times New Roman" w:hAnsi="Times New Roman" w:cs="Times New Roman"/>
                      <w:b w:val="0"/>
                      <w:bCs w:val="0"/>
                      <w:color w:val="000000" w:themeColor="text1"/>
                      <w14:textFill>
                        <w14:solidFill>
                          <w14:schemeClr w14:val="tx1"/>
                        </w14:solidFill>
                      </w14:textFill>
                    </w:rPr>
                  </w:pPr>
                  <w:r>
                    <w:rPr>
                      <w:color w:val="000000" w:themeColor="text1"/>
                      <w:szCs w:val="21"/>
                      <w14:textFill>
                        <w14:solidFill>
                          <w14:schemeClr w14:val="tx1"/>
                        </w14:solidFill>
                      </w14:textFill>
                    </w:rPr>
                    <w:t>达《锅炉大气污染物排放标准》（DB 61/1226-2018）表3中的燃气锅炉大气污染物排放限值要求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50" w:type="pct"/>
                  <w:vMerge w:val="continue"/>
                  <w:tcBorders>
                    <w:left w:val="single" w:color="auto" w:sz="4" w:space="0"/>
                    <w:right w:val="single" w:color="auto" w:sz="4" w:space="0"/>
                  </w:tcBorders>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673" w:type="pct"/>
                  <w:vMerge w:val="continue"/>
                  <w:tcBorders>
                    <w:left w:val="single" w:color="auto" w:sz="4" w:space="0"/>
                    <w:right w:val="single" w:color="auto" w:sz="4" w:space="0"/>
                  </w:tcBorders>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968" w:type="pct"/>
                  <w:vAlign w:val="center"/>
                </w:tcPr>
                <w:p>
                  <w:pPr>
                    <w:autoSpaceDE w:val="0"/>
                    <w:autoSpaceDN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SO</w:t>
                  </w:r>
                  <w:r>
                    <w:rPr>
                      <w:rFonts w:hint="eastAsia"/>
                      <w:color w:val="000000" w:themeColor="text1"/>
                      <w:szCs w:val="21"/>
                      <w:vertAlign w:val="subscript"/>
                      <w14:textFill>
                        <w14:solidFill>
                          <w14:schemeClr w14:val="tx1"/>
                        </w14:solidFill>
                      </w14:textFill>
                    </w:rPr>
                    <w:t>2</w:t>
                  </w:r>
                </w:p>
              </w:tc>
              <w:tc>
                <w:tcPr>
                  <w:tcW w:w="968" w:type="pct"/>
                  <w:vAlign w:val="center"/>
                </w:tcPr>
                <w:p>
                  <w:pPr>
                    <w:autoSpaceDE w:val="0"/>
                    <w:autoSpaceDN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1次/年</w:t>
                  </w:r>
                </w:p>
              </w:tc>
              <w:tc>
                <w:tcPr>
                  <w:tcW w:w="1940" w:type="pct"/>
                  <w:vMerge w:val="continue"/>
                </w:tcPr>
                <w:p>
                  <w:pPr>
                    <w:jc w:val="center"/>
                    <w:rPr>
                      <w:rFonts w:hint="default" w:ascii="Times New Roman" w:hAnsi="Times New Roman" w:cs="Times New Roman"/>
                      <w:b w:val="0"/>
                      <w:bCs w:val="0"/>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50" w:type="pct"/>
                  <w:vMerge w:val="continue"/>
                  <w:tcBorders>
                    <w:left w:val="single" w:color="auto" w:sz="4" w:space="0"/>
                    <w:right w:val="single" w:color="auto" w:sz="4" w:space="0"/>
                  </w:tcBorders>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673" w:type="pct"/>
                  <w:vMerge w:val="continue"/>
                  <w:tcBorders>
                    <w:left w:val="single" w:color="auto" w:sz="4" w:space="0"/>
                    <w:right w:val="single" w:color="auto" w:sz="4" w:space="0"/>
                  </w:tcBorders>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968" w:type="pct"/>
                  <w:vAlign w:val="center"/>
                </w:tcPr>
                <w:p>
                  <w:pPr>
                    <w:autoSpaceDE w:val="0"/>
                    <w:autoSpaceDN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NO</w:t>
                  </w:r>
                  <w:r>
                    <w:rPr>
                      <w:rFonts w:hint="eastAsia"/>
                      <w:color w:val="000000" w:themeColor="text1"/>
                      <w:szCs w:val="21"/>
                      <w:vertAlign w:val="subscript"/>
                      <w:lang w:val="en-US" w:eastAsia="zh-CN"/>
                      <w14:textFill>
                        <w14:solidFill>
                          <w14:schemeClr w14:val="tx1"/>
                        </w14:solidFill>
                      </w14:textFill>
                    </w:rPr>
                    <w:t>X</w:t>
                  </w:r>
                </w:p>
              </w:tc>
              <w:tc>
                <w:tcPr>
                  <w:tcW w:w="968" w:type="pct"/>
                  <w:vAlign w:val="center"/>
                </w:tcPr>
                <w:p>
                  <w:pPr>
                    <w:autoSpaceDE w:val="0"/>
                    <w:autoSpaceDN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1次/月</w:t>
                  </w:r>
                </w:p>
              </w:tc>
              <w:tc>
                <w:tcPr>
                  <w:tcW w:w="1940" w:type="pct"/>
                  <w:vMerge w:val="continue"/>
                </w:tcPr>
                <w:p>
                  <w:pPr>
                    <w:jc w:val="center"/>
                    <w:rPr>
                      <w:rFonts w:hint="default" w:ascii="Times New Roman" w:hAnsi="Times New Roman" w:cs="Times New Roman"/>
                      <w:b w:val="0"/>
                      <w:bCs w:val="0"/>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50" w:type="pct"/>
                  <w:vMerge w:val="continue"/>
                  <w:tcBorders>
                    <w:left w:val="single" w:color="auto" w:sz="4" w:space="0"/>
                    <w:right w:val="single" w:color="auto" w:sz="4" w:space="0"/>
                  </w:tcBorders>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673" w:type="pct"/>
                  <w:vMerge w:val="continue"/>
                  <w:tcBorders>
                    <w:left w:val="single" w:color="auto" w:sz="4" w:space="0"/>
                    <w:right w:val="single" w:color="auto" w:sz="4" w:space="0"/>
                  </w:tcBorders>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968" w:type="pct"/>
                  <w:vAlign w:val="center"/>
                </w:tcPr>
                <w:p>
                  <w:pPr>
                    <w:autoSpaceDE w:val="0"/>
                    <w:autoSpaceDN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林格曼黑度</w:t>
                  </w:r>
                </w:p>
              </w:tc>
              <w:tc>
                <w:tcPr>
                  <w:tcW w:w="968" w:type="pct"/>
                  <w:vAlign w:val="center"/>
                </w:tcPr>
                <w:p>
                  <w:pPr>
                    <w:autoSpaceDE w:val="0"/>
                    <w:autoSpaceDN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1次/年</w:t>
                  </w:r>
                </w:p>
              </w:tc>
              <w:tc>
                <w:tcPr>
                  <w:tcW w:w="1940" w:type="pct"/>
                  <w:vMerge w:val="continue"/>
                </w:tcPr>
                <w:p>
                  <w:pPr>
                    <w:jc w:val="center"/>
                    <w:rPr>
                      <w:rFonts w:hint="default" w:ascii="Times New Roman" w:hAnsi="Times New Roman" w:cs="Times New Roman"/>
                      <w:b w:val="0"/>
                      <w:bCs w:val="0"/>
                      <w:color w:val="000000" w:themeColor="text1"/>
                      <w14:textFill>
                        <w14:solidFill>
                          <w14:schemeClr w14:val="tx1"/>
                        </w14:solidFill>
                      </w14:textFill>
                    </w:rPr>
                  </w:pPr>
                </w:p>
              </w:tc>
            </w:tr>
          </w:tbl>
          <w:p>
            <w:pPr>
              <w:pStyle w:val="27"/>
              <w:pageBreakBefore w:val="0"/>
              <w:kinsoku/>
              <w:wordWrap/>
              <w:overflowPunct/>
              <w:topLinePunct w:val="0"/>
              <w:bidi w:val="0"/>
              <w:spacing w:line="360" w:lineRule="auto"/>
              <w:ind w:left="0" w:firstLine="480" w:firstLineChars="200"/>
              <w:textAlignment w:val="auto"/>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二、</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废水</w:t>
            </w:r>
          </w:p>
          <w:p>
            <w:pPr>
              <w:pageBreakBefore w:val="0"/>
              <w:kinsoku/>
              <w:wordWrap/>
              <w:overflowPunct/>
              <w:topLinePunct w:val="0"/>
              <w:bidi w:val="0"/>
              <w:adjustRightInd w:val="0"/>
              <w:snapToGrid w:val="0"/>
              <w:spacing w:line="360" w:lineRule="auto"/>
              <w:ind w:left="0" w:firstLine="480" w:firstLineChars="200"/>
              <w:textAlignment w:val="auto"/>
              <w:rPr>
                <w:rFonts w:hint="default" w:ascii="Times New Roman" w:hAnsi="Times New Roman"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本项目营</w:t>
            </w:r>
            <w:r>
              <w:rPr>
                <w:rFonts w:hint="default" w:ascii="Times New Roman" w:hAnsi="Times New Roman" w:eastAsia="宋体" w:cs="Times New Roman"/>
                <w:color w:val="000000" w:themeColor="text1"/>
                <w:sz w:val="24"/>
                <w14:textFill>
                  <w14:solidFill>
                    <w14:schemeClr w14:val="tx1"/>
                  </w14:solidFill>
                </w14:textFill>
              </w:rPr>
              <w:t>运期V型滤池的反洗废水</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污泥脱水过程产生的废水经</w:t>
            </w:r>
            <w:r>
              <w:rPr>
                <w:rFonts w:hint="default" w:ascii="Times New Roman" w:hAnsi="Times New Roman" w:eastAsia="宋体" w:cs="Times New Roman"/>
                <w:color w:val="000000" w:themeColor="text1"/>
                <w:sz w:val="24"/>
                <w14:textFill>
                  <w14:solidFill>
                    <w14:schemeClr w14:val="tx1"/>
                  </w14:solidFill>
                </w14:textFill>
              </w:rPr>
              <w:t>重力排入回收水池，经泵提升至配水井，重新进入系统回收利用</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污泥脱水过程产生的废水返回沉淀、过滤工序处理再利用，不外排</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生活污水</w:t>
            </w:r>
            <w:r>
              <w:rPr>
                <w:rFonts w:hint="eastAsia" w:ascii="Times New Roman" w:hAnsi="Times New Roman" w:eastAsia="宋体" w:cs="Times New Roman"/>
                <w:color w:val="000000" w:themeColor="text1"/>
                <w:sz w:val="24"/>
                <w:lang w:val="en-US" w:eastAsia="zh-CN"/>
                <w14:textFill>
                  <w14:solidFill>
                    <w14:schemeClr w14:val="tx1"/>
                  </w14:solidFill>
                </w14:textFill>
              </w:rPr>
              <w:t>中食堂含油废水经隔油池处理，与其他生活污水均经</w:t>
            </w:r>
            <w:r>
              <w:rPr>
                <w:rFonts w:hint="default" w:ascii="Times New Roman" w:hAnsi="Times New Roman" w:eastAsia="宋体" w:cs="Times New Roman"/>
                <w:color w:val="000000" w:themeColor="text1"/>
                <w:sz w:val="24"/>
                <w14:textFill>
                  <w14:solidFill>
                    <w14:schemeClr w14:val="tx1"/>
                  </w14:solidFill>
                </w14:textFill>
              </w:rPr>
              <w:t>化粪池</w:t>
            </w:r>
            <w:r>
              <w:rPr>
                <w:rFonts w:hint="eastAsia" w:ascii="Times New Roman" w:hAnsi="Times New Roman" w:eastAsia="宋体" w:cs="Times New Roman"/>
                <w:color w:val="000000" w:themeColor="text1"/>
                <w:sz w:val="24"/>
                <w14:textFill>
                  <w14:solidFill>
                    <w14:schemeClr w14:val="tx1"/>
                  </w14:solidFill>
                </w14:textFill>
              </w:rPr>
              <w:t>收集后，定期由周边农户清运肥田，不外排</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锅炉排污水</w:t>
            </w:r>
            <w:r>
              <w:rPr>
                <w:color w:val="000000" w:themeColor="text1"/>
                <w:sz w:val="24"/>
                <w14:textFill>
                  <w14:solidFill>
                    <w14:schemeClr w14:val="tx1"/>
                  </w14:solidFill>
                </w14:textFill>
              </w:rPr>
              <w:t>经</w:t>
            </w:r>
            <w:r>
              <w:rPr>
                <w:rFonts w:hint="eastAsia"/>
                <w:color w:val="000000" w:themeColor="text1"/>
                <w:sz w:val="24"/>
                <w14:textFill>
                  <w14:solidFill>
                    <w14:schemeClr w14:val="tx1"/>
                  </w14:solidFill>
                </w14:textFill>
              </w:rPr>
              <w:t>沉淀池</w:t>
            </w:r>
            <w:r>
              <w:rPr>
                <w:rFonts w:hint="eastAsia"/>
                <w:color w:val="000000" w:themeColor="text1"/>
                <w:kern w:val="0"/>
                <w:sz w:val="24"/>
                <w14:textFill>
                  <w14:solidFill>
                    <w14:schemeClr w14:val="tx1"/>
                  </w14:solidFill>
                </w14:textFill>
              </w:rPr>
              <w:t>处理</w:t>
            </w:r>
            <w:r>
              <w:rPr>
                <w:color w:val="000000" w:themeColor="text1"/>
                <w:sz w:val="24"/>
                <w14:textFill>
                  <w14:solidFill>
                    <w14:schemeClr w14:val="tx1"/>
                  </w14:solidFill>
                </w14:textFill>
              </w:rPr>
              <w:t>达</w:t>
            </w:r>
            <w:r>
              <w:rPr>
                <w:color w:val="000000" w:themeColor="text1"/>
                <w:sz w:val="24"/>
                <w:szCs w:val="22"/>
                <w14:textFill>
                  <w14:solidFill>
                    <w14:schemeClr w14:val="tx1"/>
                  </w14:solidFill>
                </w14:textFill>
              </w:rPr>
              <w:t>《污水综合排放标准》（GB 8978-1996）三级标准和《污水排入城镇下水道水质标准》（GB/T 31962-2015）B级标准</w:t>
            </w:r>
            <w:r>
              <w:rPr>
                <w:color w:val="000000" w:themeColor="text1"/>
                <w:sz w:val="24"/>
                <w14:textFill>
                  <w14:solidFill>
                    <w14:schemeClr w14:val="tx1"/>
                  </w14:solidFill>
                </w14:textFill>
              </w:rPr>
              <w:t>限值后</w:t>
            </w:r>
            <w:r>
              <w:rPr>
                <w:rFonts w:hint="eastAsia"/>
                <w:color w:val="000000" w:themeColor="text1"/>
                <w:sz w:val="24"/>
                <w14:textFill>
                  <w14:solidFill>
                    <w14:schemeClr w14:val="tx1"/>
                  </w14:solidFill>
                </w14:textFill>
              </w:rPr>
              <w:t>用于厂区绿化</w:t>
            </w:r>
            <w:r>
              <w:rPr>
                <w:rFonts w:hint="default" w:ascii="Times New Roman" w:hAnsi="Times New Roman" w:eastAsia="宋体" w:cs="Times New Roman"/>
                <w:b w:val="0"/>
                <w:bCs w:val="0"/>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000000" w:themeColor="text1"/>
                <w:kern w:val="0"/>
                <w:sz w:val="24"/>
                <w:szCs w:val="24"/>
                <w:lang w:val="en-US"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三、噪声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000000" w:themeColor="text1"/>
                <w:kern w:val="0"/>
                <w:sz w:val="24"/>
                <w:szCs w:val="24"/>
                <w:lang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1、</w:t>
            </w:r>
            <w:r>
              <w:rPr>
                <w:rFonts w:hint="default" w:ascii="Times New Roman" w:hAnsi="Times New Roman" w:eastAsia="宋体" w:cs="Times New Roman"/>
                <w:b w:val="0"/>
                <w:bCs w:val="0"/>
                <w:color w:val="000000" w:themeColor="text1"/>
                <w:kern w:val="0"/>
                <w:sz w:val="24"/>
                <w:szCs w:val="24"/>
                <w:lang w:bidi="ar"/>
                <w14:textFill>
                  <w14:solidFill>
                    <w14:schemeClr w14:val="tx1"/>
                  </w14:solidFill>
                </w14:textFill>
              </w:rPr>
              <w:t>声环境影响分析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lang w:eastAsia="zh-CN"/>
                <w14:textFill>
                  <w14:solidFill>
                    <w14:schemeClr w14:val="tx1"/>
                  </w14:solidFill>
                </w14:textFill>
              </w:rPr>
              <w:t>本项目噪声主</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要来源于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污水处理站运行噪声</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。噪声值约为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80</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90</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dB(A)。</w:t>
            </w:r>
            <w:r>
              <w:rPr>
                <w:rFonts w:hint="default" w:ascii="Times New Roman" w:hAnsi="Times New Roman" w:eastAsia="宋体" w:cs="Times New Roman"/>
                <w:b w:val="0"/>
                <w:bCs w:val="0"/>
                <w:color w:val="000000" w:themeColor="text1"/>
                <w:sz w:val="24"/>
                <w:szCs w:val="24"/>
                <w14:textFill>
                  <w14:solidFill>
                    <w14:schemeClr w14:val="tx1"/>
                  </w14:solidFill>
                </w14:textFill>
              </w:rPr>
              <w:t>各种生产设备噪声源强见表4-</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13</w:t>
            </w:r>
            <w:r>
              <w:rPr>
                <w:rFonts w:hint="default" w:ascii="Times New Roman" w:hAnsi="Times New Roman" w:eastAsia="宋体" w:cs="Times New Roman"/>
                <w:b w:val="0"/>
                <w:bCs w:val="0"/>
                <w:color w:val="000000" w:themeColor="text1"/>
                <w:sz w:val="24"/>
                <w:szCs w:val="24"/>
                <w14:textFill>
                  <w14:solidFill>
                    <w14:schemeClr w14:val="tx1"/>
                  </w14:solidFill>
                </w14:textFill>
              </w:rPr>
              <w:t>。</w:t>
            </w:r>
          </w:p>
          <w:p>
            <w:pPr>
              <w:pStyle w:val="59"/>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表4-</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13</w:t>
            </w:r>
            <w:r>
              <w:rPr>
                <w:rFonts w:hint="default" w:ascii="Times New Roman" w:hAnsi="Times New Roman" w:eastAsia="宋体" w:cs="Times New Roman"/>
                <w:b/>
                <w:bCs/>
                <w:color w:val="000000" w:themeColor="text1"/>
                <w:sz w:val="24"/>
                <w:szCs w:val="24"/>
                <w14:textFill>
                  <w14:solidFill>
                    <w14:schemeClr w14:val="tx1"/>
                  </w14:solidFill>
                </w14:textFill>
              </w:rPr>
              <w:t xml:space="preserve">   主要噪声设备源强</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818"/>
              <w:gridCol w:w="420"/>
              <w:gridCol w:w="420"/>
              <w:gridCol w:w="855"/>
              <w:gridCol w:w="629"/>
              <w:gridCol w:w="779"/>
              <w:gridCol w:w="642"/>
              <w:gridCol w:w="524"/>
              <w:gridCol w:w="524"/>
              <w:gridCol w:w="524"/>
              <w:gridCol w:w="524"/>
              <w:gridCol w:w="524"/>
              <w:gridCol w:w="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58" w:type="pct"/>
                  <w:vMerge w:val="restart"/>
                  <w:vAlign w:val="center"/>
                </w:tcPr>
                <w:p>
                  <w:pPr>
                    <w:pStyle w:val="67"/>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序号</w:t>
                  </w:r>
                </w:p>
              </w:tc>
              <w:tc>
                <w:tcPr>
                  <w:tcW w:w="502" w:type="pct"/>
                  <w:vMerge w:val="restart"/>
                  <w:vAlign w:val="center"/>
                </w:tcPr>
                <w:p>
                  <w:pPr>
                    <w:pStyle w:val="67"/>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主要发声设备名称</w:t>
                  </w:r>
                </w:p>
              </w:tc>
              <w:tc>
                <w:tcPr>
                  <w:tcW w:w="258" w:type="pct"/>
                  <w:vMerge w:val="restart"/>
                  <w:vAlign w:val="center"/>
                </w:tcPr>
                <w:p>
                  <w:pPr>
                    <w:pStyle w:val="67"/>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单位</w:t>
                  </w:r>
                </w:p>
              </w:tc>
              <w:tc>
                <w:tcPr>
                  <w:tcW w:w="258" w:type="pct"/>
                  <w:vMerge w:val="restart"/>
                  <w:vAlign w:val="center"/>
                </w:tcPr>
                <w:p>
                  <w:pPr>
                    <w:pStyle w:val="67"/>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数量</w:t>
                  </w:r>
                </w:p>
              </w:tc>
              <w:tc>
                <w:tcPr>
                  <w:tcW w:w="525" w:type="pct"/>
                  <w:vMerge w:val="restart"/>
                  <w:vAlign w:val="center"/>
                </w:tcPr>
                <w:p>
                  <w:pPr>
                    <w:pStyle w:val="67"/>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单台产生源强dB（A）</w:t>
                  </w:r>
                </w:p>
              </w:tc>
              <w:tc>
                <w:tcPr>
                  <w:tcW w:w="386" w:type="pct"/>
                  <w:vMerge w:val="restart"/>
                  <w:vAlign w:val="center"/>
                </w:tcPr>
                <w:p>
                  <w:pPr>
                    <w:pStyle w:val="67"/>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防治措施</w:t>
                  </w:r>
                </w:p>
              </w:tc>
              <w:tc>
                <w:tcPr>
                  <w:tcW w:w="478" w:type="pct"/>
                  <w:vMerge w:val="restart"/>
                  <w:vAlign w:val="center"/>
                </w:tcPr>
                <w:p>
                  <w:pPr>
                    <w:pStyle w:val="67"/>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排放源强dB（A）</w:t>
                  </w:r>
                </w:p>
              </w:tc>
              <w:tc>
                <w:tcPr>
                  <w:tcW w:w="394" w:type="pct"/>
                  <w:vMerge w:val="restart"/>
                  <w:vAlign w:val="center"/>
                </w:tcPr>
                <w:p>
                  <w:pPr>
                    <w:pStyle w:val="67"/>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分布车间</w:t>
                  </w:r>
                </w:p>
              </w:tc>
              <w:tc>
                <w:tcPr>
                  <w:tcW w:w="644" w:type="pct"/>
                  <w:gridSpan w:val="2"/>
                  <w:vAlign w:val="center"/>
                </w:tcPr>
                <w:p>
                  <w:pPr>
                    <w:pStyle w:val="67"/>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位置</w:t>
                  </w:r>
                </w:p>
              </w:tc>
              <w:tc>
                <w:tcPr>
                  <w:tcW w:w="1293" w:type="pct"/>
                  <w:gridSpan w:val="4"/>
                  <w:vAlign w:val="center"/>
                </w:tcPr>
                <w:p>
                  <w:pPr>
                    <w:pStyle w:val="67"/>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距离厂界距离（m）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58" w:type="pct"/>
                  <w:vMerge w:val="continue"/>
                  <w:vAlign w:val="center"/>
                </w:tcPr>
                <w:p>
                  <w:pPr>
                    <w:pStyle w:val="67"/>
                    <w:rPr>
                      <w:rFonts w:hint="default" w:ascii="Times New Roman" w:hAnsi="Times New Roman" w:cs="Times New Roman"/>
                      <w:b w:val="0"/>
                      <w:bCs w:val="0"/>
                      <w:color w:val="000000" w:themeColor="text1"/>
                      <w14:textFill>
                        <w14:solidFill>
                          <w14:schemeClr w14:val="tx1"/>
                        </w14:solidFill>
                      </w14:textFill>
                    </w:rPr>
                  </w:pPr>
                </w:p>
              </w:tc>
              <w:tc>
                <w:tcPr>
                  <w:tcW w:w="502" w:type="pct"/>
                  <w:vMerge w:val="continue"/>
                  <w:vAlign w:val="center"/>
                </w:tcPr>
                <w:p>
                  <w:pPr>
                    <w:pStyle w:val="67"/>
                    <w:rPr>
                      <w:rFonts w:hint="default" w:ascii="Times New Roman" w:hAnsi="Times New Roman" w:cs="Times New Roman"/>
                      <w:b w:val="0"/>
                      <w:bCs w:val="0"/>
                      <w:color w:val="000000" w:themeColor="text1"/>
                      <w14:textFill>
                        <w14:solidFill>
                          <w14:schemeClr w14:val="tx1"/>
                        </w14:solidFill>
                      </w14:textFill>
                    </w:rPr>
                  </w:pPr>
                </w:p>
              </w:tc>
              <w:tc>
                <w:tcPr>
                  <w:tcW w:w="258" w:type="pct"/>
                  <w:vMerge w:val="continue"/>
                  <w:vAlign w:val="center"/>
                </w:tcPr>
                <w:p>
                  <w:pPr>
                    <w:pStyle w:val="67"/>
                    <w:rPr>
                      <w:rFonts w:hint="default" w:ascii="Times New Roman" w:hAnsi="Times New Roman" w:cs="Times New Roman"/>
                      <w:b w:val="0"/>
                      <w:bCs w:val="0"/>
                      <w:color w:val="000000" w:themeColor="text1"/>
                      <w14:textFill>
                        <w14:solidFill>
                          <w14:schemeClr w14:val="tx1"/>
                        </w14:solidFill>
                      </w14:textFill>
                    </w:rPr>
                  </w:pPr>
                </w:p>
              </w:tc>
              <w:tc>
                <w:tcPr>
                  <w:tcW w:w="258" w:type="pct"/>
                  <w:vMerge w:val="continue"/>
                  <w:vAlign w:val="center"/>
                </w:tcPr>
                <w:p>
                  <w:pPr>
                    <w:pStyle w:val="67"/>
                    <w:rPr>
                      <w:rFonts w:hint="default" w:ascii="Times New Roman" w:hAnsi="Times New Roman" w:cs="Times New Roman"/>
                      <w:b w:val="0"/>
                      <w:bCs w:val="0"/>
                      <w:color w:val="000000" w:themeColor="text1"/>
                      <w14:textFill>
                        <w14:solidFill>
                          <w14:schemeClr w14:val="tx1"/>
                        </w14:solidFill>
                      </w14:textFill>
                    </w:rPr>
                  </w:pPr>
                </w:p>
              </w:tc>
              <w:tc>
                <w:tcPr>
                  <w:tcW w:w="525" w:type="pct"/>
                  <w:vMerge w:val="continue"/>
                  <w:vAlign w:val="center"/>
                </w:tcPr>
                <w:p>
                  <w:pPr>
                    <w:pStyle w:val="67"/>
                    <w:rPr>
                      <w:rFonts w:hint="default" w:ascii="Times New Roman" w:hAnsi="Times New Roman" w:cs="Times New Roman"/>
                      <w:b w:val="0"/>
                      <w:bCs w:val="0"/>
                      <w:color w:val="000000" w:themeColor="text1"/>
                      <w14:textFill>
                        <w14:solidFill>
                          <w14:schemeClr w14:val="tx1"/>
                        </w14:solidFill>
                      </w14:textFill>
                    </w:rPr>
                  </w:pPr>
                </w:p>
              </w:tc>
              <w:tc>
                <w:tcPr>
                  <w:tcW w:w="386" w:type="pct"/>
                  <w:vMerge w:val="continue"/>
                  <w:vAlign w:val="center"/>
                </w:tcPr>
                <w:p>
                  <w:pPr>
                    <w:pStyle w:val="67"/>
                    <w:rPr>
                      <w:rFonts w:hint="default" w:ascii="Times New Roman" w:hAnsi="Times New Roman" w:cs="Times New Roman"/>
                      <w:b w:val="0"/>
                      <w:bCs w:val="0"/>
                      <w:color w:val="000000" w:themeColor="text1"/>
                      <w14:textFill>
                        <w14:solidFill>
                          <w14:schemeClr w14:val="tx1"/>
                        </w14:solidFill>
                      </w14:textFill>
                    </w:rPr>
                  </w:pPr>
                </w:p>
              </w:tc>
              <w:tc>
                <w:tcPr>
                  <w:tcW w:w="478" w:type="pct"/>
                  <w:vMerge w:val="continue"/>
                  <w:vAlign w:val="center"/>
                </w:tcPr>
                <w:p>
                  <w:pPr>
                    <w:pStyle w:val="67"/>
                    <w:rPr>
                      <w:rFonts w:hint="default" w:ascii="Times New Roman" w:hAnsi="Times New Roman" w:cs="Times New Roman"/>
                      <w:b w:val="0"/>
                      <w:bCs w:val="0"/>
                      <w:color w:val="000000" w:themeColor="text1"/>
                      <w14:textFill>
                        <w14:solidFill>
                          <w14:schemeClr w14:val="tx1"/>
                        </w14:solidFill>
                      </w14:textFill>
                    </w:rPr>
                  </w:pPr>
                </w:p>
              </w:tc>
              <w:tc>
                <w:tcPr>
                  <w:tcW w:w="394" w:type="pct"/>
                  <w:vMerge w:val="continue"/>
                  <w:vAlign w:val="center"/>
                </w:tcPr>
                <w:p>
                  <w:pPr>
                    <w:pStyle w:val="67"/>
                    <w:rPr>
                      <w:rFonts w:hint="default" w:ascii="Times New Roman" w:hAnsi="Times New Roman" w:cs="Times New Roman"/>
                      <w:b w:val="0"/>
                      <w:bCs w:val="0"/>
                      <w:color w:val="000000" w:themeColor="text1"/>
                      <w14:textFill>
                        <w14:solidFill>
                          <w14:schemeClr w14:val="tx1"/>
                        </w14:solidFill>
                      </w14:textFill>
                    </w:rPr>
                  </w:pPr>
                </w:p>
              </w:tc>
              <w:tc>
                <w:tcPr>
                  <w:tcW w:w="322" w:type="pct"/>
                  <w:vAlign w:val="center"/>
                </w:tcPr>
                <w:p>
                  <w:pPr>
                    <w:pStyle w:val="67"/>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X</w:t>
                  </w:r>
                </w:p>
              </w:tc>
              <w:tc>
                <w:tcPr>
                  <w:tcW w:w="322" w:type="pct"/>
                  <w:vAlign w:val="center"/>
                </w:tcPr>
                <w:p>
                  <w:pPr>
                    <w:pStyle w:val="67"/>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Y</w:t>
                  </w:r>
                </w:p>
              </w:tc>
              <w:tc>
                <w:tcPr>
                  <w:tcW w:w="322" w:type="pct"/>
                  <w:vAlign w:val="center"/>
                </w:tcPr>
                <w:p>
                  <w:pPr>
                    <w:pStyle w:val="67"/>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东</w:t>
                  </w:r>
                </w:p>
              </w:tc>
              <w:tc>
                <w:tcPr>
                  <w:tcW w:w="322" w:type="pct"/>
                  <w:vAlign w:val="center"/>
                </w:tcPr>
                <w:p>
                  <w:pPr>
                    <w:pStyle w:val="67"/>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南</w:t>
                  </w:r>
                </w:p>
              </w:tc>
              <w:tc>
                <w:tcPr>
                  <w:tcW w:w="322" w:type="pct"/>
                  <w:vAlign w:val="center"/>
                </w:tcPr>
                <w:p>
                  <w:pPr>
                    <w:pStyle w:val="67"/>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西</w:t>
                  </w:r>
                </w:p>
              </w:tc>
              <w:tc>
                <w:tcPr>
                  <w:tcW w:w="325" w:type="pct"/>
                  <w:vAlign w:val="center"/>
                </w:tcPr>
                <w:p>
                  <w:pPr>
                    <w:pStyle w:val="67"/>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8" w:type="pct"/>
                  <w:vAlign w:val="center"/>
                </w:tcPr>
                <w:p>
                  <w:pPr>
                    <w:pStyle w:val="67"/>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w:t>
                  </w:r>
                </w:p>
              </w:tc>
              <w:tc>
                <w:tcPr>
                  <w:tcW w:w="502" w:type="pct"/>
                  <w:vAlign w:val="center"/>
                </w:tcPr>
                <w:p>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进水稳压房排水泵</w:t>
                  </w:r>
                </w:p>
              </w:tc>
              <w:tc>
                <w:tcPr>
                  <w:tcW w:w="258" w:type="pct"/>
                  <w:vAlign w:val="center"/>
                </w:tcPr>
                <w:p>
                  <w:pPr>
                    <w:jc w:val="cente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eastAsia" w:cs="Times New Roman"/>
                      <w:b w:val="0"/>
                      <w:bCs w:val="0"/>
                      <w:color w:val="000000" w:themeColor="text1"/>
                      <w:szCs w:val="21"/>
                      <w:lang w:val="en-US" w:eastAsia="zh-CN"/>
                      <w14:textFill>
                        <w14:solidFill>
                          <w14:schemeClr w14:val="tx1"/>
                        </w14:solidFill>
                      </w14:textFill>
                    </w:rPr>
                    <w:t>台</w:t>
                  </w:r>
                </w:p>
              </w:tc>
              <w:tc>
                <w:tcPr>
                  <w:tcW w:w="25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w:t>
                  </w:r>
                </w:p>
              </w:tc>
              <w:tc>
                <w:tcPr>
                  <w:tcW w:w="525" w:type="pct"/>
                  <w:vAlign w:val="center"/>
                </w:tcPr>
                <w:p>
                  <w:pPr>
                    <w:pStyle w:val="67"/>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80</w:t>
                  </w:r>
                </w:p>
              </w:tc>
              <w:tc>
                <w:tcPr>
                  <w:tcW w:w="386" w:type="pct"/>
                  <w:vMerge w:val="restart"/>
                  <w:vAlign w:val="center"/>
                </w:tcPr>
                <w:p>
                  <w:pPr>
                    <w:pStyle w:val="67"/>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采用低噪声设备、基础</w:t>
                  </w:r>
                  <w:r>
                    <w:rPr>
                      <w:rFonts w:hint="eastAsia" w:cs="Times New Roman"/>
                      <w:b w:val="0"/>
                      <w:bCs w:val="0"/>
                      <w:color w:val="000000" w:themeColor="text1"/>
                      <w:lang w:eastAsia="zh-CN"/>
                      <w14:textFill>
                        <w14:solidFill>
                          <w14:schemeClr w14:val="tx1"/>
                        </w14:solidFill>
                      </w14:textFill>
                    </w:rPr>
                    <w:t>减振</w:t>
                  </w:r>
                  <w:r>
                    <w:rPr>
                      <w:rFonts w:hint="default" w:ascii="Times New Roman" w:hAnsi="Times New Roman" w:eastAsia="宋体" w:cs="Times New Roman"/>
                      <w:b w:val="0"/>
                      <w:bCs w:val="0"/>
                      <w:color w:val="000000" w:themeColor="text1"/>
                      <w14:textFill>
                        <w14:solidFill>
                          <w14:schemeClr w14:val="tx1"/>
                        </w14:solidFill>
                      </w14:textFill>
                    </w:rPr>
                    <w:t>、厂房隔声</w:t>
                  </w:r>
                </w:p>
              </w:tc>
              <w:tc>
                <w:tcPr>
                  <w:tcW w:w="478" w:type="pct"/>
                  <w:vAlign w:val="center"/>
                </w:tcPr>
                <w:p>
                  <w:pPr>
                    <w:pStyle w:val="67"/>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50</w:t>
                  </w:r>
                </w:p>
              </w:tc>
              <w:tc>
                <w:tcPr>
                  <w:tcW w:w="394" w:type="pct"/>
                  <w:vMerge w:val="restar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进水稳压房</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39</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113</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10</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125</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139</w:t>
                  </w:r>
                </w:p>
              </w:tc>
              <w:tc>
                <w:tcPr>
                  <w:tcW w:w="325" w:type="pct"/>
                  <w:vAlign w:val="center"/>
                </w:tcPr>
                <w:p>
                  <w:pP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8" w:type="pct"/>
                  <w:vAlign w:val="center"/>
                </w:tcPr>
                <w:p>
                  <w:pPr>
                    <w:pStyle w:val="67"/>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2</w:t>
                  </w:r>
                </w:p>
              </w:tc>
              <w:tc>
                <w:tcPr>
                  <w:tcW w:w="50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进水稳压房排水泵</w:t>
                  </w:r>
                </w:p>
              </w:tc>
              <w:tc>
                <w:tcPr>
                  <w:tcW w:w="25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eastAsia" w:cs="Times New Roman"/>
                      <w:b w:val="0"/>
                      <w:bCs w:val="0"/>
                      <w:color w:val="000000" w:themeColor="text1"/>
                      <w:szCs w:val="21"/>
                      <w:lang w:val="en-US" w:eastAsia="zh-CN"/>
                      <w14:textFill>
                        <w14:solidFill>
                          <w14:schemeClr w14:val="tx1"/>
                        </w14:solidFill>
                      </w14:textFill>
                    </w:rPr>
                    <w:t>台</w:t>
                  </w:r>
                </w:p>
              </w:tc>
              <w:tc>
                <w:tcPr>
                  <w:tcW w:w="25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w:t>
                  </w:r>
                </w:p>
              </w:tc>
              <w:tc>
                <w:tcPr>
                  <w:tcW w:w="525" w:type="pct"/>
                  <w:vAlign w:val="center"/>
                </w:tcPr>
                <w:p>
                  <w:pPr>
                    <w:pStyle w:val="67"/>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80</w:t>
                  </w:r>
                </w:p>
              </w:tc>
              <w:tc>
                <w:tcPr>
                  <w:tcW w:w="386" w:type="pct"/>
                  <w:vMerge w:val="continue"/>
                  <w:vAlign w:val="center"/>
                </w:tcPr>
                <w:p>
                  <w:pPr>
                    <w:pStyle w:val="67"/>
                    <w:rPr>
                      <w:rFonts w:hint="default" w:ascii="Times New Roman" w:hAnsi="Times New Roman" w:cs="Times New Roman"/>
                      <w:b w:val="0"/>
                      <w:bCs w:val="0"/>
                      <w:color w:val="000000" w:themeColor="text1"/>
                      <w14:textFill>
                        <w14:solidFill>
                          <w14:schemeClr w14:val="tx1"/>
                        </w14:solidFill>
                      </w14:textFill>
                    </w:rPr>
                  </w:pPr>
                </w:p>
              </w:tc>
              <w:tc>
                <w:tcPr>
                  <w:tcW w:w="478" w:type="pct"/>
                  <w:vAlign w:val="center"/>
                </w:tcPr>
                <w:p>
                  <w:pPr>
                    <w:pStyle w:val="67"/>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50</w:t>
                  </w:r>
                </w:p>
              </w:tc>
              <w:tc>
                <w:tcPr>
                  <w:tcW w:w="394"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41</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111</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13</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125</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136</w:t>
                  </w:r>
                </w:p>
              </w:tc>
              <w:tc>
                <w:tcPr>
                  <w:tcW w:w="3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8" w:type="pct"/>
                  <w:vAlign w:val="center"/>
                </w:tcPr>
                <w:p>
                  <w:pPr>
                    <w:jc w:val="center"/>
                    <w:rPr>
                      <w:rFonts w:hint="eastAsia" w:ascii="Times New Roman" w:hAnsi="Times New Roman" w:eastAsia="宋体" w:cs="Times New Roman"/>
                      <w:b w:val="0"/>
                      <w:bCs w:val="0"/>
                      <w:color w:val="000000" w:themeColor="text1"/>
                      <w:lang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3</w:t>
                  </w:r>
                </w:p>
              </w:tc>
              <w:tc>
                <w:tcPr>
                  <w:tcW w:w="50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集水坑排水泵</w:t>
                  </w:r>
                </w:p>
              </w:tc>
              <w:tc>
                <w:tcPr>
                  <w:tcW w:w="25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eastAsia" w:cs="Times New Roman"/>
                      <w:b w:val="0"/>
                      <w:bCs w:val="0"/>
                      <w:color w:val="000000" w:themeColor="text1"/>
                      <w:szCs w:val="21"/>
                      <w:lang w:val="en-US" w:eastAsia="zh-CN"/>
                      <w14:textFill>
                        <w14:solidFill>
                          <w14:schemeClr w14:val="tx1"/>
                        </w14:solidFill>
                      </w14:textFill>
                    </w:rPr>
                    <w:t>台</w:t>
                  </w:r>
                </w:p>
              </w:tc>
              <w:tc>
                <w:tcPr>
                  <w:tcW w:w="25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w:t>
                  </w:r>
                </w:p>
              </w:tc>
              <w:tc>
                <w:tcPr>
                  <w:tcW w:w="5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80</w:t>
                  </w:r>
                </w:p>
              </w:tc>
              <w:tc>
                <w:tcPr>
                  <w:tcW w:w="386"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47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50</w:t>
                  </w:r>
                </w:p>
              </w:tc>
              <w:tc>
                <w:tcPr>
                  <w:tcW w:w="394"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47</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66</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66</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55</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120</w:t>
                  </w:r>
                </w:p>
              </w:tc>
              <w:tc>
                <w:tcPr>
                  <w:tcW w:w="3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8" w:type="pct"/>
                  <w:vAlign w:val="center"/>
                </w:tcPr>
                <w:p>
                  <w:pPr>
                    <w:jc w:val="center"/>
                    <w:rPr>
                      <w:rFonts w:hint="eastAsia" w:ascii="Times New Roman" w:hAnsi="Times New Roman" w:eastAsia="宋体" w:cs="Times New Roman"/>
                      <w:b w:val="0"/>
                      <w:bCs w:val="0"/>
                      <w:color w:val="000000" w:themeColor="text1"/>
                      <w:lang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4</w:t>
                  </w:r>
                </w:p>
              </w:tc>
              <w:tc>
                <w:tcPr>
                  <w:tcW w:w="50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回流污泥泵</w:t>
                  </w:r>
                </w:p>
              </w:tc>
              <w:tc>
                <w:tcPr>
                  <w:tcW w:w="258" w:type="pct"/>
                  <w:vAlign w:val="center"/>
                </w:tcPr>
                <w:p>
                  <w:pPr>
                    <w:jc w:val="center"/>
                    <w:rPr>
                      <w:rFonts w:hint="eastAsia" w:ascii="Times New Roman" w:hAnsi="Times New Roman" w:eastAsia="宋体"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台</w:t>
                  </w:r>
                </w:p>
              </w:tc>
              <w:tc>
                <w:tcPr>
                  <w:tcW w:w="25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w:t>
                  </w:r>
                </w:p>
              </w:tc>
              <w:tc>
                <w:tcPr>
                  <w:tcW w:w="5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80</w:t>
                  </w:r>
                </w:p>
              </w:tc>
              <w:tc>
                <w:tcPr>
                  <w:tcW w:w="386"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47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50</w:t>
                  </w:r>
                </w:p>
              </w:tc>
              <w:tc>
                <w:tcPr>
                  <w:tcW w:w="394"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45</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69</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67</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56</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119</w:t>
                  </w:r>
                </w:p>
              </w:tc>
              <w:tc>
                <w:tcPr>
                  <w:tcW w:w="3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8" w:type="pct"/>
                  <w:vAlign w:val="center"/>
                </w:tcPr>
                <w:p>
                  <w:pPr>
                    <w:jc w:val="center"/>
                    <w:rPr>
                      <w:rFonts w:hint="eastAsia" w:ascii="Times New Roman" w:hAnsi="Times New Roman" w:eastAsia="宋体"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5</w:t>
                  </w:r>
                </w:p>
              </w:tc>
              <w:tc>
                <w:tcPr>
                  <w:tcW w:w="50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回流污泥泵</w:t>
                  </w:r>
                </w:p>
              </w:tc>
              <w:tc>
                <w:tcPr>
                  <w:tcW w:w="25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台</w:t>
                  </w:r>
                </w:p>
              </w:tc>
              <w:tc>
                <w:tcPr>
                  <w:tcW w:w="25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w:t>
                  </w:r>
                </w:p>
              </w:tc>
              <w:tc>
                <w:tcPr>
                  <w:tcW w:w="5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80</w:t>
                  </w:r>
                </w:p>
              </w:tc>
              <w:tc>
                <w:tcPr>
                  <w:tcW w:w="386"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47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50</w:t>
                  </w:r>
                </w:p>
              </w:tc>
              <w:tc>
                <w:tcPr>
                  <w:tcW w:w="394"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45</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69</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68</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57</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118</w:t>
                  </w:r>
                </w:p>
              </w:tc>
              <w:tc>
                <w:tcPr>
                  <w:tcW w:w="3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8" w:type="pct"/>
                  <w:vAlign w:val="center"/>
                </w:tcPr>
                <w:p>
                  <w:pPr>
                    <w:jc w:val="center"/>
                    <w:rPr>
                      <w:rFonts w:hint="eastAsia" w:ascii="Times New Roman" w:hAnsi="Times New Roman" w:eastAsia="宋体"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6</w:t>
                  </w:r>
                </w:p>
              </w:tc>
              <w:tc>
                <w:tcPr>
                  <w:tcW w:w="50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回流污泥泵</w:t>
                  </w:r>
                </w:p>
              </w:tc>
              <w:tc>
                <w:tcPr>
                  <w:tcW w:w="25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台</w:t>
                  </w:r>
                </w:p>
              </w:tc>
              <w:tc>
                <w:tcPr>
                  <w:tcW w:w="25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w:t>
                  </w:r>
                </w:p>
              </w:tc>
              <w:tc>
                <w:tcPr>
                  <w:tcW w:w="5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80</w:t>
                  </w:r>
                </w:p>
              </w:tc>
              <w:tc>
                <w:tcPr>
                  <w:tcW w:w="386"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47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50</w:t>
                  </w:r>
                </w:p>
              </w:tc>
              <w:tc>
                <w:tcPr>
                  <w:tcW w:w="394"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38</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62</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69</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58</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117</w:t>
                  </w:r>
                </w:p>
              </w:tc>
              <w:tc>
                <w:tcPr>
                  <w:tcW w:w="3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8" w:type="pct"/>
                  <w:vAlign w:val="center"/>
                </w:tcPr>
                <w:p>
                  <w:pPr>
                    <w:jc w:val="center"/>
                    <w:rPr>
                      <w:rFonts w:hint="eastAsia" w:ascii="Times New Roman" w:hAnsi="Times New Roman" w:eastAsia="宋体"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7</w:t>
                  </w:r>
                </w:p>
              </w:tc>
              <w:tc>
                <w:tcPr>
                  <w:tcW w:w="50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回流污泥泵</w:t>
                  </w:r>
                </w:p>
              </w:tc>
              <w:tc>
                <w:tcPr>
                  <w:tcW w:w="25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台</w:t>
                  </w:r>
                </w:p>
              </w:tc>
              <w:tc>
                <w:tcPr>
                  <w:tcW w:w="25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w:t>
                  </w:r>
                </w:p>
              </w:tc>
              <w:tc>
                <w:tcPr>
                  <w:tcW w:w="5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80</w:t>
                  </w:r>
                </w:p>
              </w:tc>
              <w:tc>
                <w:tcPr>
                  <w:tcW w:w="386"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47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50</w:t>
                  </w:r>
                </w:p>
              </w:tc>
              <w:tc>
                <w:tcPr>
                  <w:tcW w:w="394"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49</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68</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70</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59</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116</w:t>
                  </w:r>
                </w:p>
              </w:tc>
              <w:tc>
                <w:tcPr>
                  <w:tcW w:w="3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8" w:type="pct"/>
                  <w:vAlign w:val="center"/>
                </w:tcPr>
                <w:p>
                  <w:pPr>
                    <w:jc w:val="center"/>
                    <w:rPr>
                      <w:rFonts w:hint="eastAsia" w:ascii="Times New Roman" w:hAnsi="Times New Roman" w:eastAsia="宋体"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8</w:t>
                  </w:r>
                </w:p>
              </w:tc>
              <w:tc>
                <w:tcPr>
                  <w:tcW w:w="50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剩余污泥泵</w:t>
                  </w:r>
                </w:p>
              </w:tc>
              <w:tc>
                <w:tcPr>
                  <w:tcW w:w="25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台</w:t>
                  </w:r>
                </w:p>
              </w:tc>
              <w:tc>
                <w:tcPr>
                  <w:tcW w:w="25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w:t>
                  </w:r>
                </w:p>
              </w:tc>
              <w:tc>
                <w:tcPr>
                  <w:tcW w:w="5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80</w:t>
                  </w:r>
                </w:p>
              </w:tc>
              <w:tc>
                <w:tcPr>
                  <w:tcW w:w="386"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47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50</w:t>
                  </w:r>
                </w:p>
              </w:tc>
              <w:tc>
                <w:tcPr>
                  <w:tcW w:w="394"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62</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69</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71</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60</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115</w:t>
                  </w:r>
                </w:p>
              </w:tc>
              <w:tc>
                <w:tcPr>
                  <w:tcW w:w="3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8" w:type="pct"/>
                  <w:vAlign w:val="center"/>
                </w:tcPr>
                <w:p>
                  <w:pPr>
                    <w:jc w:val="center"/>
                    <w:rPr>
                      <w:rFonts w:hint="eastAsia" w:ascii="Times New Roman" w:hAnsi="Times New Roman" w:eastAsia="宋体"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9</w:t>
                  </w:r>
                </w:p>
              </w:tc>
              <w:tc>
                <w:tcPr>
                  <w:tcW w:w="50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剩余污泥泵</w:t>
                  </w:r>
                </w:p>
              </w:tc>
              <w:tc>
                <w:tcPr>
                  <w:tcW w:w="25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台</w:t>
                  </w:r>
                </w:p>
              </w:tc>
              <w:tc>
                <w:tcPr>
                  <w:tcW w:w="25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w:t>
                  </w:r>
                </w:p>
              </w:tc>
              <w:tc>
                <w:tcPr>
                  <w:tcW w:w="5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80</w:t>
                  </w:r>
                </w:p>
              </w:tc>
              <w:tc>
                <w:tcPr>
                  <w:tcW w:w="386"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47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50</w:t>
                  </w:r>
                </w:p>
              </w:tc>
              <w:tc>
                <w:tcPr>
                  <w:tcW w:w="394"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56</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68</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70</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56</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116</w:t>
                  </w:r>
                </w:p>
              </w:tc>
              <w:tc>
                <w:tcPr>
                  <w:tcW w:w="3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8" w:type="pct"/>
                  <w:vAlign w:val="center"/>
                </w:tcPr>
                <w:p>
                  <w:pPr>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10</w:t>
                  </w:r>
                </w:p>
              </w:tc>
              <w:tc>
                <w:tcPr>
                  <w:tcW w:w="50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集水坑排水泵</w:t>
                  </w:r>
                </w:p>
              </w:tc>
              <w:tc>
                <w:tcPr>
                  <w:tcW w:w="258" w:type="pct"/>
                  <w:vAlign w:val="center"/>
                </w:tcPr>
                <w:p>
                  <w:pPr>
                    <w:jc w:val="center"/>
                    <w:rPr>
                      <w:rFonts w:hint="default"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台</w:t>
                  </w:r>
                </w:p>
              </w:tc>
              <w:tc>
                <w:tcPr>
                  <w:tcW w:w="25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w:t>
                  </w:r>
                </w:p>
              </w:tc>
              <w:tc>
                <w:tcPr>
                  <w:tcW w:w="5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80</w:t>
                  </w:r>
                </w:p>
              </w:tc>
              <w:tc>
                <w:tcPr>
                  <w:tcW w:w="386"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47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50</w:t>
                  </w:r>
                </w:p>
              </w:tc>
              <w:tc>
                <w:tcPr>
                  <w:tcW w:w="394"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54</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60</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69</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55</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117</w:t>
                  </w:r>
                </w:p>
              </w:tc>
              <w:tc>
                <w:tcPr>
                  <w:tcW w:w="3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8" w:type="pct"/>
                  <w:vAlign w:val="center"/>
                </w:tcPr>
                <w:p>
                  <w:pPr>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11</w:t>
                  </w:r>
                </w:p>
              </w:tc>
              <w:tc>
                <w:tcPr>
                  <w:tcW w:w="50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集水坑排水泵</w:t>
                  </w:r>
                </w:p>
              </w:tc>
              <w:tc>
                <w:tcPr>
                  <w:tcW w:w="258" w:type="pct"/>
                  <w:vAlign w:val="center"/>
                </w:tcPr>
                <w:p>
                  <w:pPr>
                    <w:jc w:val="center"/>
                    <w:rPr>
                      <w:rFonts w:hint="default"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台</w:t>
                  </w:r>
                </w:p>
              </w:tc>
              <w:tc>
                <w:tcPr>
                  <w:tcW w:w="25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w:t>
                  </w:r>
                </w:p>
              </w:tc>
              <w:tc>
                <w:tcPr>
                  <w:tcW w:w="5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80</w:t>
                  </w:r>
                </w:p>
              </w:tc>
              <w:tc>
                <w:tcPr>
                  <w:tcW w:w="386"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47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50</w:t>
                  </w:r>
                </w:p>
              </w:tc>
              <w:tc>
                <w:tcPr>
                  <w:tcW w:w="394"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56</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66</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66</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54</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120</w:t>
                  </w:r>
                </w:p>
              </w:tc>
              <w:tc>
                <w:tcPr>
                  <w:tcW w:w="3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8" w:type="pct"/>
                  <w:vAlign w:val="center"/>
                </w:tcPr>
                <w:p>
                  <w:pPr>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12</w:t>
                  </w:r>
                </w:p>
              </w:tc>
              <w:tc>
                <w:tcPr>
                  <w:tcW w:w="50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取水泵</w:t>
                  </w:r>
                </w:p>
              </w:tc>
              <w:tc>
                <w:tcPr>
                  <w:tcW w:w="258" w:type="pct"/>
                  <w:vAlign w:val="center"/>
                </w:tcPr>
                <w:p>
                  <w:pPr>
                    <w:jc w:val="center"/>
                    <w:rPr>
                      <w:rFonts w:hint="default"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台</w:t>
                  </w:r>
                </w:p>
              </w:tc>
              <w:tc>
                <w:tcPr>
                  <w:tcW w:w="25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w:t>
                  </w:r>
                </w:p>
              </w:tc>
              <w:tc>
                <w:tcPr>
                  <w:tcW w:w="5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80</w:t>
                  </w:r>
                </w:p>
              </w:tc>
              <w:tc>
                <w:tcPr>
                  <w:tcW w:w="386"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47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50</w:t>
                  </w:r>
                </w:p>
              </w:tc>
              <w:tc>
                <w:tcPr>
                  <w:tcW w:w="394" w:type="pct"/>
                  <w:vMerge w:val="restar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清水池</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116</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64</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82</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73</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70</w:t>
                  </w:r>
                </w:p>
              </w:tc>
              <w:tc>
                <w:tcPr>
                  <w:tcW w:w="3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8" w:type="pct"/>
                  <w:vAlign w:val="center"/>
                </w:tcPr>
                <w:p>
                  <w:pPr>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13</w:t>
                  </w:r>
                </w:p>
              </w:tc>
              <w:tc>
                <w:tcPr>
                  <w:tcW w:w="50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取水泵</w:t>
                  </w:r>
                </w:p>
              </w:tc>
              <w:tc>
                <w:tcPr>
                  <w:tcW w:w="258" w:type="pct"/>
                  <w:vAlign w:val="center"/>
                </w:tcPr>
                <w:p>
                  <w:pPr>
                    <w:jc w:val="center"/>
                    <w:rPr>
                      <w:rFonts w:hint="default"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台</w:t>
                  </w:r>
                </w:p>
              </w:tc>
              <w:tc>
                <w:tcPr>
                  <w:tcW w:w="25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w:t>
                  </w:r>
                </w:p>
              </w:tc>
              <w:tc>
                <w:tcPr>
                  <w:tcW w:w="5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80</w:t>
                  </w:r>
                </w:p>
              </w:tc>
              <w:tc>
                <w:tcPr>
                  <w:tcW w:w="386"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47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50</w:t>
                  </w:r>
                </w:p>
              </w:tc>
              <w:tc>
                <w:tcPr>
                  <w:tcW w:w="394"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124</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53</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80</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73</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72</w:t>
                  </w:r>
                </w:p>
              </w:tc>
              <w:tc>
                <w:tcPr>
                  <w:tcW w:w="3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8" w:type="pct"/>
                  <w:vAlign w:val="center"/>
                </w:tcPr>
                <w:p>
                  <w:pPr>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14</w:t>
                  </w:r>
                </w:p>
              </w:tc>
              <w:tc>
                <w:tcPr>
                  <w:tcW w:w="50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反洗风机</w:t>
                  </w:r>
                </w:p>
              </w:tc>
              <w:tc>
                <w:tcPr>
                  <w:tcW w:w="25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台</w:t>
                  </w:r>
                </w:p>
              </w:tc>
              <w:tc>
                <w:tcPr>
                  <w:tcW w:w="25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w:t>
                  </w:r>
                </w:p>
              </w:tc>
              <w:tc>
                <w:tcPr>
                  <w:tcW w:w="5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80</w:t>
                  </w:r>
                </w:p>
              </w:tc>
              <w:tc>
                <w:tcPr>
                  <w:tcW w:w="386"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47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70</w:t>
                  </w:r>
                </w:p>
              </w:tc>
              <w:tc>
                <w:tcPr>
                  <w:tcW w:w="394" w:type="pct"/>
                  <w:vMerge w:val="restar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泵房</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143</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-21</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127</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115</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38</w:t>
                  </w:r>
                </w:p>
              </w:tc>
              <w:tc>
                <w:tcPr>
                  <w:tcW w:w="3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8" w:type="pct"/>
                  <w:vAlign w:val="center"/>
                </w:tcPr>
                <w:p>
                  <w:pPr>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15</w:t>
                  </w:r>
                </w:p>
              </w:tc>
              <w:tc>
                <w:tcPr>
                  <w:tcW w:w="50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反洗风机</w:t>
                  </w:r>
                </w:p>
              </w:tc>
              <w:tc>
                <w:tcPr>
                  <w:tcW w:w="25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台</w:t>
                  </w:r>
                </w:p>
              </w:tc>
              <w:tc>
                <w:tcPr>
                  <w:tcW w:w="25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w:t>
                  </w:r>
                </w:p>
              </w:tc>
              <w:tc>
                <w:tcPr>
                  <w:tcW w:w="5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90</w:t>
                  </w:r>
                </w:p>
              </w:tc>
              <w:tc>
                <w:tcPr>
                  <w:tcW w:w="386"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47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70</w:t>
                  </w:r>
                </w:p>
              </w:tc>
              <w:tc>
                <w:tcPr>
                  <w:tcW w:w="394"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133</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-15</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135</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114</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22</w:t>
                  </w:r>
                </w:p>
              </w:tc>
              <w:tc>
                <w:tcPr>
                  <w:tcW w:w="3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8" w:type="pct"/>
                  <w:vAlign w:val="center"/>
                </w:tcPr>
                <w:p>
                  <w:pPr>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16</w:t>
                  </w:r>
                </w:p>
              </w:tc>
              <w:tc>
                <w:tcPr>
                  <w:tcW w:w="50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风机房轴流风机</w:t>
                  </w:r>
                </w:p>
              </w:tc>
              <w:tc>
                <w:tcPr>
                  <w:tcW w:w="258" w:type="pct"/>
                  <w:vAlign w:val="center"/>
                </w:tcPr>
                <w:p>
                  <w:pPr>
                    <w:jc w:val="center"/>
                    <w:rPr>
                      <w:rFonts w:hint="default"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台</w:t>
                  </w:r>
                </w:p>
              </w:tc>
              <w:tc>
                <w:tcPr>
                  <w:tcW w:w="25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w:t>
                  </w:r>
                </w:p>
              </w:tc>
              <w:tc>
                <w:tcPr>
                  <w:tcW w:w="5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90</w:t>
                  </w:r>
                </w:p>
              </w:tc>
              <w:tc>
                <w:tcPr>
                  <w:tcW w:w="386"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47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70</w:t>
                  </w:r>
                </w:p>
              </w:tc>
              <w:tc>
                <w:tcPr>
                  <w:tcW w:w="394"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139</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-15</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130</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115</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20</w:t>
                  </w:r>
                </w:p>
              </w:tc>
              <w:tc>
                <w:tcPr>
                  <w:tcW w:w="3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8" w:type="pct"/>
                  <w:vAlign w:val="center"/>
                </w:tcPr>
                <w:p>
                  <w:pPr>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17</w:t>
                  </w:r>
                </w:p>
              </w:tc>
              <w:tc>
                <w:tcPr>
                  <w:tcW w:w="50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反冲洗水泵</w:t>
                  </w:r>
                </w:p>
              </w:tc>
              <w:tc>
                <w:tcPr>
                  <w:tcW w:w="258" w:type="pct"/>
                  <w:vAlign w:val="center"/>
                </w:tcPr>
                <w:p>
                  <w:pPr>
                    <w:jc w:val="center"/>
                    <w:rPr>
                      <w:rFonts w:hint="default"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台</w:t>
                  </w:r>
                </w:p>
              </w:tc>
              <w:tc>
                <w:tcPr>
                  <w:tcW w:w="25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w:t>
                  </w:r>
                </w:p>
              </w:tc>
              <w:tc>
                <w:tcPr>
                  <w:tcW w:w="5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90</w:t>
                  </w:r>
                </w:p>
              </w:tc>
              <w:tc>
                <w:tcPr>
                  <w:tcW w:w="386"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47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50</w:t>
                  </w:r>
                </w:p>
              </w:tc>
              <w:tc>
                <w:tcPr>
                  <w:tcW w:w="394"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137</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-11</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121</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116</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35</w:t>
                  </w:r>
                </w:p>
              </w:tc>
              <w:tc>
                <w:tcPr>
                  <w:tcW w:w="3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8" w:type="pct"/>
                  <w:vAlign w:val="center"/>
                </w:tcPr>
                <w:p>
                  <w:pPr>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18</w:t>
                  </w:r>
                </w:p>
              </w:tc>
              <w:tc>
                <w:tcPr>
                  <w:tcW w:w="50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反冲洗水泵</w:t>
                  </w:r>
                </w:p>
              </w:tc>
              <w:tc>
                <w:tcPr>
                  <w:tcW w:w="25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台</w:t>
                  </w:r>
                </w:p>
              </w:tc>
              <w:tc>
                <w:tcPr>
                  <w:tcW w:w="25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w:t>
                  </w:r>
                </w:p>
              </w:tc>
              <w:tc>
                <w:tcPr>
                  <w:tcW w:w="5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80</w:t>
                  </w:r>
                </w:p>
              </w:tc>
              <w:tc>
                <w:tcPr>
                  <w:tcW w:w="386"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47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50</w:t>
                  </w:r>
                </w:p>
              </w:tc>
              <w:tc>
                <w:tcPr>
                  <w:tcW w:w="394"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132</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-13</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133</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113</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22</w:t>
                  </w:r>
                </w:p>
              </w:tc>
              <w:tc>
                <w:tcPr>
                  <w:tcW w:w="3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8" w:type="pct"/>
                  <w:vAlign w:val="center"/>
                </w:tcPr>
                <w:p>
                  <w:pPr>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19</w:t>
                  </w:r>
                </w:p>
              </w:tc>
              <w:tc>
                <w:tcPr>
                  <w:tcW w:w="50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反冲洗水泵</w:t>
                  </w:r>
                </w:p>
              </w:tc>
              <w:tc>
                <w:tcPr>
                  <w:tcW w:w="25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台</w:t>
                  </w:r>
                </w:p>
              </w:tc>
              <w:tc>
                <w:tcPr>
                  <w:tcW w:w="25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w:t>
                  </w:r>
                </w:p>
              </w:tc>
              <w:tc>
                <w:tcPr>
                  <w:tcW w:w="5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80</w:t>
                  </w:r>
                </w:p>
              </w:tc>
              <w:tc>
                <w:tcPr>
                  <w:tcW w:w="386"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47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50</w:t>
                  </w:r>
                </w:p>
              </w:tc>
              <w:tc>
                <w:tcPr>
                  <w:tcW w:w="394"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141</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-13</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117</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116</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43</w:t>
                  </w:r>
                </w:p>
              </w:tc>
              <w:tc>
                <w:tcPr>
                  <w:tcW w:w="3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8" w:type="pct"/>
                  <w:vAlign w:val="center"/>
                </w:tcPr>
                <w:p>
                  <w:pPr>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20</w:t>
                  </w:r>
                </w:p>
              </w:tc>
              <w:tc>
                <w:tcPr>
                  <w:tcW w:w="50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回收水泵</w:t>
                  </w:r>
                </w:p>
              </w:tc>
              <w:tc>
                <w:tcPr>
                  <w:tcW w:w="25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台</w:t>
                  </w:r>
                </w:p>
              </w:tc>
              <w:tc>
                <w:tcPr>
                  <w:tcW w:w="25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w:t>
                  </w:r>
                </w:p>
              </w:tc>
              <w:tc>
                <w:tcPr>
                  <w:tcW w:w="5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80</w:t>
                  </w:r>
                </w:p>
              </w:tc>
              <w:tc>
                <w:tcPr>
                  <w:tcW w:w="386"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47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50</w:t>
                  </w:r>
                </w:p>
              </w:tc>
              <w:tc>
                <w:tcPr>
                  <w:tcW w:w="394" w:type="pct"/>
                  <w:vMerge w:val="restar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回收水池</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83</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105</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64</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123</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85</w:t>
                  </w:r>
                </w:p>
              </w:tc>
              <w:tc>
                <w:tcPr>
                  <w:tcW w:w="3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8" w:type="pct"/>
                  <w:vAlign w:val="center"/>
                </w:tcPr>
                <w:p>
                  <w:pPr>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21</w:t>
                  </w:r>
                </w:p>
              </w:tc>
              <w:tc>
                <w:tcPr>
                  <w:tcW w:w="50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回收水泵</w:t>
                  </w:r>
                </w:p>
              </w:tc>
              <w:tc>
                <w:tcPr>
                  <w:tcW w:w="25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台</w:t>
                  </w:r>
                </w:p>
              </w:tc>
              <w:tc>
                <w:tcPr>
                  <w:tcW w:w="25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w:t>
                  </w:r>
                </w:p>
              </w:tc>
              <w:tc>
                <w:tcPr>
                  <w:tcW w:w="5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80</w:t>
                  </w:r>
                </w:p>
              </w:tc>
              <w:tc>
                <w:tcPr>
                  <w:tcW w:w="386"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47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50</w:t>
                  </w:r>
                </w:p>
              </w:tc>
              <w:tc>
                <w:tcPr>
                  <w:tcW w:w="394"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86</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105</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65</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124</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84</w:t>
                  </w:r>
                </w:p>
              </w:tc>
              <w:tc>
                <w:tcPr>
                  <w:tcW w:w="3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58" w:type="pct"/>
                  <w:vAlign w:val="center"/>
                </w:tcPr>
                <w:p>
                  <w:pPr>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22</w:t>
                  </w:r>
                </w:p>
              </w:tc>
              <w:tc>
                <w:tcPr>
                  <w:tcW w:w="50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回收水泵</w:t>
                  </w:r>
                </w:p>
              </w:tc>
              <w:tc>
                <w:tcPr>
                  <w:tcW w:w="258" w:type="pct"/>
                  <w:vAlign w:val="center"/>
                </w:tcPr>
                <w:p>
                  <w:pPr>
                    <w:jc w:val="center"/>
                    <w:rPr>
                      <w:rFonts w:hint="default"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台</w:t>
                  </w:r>
                </w:p>
              </w:tc>
              <w:tc>
                <w:tcPr>
                  <w:tcW w:w="25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w:t>
                  </w:r>
                </w:p>
              </w:tc>
              <w:tc>
                <w:tcPr>
                  <w:tcW w:w="5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80</w:t>
                  </w:r>
                </w:p>
              </w:tc>
              <w:tc>
                <w:tcPr>
                  <w:tcW w:w="386"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47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50</w:t>
                  </w:r>
                </w:p>
              </w:tc>
              <w:tc>
                <w:tcPr>
                  <w:tcW w:w="394"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88</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109</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64</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125</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85</w:t>
                  </w:r>
                </w:p>
              </w:tc>
              <w:tc>
                <w:tcPr>
                  <w:tcW w:w="3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8" w:type="pct"/>
                  <w:vAlign w:val="center"/>
                </w:tcPr>
                <w:p>
                  <w:pPr>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23</w:t>
                  </w:r>
                </w:p>
              </w:tc>
              <w:tc>
                <w:tcPr>
                  <w:tcW w:w="50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回收水泵</w:t>
                  </w:r>
                </w:p>
              </w:tc>
              <w:tc>
                <w:tcPr>
                  <w:tcW w:w="258" w:type="pct"/>
                  <w:vAlign w:val="center"/>
                </w:tcPr>
                <w:p>
                  <w:pPr>
                    <w:jc w:val="center"/>
                    <w:rPr>
                      <w:rFonts w:hint="default"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台</w:t>
                  </w:r>
                </w:p>
              </w:tc>
              <w:tc>
                <w:tcPr>
                  <w:tcW w:w="25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w:t>
                  </w:r>
                </w:p>
              </w:tc>
              <w:tc>
                <w:tcPr>
                  <w:tcW w:w="5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80</w:t>
                  </w:r>
                </w:p>
              </w:tc>
              <w:tc>
                <w:tcPr>
                  <w:tcW w:w="386"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47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50</w:t>
                  </w:r>
                </w:p>
              </w:tc>
              <w:tc>
                <w:tcPr>
                  <w:tcW w:w="394"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81</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101</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67</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125</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88</w:t>
                  </w:r>
                </w:p>
              </w:tc>
              <w:tc>
                <w:tcPr>
                  <w:tcW w:w="3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8" w:type="pct"/>
                  <w:vAlign w:val="center"/>
                </w:tcPr>
                <w:p>
                  <w:pPr>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24</w:t>
                  </w:r>
                </w:p>
              </w:tc>
              <w:tc>
                <w:tcPr>
                  <w:tcW w:w="50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排污泵</w:t>
                  </w:r>
                </w:p>
              </w:tc>
              <w:tc>
                <w:tcPr>
                  <w:tcW w:w="258" w:type="pct"/>
                  <w:vAlign w:val="center"/>
                </w:tcPr>
                <w:p>
                  <w:pPr>
                    <w:jc w:val="center"/>
                    <w:rPr>
                      <w:rFonts w:hint="default"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台</w:t>
                  </w:r>
                </w:p>
              </w:tc>
              <w:tc>
                <w:tcPr>
                  <w:tcW w:w="25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w:t>
                  </w:r>
                </w:p>
              </w:tc>
              <w:tc>
                <w:tcPr>
                  <w:tcW w:w="5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80</w:t>
                  </w:r>
                </w:p>
              </w:tc>
              <w:tc>
                <w:tcPr>
                  <w:tcW w:w="386"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47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50</w:t>
                  </w:r>
                </w:p>
              </w:tc>
              <w:tc>
                <w:tcPr>
                  <w:tcW w:w="394" w:type="pct"/>
                  <w:vMerge w:val="restar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污泥脱水间</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90</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0</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75</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24</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80</w:t>
                  </w:r>
                </w:p>
              </w:tc>
              <w:tc>
                <w:tcPr>
                  <w:tcW w:w="3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8" w:type="pct"/>
                  <w:vAlign w:val="center"/>
                </w:tcPr>
                <w:p>
                  <w:pPr>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25</w:t>
                  </w:r>
                </w:p>
              </w:tc>
              <w:tc>
                <w:tcPr>
                  <w:tcW w:w="50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排污泵</w:t>
                  </w:r>
                </w:p>
              </w:tc>
              <w:tc>
                <w:tcPr>
                  <w:tcW w:w="258" w:type="pct"/>
                  <w:vAlign w:val="center"/>
                </w:tcPr>
                <w:p>
                  <w:pPr>
                    <w:jc w:val="center"/>
                    <w:rPr>
                      <w:rFonts w:hint="default"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台</w:t>
                  </w:r>
                </w:p>
              </w:tc>
              <w:tc>
                <w:tcPr>
                  <w:tcW w:w="25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w:t>
                  </w:r>
                </w:p>
              </w:tc>
              <w:tc>
                <w:tcPr>
                  <w:tcW w:w="5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80</w:t>
                  </w:r>
                </w:p>
              </w:tc>
              <w:tc>
                <w:tcPr>
                  <w:tcW w:w="386"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47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50</w:t>
                  </w:r>
                </w:p>
              </w:tc>
              <w:tc>
                <w:tcPr>
                  <w:tcW w:w="394"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94</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-4</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76</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25</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79</w:t>
                  </w:r>
                </w:p>
              </w:tc>
              <w:tc>
                <w:tcPr>
                  <w:tcW w:w="3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8" w:type="pct"/>
                  <w:vAlign w:val="center"/>
                </w:tcPr>
                <w:p>
                  <w:pPr>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26</w:t>
                  </w:r>
                </w:p>
              </w:tc>
              <w:tc>
                <w:tcPr>
                  <w:tcW w:w="50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污泥输送泵</w:t>
                  </w:r>
                </w:p>
              </w:tc>
              <w:tc>
                <w:tcPr>
                  <w:tcW w:w="258" w:type="pct"/>
                  <w:vAlign w:val="center"/>
                </w:tcPr>
                <w:p>
                  <w:pPr>
                    <w:jc w:val="center"/>
                    <w:rPr>
                      <w:rFonts w:hint="default"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台</w:t>
                  </w:r>
                </w:p>
              </w:tc>
              <w:tc>
                <w:tcPr>
                  <w:tcW w:w="25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w:t>
                  </w:r>
                </w:p>
              </w:tc>
              <w:tc>
                <w:tcPr>
                  <w:tcW w:w="5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80</w:t>
                  </w:r>
                </w:p>
              </w:tc>
              <w:tc>
                <w:tcPr>
                  <w:tcW w:w="386"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47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50</w:t>
                  </w:r>
                </w:p>
              </w:tc>
              <w:tc>
                <w:tcPr>
                  <w:tcW w:w="394"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92</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-2</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77</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24</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78</w:t>
                  </w:r>
                </w:p>
              </w:tc>
              <w:tc>
                <w:tcPr>
                  <w:tcW w:w="3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8" w:type="pct"/>
                  <w:vAlign w:val="center"/>
                </w:tcPr>
                <w:p>
                  <w:pPr>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27</w:t>
                  </w:r>
                </w:p>
              </w:tc>
              <w:tc>
                <w:tcPr>
                  <w:tcW w:w="50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污泥输送泵</w:t>
                  </w:r>
                </w:p>
              </w:tc>
              <w:tc>
                <w:tcPr>
                  <w:tcW w:w="258" w:type="pct"/>
                  <w:vAlign w:val="center"/>
                </w:tcPr>
                <w:p>
                  <w:pPr>
                    <w:jc w:val="center"/>
                    <w:rPr>
                      <w:rFonts w:hint="default"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台</w:t>
                  </w:r>
                </w:p>
              </w:tc>
              <w:tc>
                <w:tcPr>
                  <w:tcW w:w="25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w:t>
                  </w:r>
                </w:p>
              </w:tc>
              <w:tc>
                <w:tcPr>
                  <w:tcW w:w="5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80</w:t>
                  </w:r>
                </w:p>
              </w:tc>
              <w:tc>
                <w:tcPr>
                  <w:tcW w:w="386"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47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50</w:t>
                  </w:r>
                </w:p>
              </w:tc>
              <w:tc>
                <w:tcPr>
                  <w:tcW w:w="394" w:type="pct"/>
                  <w:vMerge w:val="continue"/>
                  <w:vAlign w:val="center"/>
                </w:tcPr>
                <w:p>
                  <w:pPr>
                    <w:jc w:val="center"/>
                    <w:rPr>
                      <w:rFonts w:hint="default" w:ascii="Times New Roman" w:hAnsi="Times New Roman" w:cs="Times New Roman"/>
                      <w:b w:val="0"/>
                      <w:bCs w:val="0"/>
                      <w:color w:val="000000" w:themeColor="text1"/>
                      <w14:textFill>
                        <w14:solidFill>
                          <w14:schemeClr w14:val="tx1"/>
                        </w14:solidFill>
                      </w14:textFill>
                    </w:rPr>
                  </w:pP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85</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-6</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74</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25</w:t>
                  </w:r>
                </w:p>
              </w:tc>
              <w:tc>
                <w:tcPr>
                  <w:tcW w:w="322"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81</w:t>
                  </w:r>
                </w:p>
              </w:tc>
              <w:tc>
                <w:tcPr>
                  <w:tcW w:w="325"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110</w:t>
                  </w:r>
                </w:p>
              </w:tc>
            </w:tr>
          </w:tbl>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b w:val="0"/>
                <w:bCs w:val="0"/>
                <w:color w:val="000000" w:themeColor="text1"/>
                <w:kern w:val="0"/>
                <w:sz w:val="24"/>
                <w:szCs w:val="24"/>
                <w:lang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4"/>
                <w:lang w:bidi="ar"/>
                <w14:textFill>
                  <w14:solidFill>
                    <w14:schemeClr w14:val="tx1"/>
                  </w14:solidFill>
                </w14:textFill>
              </w:rPr>
              <w:t>噪声影响预测和保护措施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w:t>
            </w:r>
            <w:r>
              <w:rPr>
                <w:rFonts w:hint="default" w:ascii="Times New Roman" w:hAnsi="Times New Roman" w:eastAsia="宋体" w:cs="Times New Roman"/>
                <w:b w:val="0"/>
                <w:bCs w:val="0"/>
                <w:color w:val="000000" w:themeColor="text1"/>
                <w:kern w:val="0"/>
                <w:sz w:val="24"/>
                <w:szCs w:val="24"/>
                <w:lang w:bidi="ar"/>
                <w14:textFill>
                  <w14:solidFill>
                    <w14:schemeClr w14:val="tx1"/>
                  </w14:solidFill>
                </w14:textFill>
              </w:rPr>
              <w:t>预测</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模式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1）条件概化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①所有产噪设备均在正常工况条件下运行；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②室内噪声源考虑声源所在厂房围护结构处的声屏蔽作用；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③考虑声源至预测点的距离衰减，忽略传播中建筑物的阻挡、地面反射以及空气吸收、雨、雪、温度等影响。</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室内声源噪声预测模式</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 xml:space="preserve">本项目仅考虑距离衰减值，忽略大气吸收、障碍物屏障等因素，从最为不利的情况出发，根据《环境影响评价技术导则 声环境》（HJ2.4-2021）的要求，采用以下计算公式计算某一室内声源靠近围护结构处产生的倍频带声压级或 A 声级： </w:t>
            </w:r>
          </w:p>
          <w:p>
            <w:pPr>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L</w:t>
            </w:r>
            <w:r>
              <w:rPr>
                <w:rFonts w:hint="default" w:ascii="Times New Roman" w:hAnsi="Times New Roman" w:eastAsia="宋体" w:cs="Times New Roman"/>
                <w:color w:val="000000" w:themeColor="text1"/>
                <w:sz w:val="24"/>
                <w:vertAlign w:val="subscript"/>
                <w14:textFill>
                  <w14:solidFill>
                    <w14:schemeClr w14:val="tx1"/>
                  </w14:solidFill>
                </w14:textFill>
              </w:rPr>
              <w:t>p</w:t>
            </w:r>
            <w:r>
              <w:rPr>
                <w:rFonts w:hint="default" w:ascii="Times New Roman" w:hAnsi="Times New Roman" w:eastAsia="宋体" w:cs="Times New Roman"/>
                <w:color w:val="000000" w:themeColor="text1"/>
                <w:sz w:val="24"/>
                <w:vertAlign w:val="subscript"/>
                <w:lang w:val="en-US" w:eastAsia="zh-CN"/>
                <w14:textFill>
                  <w14:solidFill>
                    <w14:schemeClr w14:val="tx1"/>
                  </w14:solidFill>
                </w14:textFill>
              </w:rPr>
              <w:t>1</w:t>
            </w:r>
            <w:r>
              <w:rPr>
                <w:rFonts w:hint="default" w:ascii="Times New Roman" w:hAnsi="Times New Roman" w:eastAsia="宋体" w:cs="Times New Roman"/>
                <w:color w:val="000000" w:themeColor="text1"/>
                <w:sz w:val="24"/>
                <w14:textFill>
                  <w14:solidFill>
                    <w14:schemeClr w14:val="tx1"/>
                  </w14:solidFill>
                </w14:textFill>
              </w:rPr>
              <w:t>=L</w:t>
            </w:r>
            <w:r>
              <w:rPr>
                <w:rFonts w:hint="default" w:ascii="Times New Roman" w:hAnsi="Times New Roman" w:eastAsia="宋体" w:cs="Times New Roman"/>
                <w:color w:val="000000" w:themeColor="text1"/>
                <w:sz w:val="24"/>
                <w:vertAlign w:val="subscript"/>
                <w:lang w:val="en-US" w:eastAsia="zh-CN"/>
                <w14:textFill>
                  <w14:solidFill>
                    <w14:schemeClr w14:val="tx1"/>
                  </w14:solidFill>
                </w14:textFill>
              </w:rPr>
              <w:t>W</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10lg（</w:t>
            </w:r>
            <w:r>
              <w:rPr>
                <w:rFonts w:hint="default" w:ascii="Times New Roman" w:hAnsi="Times New Roman" w:cs="Times New Roman"/>
                <w:color w:val="000000" w:themeColor="text1"/>
                <w:position w:val="-24"/>
                <w:sz w:val="24"/>
                <w14:textFill>
                  <w14:solidFill>
                    <w14:schemeClr w14:val="tx1"/>
                  </w14:solidFill>
                </w14:textFill>
              </w:rPr>
              <w:object>
                <v:shape id="_x0000_i1026" o:spt="75" type="#_x0000_t75" style="height:31pt;width:31pt;" o:ole="t" filled="f" o:preferrelative="t" stroked="f" coordsize="21600,21600">
                  <v:path/>
                  <v:fill on="f" focussize="0,0"/>
                  <v:stroke on="f"/>
                  <v:imagedata r:id="rId26" o:title=""/>
                  <o:lock v:ext="edit" aspectratio="t"/>
                  <w10:wrap type="none"/>
                  <w10:anchorlock/>
                </v:shape>
                <o:OLEObject Type="Embed" ProgID="Equation.KSEE3" ShapeID="_x0000_i1026" DrawAspect="Content" ObjectID="_1468075731" r:id="rId25">
                  <o:LockedField>false</o:LockedField>
                </o:OLEObject>
              </w:objec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position w:val="-24"/>
                <w:sz w:val="24"/>
                <w14:textFill>
                  <w14:solidFill>
                    <w14:schemeClr w14:val="tx1"/>
                  </w14:solidFill>
                </w14:textFill>
              </w:rPr>
              <w:object>
                <v:shape id="_x0000_i1027" o:spt="75" type="#_x0000_t75" style="height:31pt;width:15pt;" o:ole="t" filled="f" o:preferrelative="t" stroked="f" coordsize="21600,21600">
                  <v:path/>
                  <v:fill on="f" focussize="0,0"/>
                  <v:stroke on="f"/>
                  <v:imagedata r:id="rId28" o:title=""/>
                  <o:lock v:ext="edit" aspectratio="t"/>
                  <w10:wrap type="none"/>
                  <w10:anchorlock/>
                </v:shape>
                <o:OLEObject Type="Embed" ProgID="Equation.KSEE3" ShapeID="_x0000_i1027" DrawAspect="Content" ObjectID="_1468075732" r:id="rId27">
                  <o:LockedField>false</o:LockedField>
                </o:OLEObject>
              </w:object>
            </w:r>
            <w:r>
              <w:rPr>
                <w:rFonts w:hint="default" w:ascii="Times New Roman" w:hAnsi="Times New Roman" w:eastAsia="宋体" w:cs="Times New Roman"/>
                <w:color w:val="000000" w:themeColor="text1"/>
                <w:sz w:val="24"/>
                <w14:textFill>
                  <w14:solidFill>
                    <w14:schemeClr w14:val="tx1"/>
                  </w14:solidFill>
                </w14:textFill>
              </w:rPr>
              <w:t>）</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式中：</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L</w:t>
            </w:r>
            <w:r>
              <w:rPr>
                <w:rFonts w:hint="default" w:ascii="Times New Roman" w:hAnsi="Times New Roman" w:eastAsia="宋体" w:cs="Times New Roman"/>
                <w:color w:val="000000" w:themeColor="text1"/>
                <w:sz w:val="24"/>
                <w:vertAlign w:val="subscript"/>
                <w14:textFill>
                  <w14:solidFill>
                    <w14:schemeClr w14:val="tx1"/>
                  </w14:solidFill>
                </w14:textFill>
              </w:rPr>
              <w:t>p</w:t>
            </w:r>
            <w:r>
              <w:rPr>
                <w:rFonts w:hint="default" w:ascii="Times New Roman" w:hAnsi="Times New Roman" w:eastAsia="宋体" w:cs="Times New Roman"/>
                <w:color w:val="000000" w:themeColor="text1"/>
                <w:sz w:val="24"/>
                <w:vertAlign w:val="subscript"/>
                <w:lang w:val="en-US" w:eastAsia="zh-CN"/>
                <w14:textFill>
                  <w14:solidFill>
                    <w14:schemeClr w14:val="tx1"/>
                  </w14:solidFill>
                </w14:textFill>
              </w:rPr>
              <w:t>1</w:t>
            </w:r>
            <w:r>
              <w:rPr>
                <w:rFonts w:hint="default" w:ascii="Times New Roman" w:hAnsi="Times New Roman" w:eastAsia="宋体" w:cs="Times New Roman"/>
                <w:color w:val="000000" w:themeColor="text1"/>
                <w:sz w:val="24"/>
                <w14:textFill>
                  <w14:solidFill>
                    <w14:schemeClr w14:val="tx1"/>
                  </w14:solidFill>
                </w14:textFill>
              </w:rPr>
              <w:t>——靠近开口处（或窗户）室内某倍频带的声压级或A声级，dB；</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L</w:t>
            </w:r>
            <w:r>
              <w:rPr>
                <w:rFonts w:hint="default" w:ascii="Times New Roman" w:hAnsi="Times New Roman" w:eastAsia="宋体" w:cs="Times New Roman"/>
                <w:color w:val="000000" w:themeColor="text1"/>
                <w:sz w:val="24"/>
                <w:vertAlign w:val="subscript"/>
                <w:lang w:val="en-US" w:eastAsia="zh-CN"/>
                <w14:textFill>
                  <w14:solidFill>
                    <w14:schemeClr w14:val="tx1"/>
                  </w14:solidFill>
                </w14:textFill>
              </w:rPr>
              <w:t>W</w:t>
            </w:r>
            <w:r>
              <w:rPr>
                <w:rFonts w:hint="default" w:ascii="Times New Roman" w:hAnsi="Times New Roman" w:eastAsia="宋体" w:cs="Times New Roman"/>
                <w:color w:val="000000" w:themeColor="text1"/>
                <w:sz w:val="24"/>
                <w14:textFill>
                  <w14:solidFill>
                    <w14:schemeClr w14:val="tx1"/>
                  </w14:solidFill>
                </w14:textFill>
              </w:rPr>
              <w:t>——点声源声功率级（A计权或倍频带），dB；</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Q</w:t>
            </w:r>
            <w:r>
              <w:rPr>
                <w:rFonts w:hint="default" w:ascii="Times New Roman" w:hAnsi="Times New Roman" w:eastAsia="宋体" w:cs="Times New Roman"/>
                <w:color w:val="000000" w:themeColor="text1"/>
                <w:sz w:val="24"/>
                <w14:textFill>
                  <w14:solidFill>
                    <w14:schemeClr w14:val="tx1"/>
                  </w14:solidFill>
                </w14:textFill>
              </w:rPr>
              <w:t>——指向性因子；通常对无指向性声源，当声源放在房间中心时，Q=1；</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R</w:t>
            </w:r>
            <w:r>
              <w:rPr>
                <w:rFonts w:hint="default" w:ascii="Times New Roman" w:hAnsi="Times New Roman" w:eastAsia="宋体" w:cs="Times New Roman"/>
                <w:color w:val="000000" w:themeColor="text1"/>
                <w:sz w:val="24"/>
                <w14:textFill>
                  <w14:solidFill>
                    <w14:schemeClr w14:val="tx1"/>
                  </w14:solidFill>
                </w14:textFill>
              </w:rPr>
              <w:t>——房间常数；R</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Sα/</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14:textFill>
                  <w14:solidFill>
                    <w14:schemeClr w14:val="tx1"/>
                  </w14:solidFill>
                </w14:textFill>
              </w:rPr>
              <w:t>α</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，S为房间内表面面积，m</w:t>
            </w:r>
            <w:r>
              <w:rPr>
                <w:rFonts w:hint="default" w:ascii="Times New Roman" w:hAnsi="Times New Roman" w:eastAsia="宋体" w:cs="Times New Roman"/>
                <w:color w:val="000000" w:themeColor="text1"/>
                <w:sz w:val="24"/>
                <w:vertAlign w:val="super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；α为平均吸声系数</w:t>
            </w:r>
            <w:r>
              <w:rPr>
                <w:rFonts w:hint="default" w:ascii="Times New Roman" w:hAnsi="Times New Roman" w:eastAsia="宋体" w:cs="Times New Roman"/>
                <w:color w:val="000000" w:themeColor="text1"/>
                <w:sz w:val="24"/>
                <w:lang w:eastAsia="zh-CN"/>
                <w14:textFill>
                  <w14:solidFill>
                    <w14:schemeClr w14:val="tx1"/>
                  </w14:solidFill>
                </w14:textFill>
              </w:rPr>
              <w:t>，参照《噪声控制与建筑声学设备和材料选用手册》（化学工业出版社），</w:t>
            </w:r>
            <w:r>
              <w:rPr>
                <w:rFonts w:hint="default" w:ascii="Times New Roman" w:hAnsi="Times New Roman" w:eastAsia="宋体" w:cs="Times New Roman"/>
                <w:color w:val="000000" w:themeColor="text1"/>
                <w:sz w:val="24"/>
                <w:lang w:val="en-US" w:eastAsia="zh-CN"/>
                <w14:textFill>
                  <w14:solidFill>
                    <w14:schemeClr w14:val="tx1"/>
                  </w14:solidFill>
                </w14:textFill>
              </w:rPr>
              <w:t>本评价取0.01</w:t>
            </w:r>
            <w:r>
              <w:rPr>
                <w:rFonts w:hint="default" w:ascii="Times New Roman" w:hAnsi="Times New Roman" w:eastAsia="宋体" w:cs="Times New Roman"/>
                <w:color w:val="000000" w:themeColor="text1"/>
                <w:sz w:val="24"/>
                <w14:textFill>
                  <w14:solidFill>
                    <w14:schemeClr w14:val="tx1"/>
                  </w14:solidFill>
                </w14:textFill>
              </w:rPr>
              <w:t>。</w:t>
            </w:r>
          </w:p>
          <w:p>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r</w:t>
            </w:r>
            <w:r>
              <w:rPr>
                <w:rFonts w:hint="default" w:ascii="Times New Roman" w:hAnsi="Times New Roman" w:eastAsia="宋体" w:cs="Times New Roman"/>
                <w:color w:val="000000" w:themeColor="text1"/>
                <w:sz w:val="24"/>
                <w14:textFill>
                  <w14:solidFill>
                    <w14:schemeClr w14:val="tx1"/>
                  </w14:solidFill>
                </w14:textFill>
              </w:rPr>
              <w:t>——声源到靠近围护结构某点处的距离，m。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室</w:t>
            </w:r>
            <w:r>
              <w:rPr>
                <w:rFonts w:hint="default" w:ascii="Times New Roman" w:hAnsi="Times New Roman" w:eastAsia="宋体" w:cs="Times New Roman"/>
                <w:color w:val="000000" w:themeColor="text1"/>
                <w:sz w:val="24"/>
                <w:lang w:val="en-US" w:eastAsia="zh-CN"/>
                <w14:textFill>
                  <w14:solidFill>
                    <w14:schemeClr w14:val="tx1"/>
                  </w14:solidFill>
                </w14:textFill>
              </w:rPr>
              <w:t>外</w:t>
            </w:r>
            <w:r>
              <w:rPr>
                <w:rFonts w:hint="default" w:ascii="Times New Roman" w:hAnsi="Times New Roman" w:eastAsia="宋体" w:cs="Times New Roman"/>
                <w:color w:val="000000" w:themeColor="text1"/>
                <w:sz w:val="24"/>
                <w14:textFill>
                  <w14:solidFill>
                    <w14:schemeClr w14:val="tx1"/>
                  </w14:solidFill>
                </w14:textFill>
              </w:rPr>
              <w:t>声源噪声预测模式</w:t>
            </w:r>
          </w:p>
          <w:p>
            <w:pPr>
              <w:pStyle w:val="5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szCs w:val="24"/>
                <w:highlight w:val="none"/>
                <w14:textFill>
                  <w14:solidFill>
                    <w14:schemeClr w14:val="tx1"/>
                  </w14:solidFill>
                </w14:textFill>
              </w:rPr>
              <w:t>室外设备噪声影响预测采用室外声场扩散衰减模式，具体如下：</w:t>
            </w:r>
          </w:p>
          <w:p>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object>
                <v:shape id="_x0000_i1028" o:spt="75" type="#_x0000_t75" style="height:17.55pt;width:93.9pt;" o:ole="t" filled="f" stroked="f" coordsize="21600,21600">
                  <v:path/>
                  <v:fill on="f" focussize="0,0"/>
                  <v:stroke on="f"/>
                  <v:imagedata r:id="rId30" o:title=""/>
                  <o:lock v:ext="edit" grouping="f" rotation="f" text="f" aspectratio="t"/>
                  <w10:wrap type="none"/>
                  <w10:anchorlock/>
                </v:shape>
                <o:OLEObject Type="Embed" ProgID="Equation.3" ShapeID="_x0000_i1028" DrawAspect="Content" ObjectID="_1468075733" r:id="rId29">
                  <o:LockedField>false</o:LockedField>
                </o:OLEObject>
              </w:object>
            </w:r>
          </w:p>
          <w:p>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object>
                <v:shape id="_x0000_i1029" o:spt="75" type="#_x0000_t75" style="height:19.4pt;width:165.9pt;" o:ole="t" filled="f" stroked="f" coordsize="21600,21600">
                  <v:path/>
                  <v:fill on="f" focussize="0,0"/>
                  <v:stroke on="f"/>
                  <v:imagedata r:id="rId32" o:title=""/>
                  <o:lock v:ext="edit" grouping="f" rotation="f" text="f" aspectratio="t"/>
                  <w10:wrap type="none"/>
                  <w10:anchorlock/>
                </v:shape>
                <o:OLEObject Type="Embed" ProgID="Equation.3" ShapeID="_x0000_i1029" DrawAspect="Content" ObjectID="_1468075734" r:id="rId31">
                  <o:LockedField>false</o:LockedField>
                </o:OLEObject>
              </w:object>
            </w:r>
          </w:p>
          <w:p>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szCs w:val="24"/>
                <w:highlight w:val="none"/>
                <w14:textFill>
                  <w14:solidFill>
                    <w14:schemeClr w14:val="tx1"/>
                  </w14:solidFill>
                </w14:textFill>
              </w:rPr>
              <w:t>式中：L</w:t>
            </w:r>
            <w:r>
              <w:rPr>
                <w:rFonts w:hint="default" w:ascii="Times New Roman" w:hAnsi="Times New Roman" w:eastAsia="宋体" w:cs="Times New Roman"/>
                <w:color w:val="000000" w:themeColor="text1"/>
                <w:szCs w:val="24"/>
                <w:highlight w:val="none"/>
                <w:vertAlign w:val="subscript"/>
                <w14:textFill>
                  <w14:solidFill>
                    <w14:schemeClr w14:val="tx1"/>
                  </w14:solidFill>
                </w14:textFill>
              </w:rPr>
              <w:t>A(r)</w:t>
            </w:r>
            <w:r>
              <w:rPr>
                <w:rFonts w:hint="default" w:ascii="Times New Roman" w:hAnsi="Times New Roman" w:eastAsia="宋体" w:cs="Times New Roman"/>
                <w:color w:val="000000" w:themeColor="text1"/>
                <w:szCs w:val="24"/>
                <w:highlight w:val="none"/>
                <w14:textFill>
                  <w14:solidFill>
                    <w14:schemeClr w14:val="tx1"/>
                  </w14:solidFill>
                </w14:textFill>
              </w:rPr>
              <w:t>——预测点的噪声值，dB；</w:t>
            </w:r>
          </w:p>
          <w:p>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szCs w:val="24"/>
                <w:highlight w:val="none"/>
                <w14:textFill>
                  <w14:solidFill>
                    <w14:schemeClr w14:val="tx1"/>
                  </w14:solidFill>
                </w14:textFill>
              </w:rPr>
              <w:t>L</w:t>
            </w:r>
            <w:r>
              <w:rPr>
                <w:rFonts w:hint="default" w:ascii="Times New Roman" w:hAnsi="Times New Roman" w:eastAsia="宋体" w:cs="Times New Roman"/>
                <w:color w:val="000000" w:themeColor="text1"/>
                <w:szCs w:val="24"/>
                <w:highlight w:val="none"/>
                <w:vertAlign w:val="subscript"/>
                <w14:textFill>
                  <w14:solidFill>
                    <w14:schemeClr w14:val="tx1"/>
                  </w14:solidFill>
                </w14:textFill>
              </w:rPr>
              <w:t>A(r0)</w:t>
            </w:r>
            <w:r>
              <w:rPr>
                <w:rFonts w:hint="default" w:ascii="Times New Roman" w:hAnsi="Times New Roman" w:eastAsia="宋体" w:cs="Times New Roman"/>
                <w:color w:val="000000" w:themeColor="text1"/>
                <w:szCs w:val="24"/>
                <w:highlight w:val="none"/>
                <w14:textFill>
                  <w14:solidFill>
                    <w14:schemeClr w14:val="tx1"/>
                  </w14:solidFill>
                </w14:textFill>
              </w:rPr>
              <w:t>——参照点的噪声值，dB；</w:t>
            </w:r>
          </w:p>
          <w:p>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szCs w:val="24"/>
                <w:highlight w:val="none"/>
                <w14:textFill>
                  <w14:solidFill>
                    <w14:schemeClr w14:val="tx1"/>
                  </w14:solidFill>
                </w14:textFill>
              </w:rPr>
              <w:t>r、r</w:t>
            </w:r>
            <w:r>
              <w:rPr>
                <w:rFonts w:hint="default" w:ascii="Times New Roman" w:hAnsi="Times New Roman" w:eastAsia="宋体" w:cs="Times New Roman"/>
                <w:color w:val="000000" w:themeColor="text1"/>
                <w:szCs w:val="24"/>
                <w:highlight w:val="none"/>
                <w:vertAlign w:val="subscript"/>
                <w14:textFill>
                  <w14:solidFill>
                    <w14:schemeClr w14:val="tx1"/>
                  </w14:solidFill>
                </w14:textFill>
              </w:rPr>
              <w:t>0</w:t>
            </w:r>
            <w:r>
              <w:rPr>
                <w:rFonts w:hint="default" w:ascii="Times New Roman" w:hAnsi="Times New Roman" w:eastAsia="宋体" w:cs="Times New Roman"/>
                <w:color w:val="000000" w:themeColor="text1"/>
                <w:szCs w:val="24"/>
                <w:highlight w:val="none"/>
                <w14:textFill>
                  <w14:solidFill>
                    <w14:schemeClr w14:val="tx1"/>
                  </w14:solidFill>
                </w14:textFill>
              </w:rPr>
              <w:t>——预测点、参照点到噪声源处的距离，m；</w:t>
            </w:r>
          </w:p>
          <w:p>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szCs w:val="24"/>
                <w:highlight w:val="none"/>
                <w14:textFill>
                  <w14:solidFill>
                    <w14:schemeClr w14:val="tx1"/>
                  </w14:solidFill>
                </w14:textFill>
              </w:rPr>
              <w:t>A——户外传播引起的衰减值，dB；</w:t>
            </w:r>
          </w:p>
          <w:p>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szCs w:val="24"/>
                <w:highlight w:val="none"/>
                <w14:textFill>
                  <w14:solidFill>
                    <w14:schemeClr w14:val="tx1"/>
                  </w14:solidFill>
                </w14:textFill>
              </w:rPr>
              <w:t>A</w:t>
            </w:r>
            <w:r>
              <w:rPr>
                <w:rFonts w:hint="default" w:ascii="Times New Roman" w:hAnsi="Times New Roman" w:eastAsia="宋体" w:cs="Times New Roman"/>
                <w:color w:val="000000" w:themeColor="text1"/>
                <w:szCs w:val="24"/>
                <w:highlight w:val="none"/>
                <w:vertAlign w:val="subscript"/>
                <w14:textFill>
                  <w14:solidFill>
                    <w14:schemeClr w14:val="tx1"/>
                  </w14:solidFill>
                </w14:textFill>
              </w:rPr>
              <w:t>div</w:t>
            </w:r>
            <w:r>
              <w:rPr>
                <w:rFonts w:hint="default" w:ascii="Times New Roman" w:hAnsi="Times New Roman" w:eastAsia="宋体" w:cs="Times New Roman"/>
                <w:color w:val="000000" w:themeColor="text1"/>
                <w:szCs w:val="24"/>
                <w:highlight w:val="none"/>
                <w14:textFill>
                  <w14:solidFill>
                    <w14:schemeClr w14:val="tx1"/>
                  </w14:solidFill>
                </w14:textFill>
              </w:rPr>
              <w:t>——几何发散衰减，Adiv=20lg（r/r</w:t>
            </w:r>
            <w:r>
              <w:rPr>
                <w:rFonts w:hint="default" w:ascii="Times New Roman" w:hAnsi="Times New Roman" w:eastAsia="宋体" w:cs="Times New Roman"/>
                <w:color w:val="000000" w:themeColor="text1"/>
                <w:szCs w:val="24"/>
                <w:highlight w:val="none"/>
                <w:vertAlign w:val="subscript"/>
                <w14:textFill>
                  <w14:solidFill>
                    <w14:schemeClr w14:val="tx1"/>
                  </w14:solidFill>
                </w14:textFill>
              </w:rPr>
              <w:t>0</w:t>
            </w:r>
            <w:r>
              <w:rPr>
                <w:rFonts w:hint="default" w:ascii="Times New Roman" w:hAnsi="Times New Roman" w:eastAsia="宋体" w:cs="Times New Roman"/>
                <w:color w:val="000000" w:themeColor="text1"/>
                <w:szCs w:val="24"/>
                <w:highlight w:val="none"/>
                <w14:textFill>
                  <w14:solidFill>
                    <w14:schemeClr w14:val="tx1"/>
                  </w14:solidFill>
                </w14:textFill>
              </w:rPr>
              <w:t>），dB；</w:t>
            </w:r>
          </w:p>
          <w:p>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szCs w:val="24"/>
                <w:highlight w:val="none"/>
                <w14:textFill>
                  <w14:solidFill>
                    <w14:schemeClr w14:val="tx1"/>
                  </w14:solidFill>
                </w14:textFill>
              </w:rPr>
              <w:t>A</w:t>
            </w:r>
            <w:r>
              <w:rPr>
                <w:rFonts w:hint="default" w:ascii="Times New Roman" w:hAnsi="Times New Roman" w:eastAsia="宋体" w:cs="Times New Roman"/>
                <w:color w:val="000000" w:themeColor="text1"/>
                <w:szCs w:val="24"/>
                <w:highlight w:val="none"/>
                <w:vertAlign w:val="subscript"/>
                <w14:textFill>
                  <w14:solidFill>
                    <w14:schemeClr w14:val="tx1"/>
                  </w14:solidFill>
                </w14:textFill>
              </w:rPr>
              <w:t>atm</w:t>
            </w:r>
            <w:r>
              <w:rPr>
                <w:rFonts w:hint="default" w:ascii="Times New Roman" w:hAnsi="Times New Roman" w:eastAsia="宋体" w:cs="Times New Roman"/>
                <w:color w:val="000000" w:themeColor="text1"/>
                <w:szCs w:val="24"/>
                <w:highlight w:val="none"/>
                <w14:textFill>
                  <w14:solidFill>
                    <w14:schemeClr w14:val="tx1"/>
                  </w14:solidFill>
                </w14:textFill>
              </w:rPr>
              <w:t>——空气吸收引起的衰减，Aatm=a（r-r</w:t>
            </w:r>
            <w:r>
              <w:rPr>
                <w:rFonts w:hint="default" w:ascii="Times New Roman" w:hAnsi="Times New Roman" w:eastAsia="宋体" w:cs="Times New Roman"/>
                <w:color w:val="000000" w:themeColor="text1"/>
                <w:szCs w:val="24"/>
                <w:highlight w:val="none"/>
                <w:vertAlign w:val="subscript"/>
                <w14:textFill>
                  <w14:solidFill>
                    <w14:schemeClr w14:val="tx1"/>
                  </w14:solidFill>
                </w14:textFill>
              </w:rPr>
              <w:t>0</w:t>
            </w:r>
            <w:r>
              <w:rPr>
                <w:rFonts w:hint="default" w:ascii="Times New Roman" w:hAnsi="Times New Roman" w:eastAsia="宋体" w:cs="Times New Roman"/>
                <w:color w:val="000000" w:themeColor="text1"/>
                <w:szCs w:val="24"/>
                <w:highlight w:val="none"/>
                <w14:textFill>
                  <w14:solidFill>
                    <w14:schemeClr w14:val="tx1"/>
                  </w14:solidFill>
                </w14:textFill>
              </w:rPr>
              <w:t>）/1000，dB；</w:t>
            </w:r>
          </w:p>
          <w:p>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szCs w:val="24"/>
                <w:highlight w:val="none"/>
                <w14:textFill>
                  <w14:solidFill>
                    <w14:schemeClr w14:val="tx1"/>
                  </w14:solidFill>
                </w14:textFill>
              </w:rPr>
              <w:t>A</w:t>
            </w:r>
            <w:r>
              <w:rPr>
                <w:rFonts w:hint="default" w:ascii="Times New Roman" w:hAnsi="Times New Roman" w:eastAsia="宋体" w:cs="Times New Roman"/>
                <w:color w:val="000000" w:themeColor="text1"/>
                <w:szCs w:val="24"/>
                <w:highlight w:val="none"/>
                <w:vertAlign w:val="subscript"/>
                <w14:textFill>
                  <w14:solidFill>
                    <w14:schemeClr w14:val="tx1"/>
                  </w14:solidFill>
                </w14:textFill>
              </w:rPr>
              <w:t>bar</w:t>
            </w:r>
            <w:r>
              <w:rPr>
                <w:rFonts w:hint="default" w:ascii="Times New Roman" w:hAnsi="Times New Roman" w:eastAsia="宋体" w:cs="Times New Roman"/>
                <w:color w:val="000000" w:themeColor="text1"/>
                <w:szCs w:val="24"/>
                <w:highlight w:val="none"/>
                <w14:textFill>
                  <w14:solidFill>
                    <w14:schemeClr w14:val="tx1"/>
                  </w14:solidFill>
                </w14:textFill>
              </w:rPr>
              <w:t>——屏障引起的衰减，dB；</w:t>
            </w:r>
          </w:p>
          <w:p>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szCs w:val="24"/>
                <w:highlight w:val="none"/>
                <w14:textFill>
                  <w14:solidFill>
                    <w14:schemeClr w14:val="tx1"/>
                  </w14:solidFill>
                </w14:textFill>
              </w:rPr>
              <w:t>A</w:t>
            </w:r>
            <w:r>
              <w:rPr>
                <w:rFonts w:hint="default" w:ascii="Times New Roman" w:hAnsi="Times New Roman" w:eastAsia="宋体" w:cs="Times New Roman"/>
                <w:color w:val="000000" w:themeColor="text1"/>
                <w:szCs w:val="24"/>
                <w:highlight w:val="none"/>
                <w:vertAlign w:val="subscript"/>
                <w14:textFill>
                  <w14:solidFill>
                    <w14:schemeClr w14:val="tx1"/>
                  </w14:solidFill>
                </w14:textFill>
              </w:rPr>
              <w:t>gr</w:t>
            </w:r>
            <w:r>
              <w:rPr>
                <w:rFonts w:hint="default" w:ascii="Times New Roman" w:hAnsi="Times New Roman" w:eastAsia="宋体" w:cs="Times New Roman"/>
                <w:color w:val="000000" w:themeColor="text1"/>
                <w:szCs w:val="24"/>
                <w:highlight w:val="none"/>
                <w14:textFill>
                  <w14:solidFill>
                    <w14:schemeClr w14:val="tx1"/>
                  </w14:solidFill>
                </w14:textFill>
              </w:rPr>
              <w:t>——地面效应衰减，dB（计算了屏障衰减后，不再考虑地面效应衰减）；</w:t>
            </w:r>
          </w:p>
          <w:p>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szCs w:val="24"/>
                <w:highlight w:val="none"/>
                <w14:textFill>
                  <w14:solidFill>
                    <w14:schemeClr w14:val="tx1"/>
                  </w14:solidFill>
                </w14:textFill>
              </w:rPr>
              <w:t>A</w:t>
            </w:r>
            <w:r>
              <w:rPr>
                <w:rFonts w:hint="default" w:ascii="Times New Roman" w:hAnsi="Times New Roman" w:eastAsia="宋体" w:cs="Times New Roman"/>
                <w:color w:val="000000" w:themeColor="text1"/>
                <w:szCs w:val="24"/>
                <w:highlight w:val="none"/>
                <w:vertAlign w:val="subscript"/>
                <w14:textFill>
                  <w14:solidFill>
                    <w14:schemeClr w14:val="tx1"/>
                  </w14:solidFill>
                </w14:textFill>
              </w:rPr>
              <w:t>misc</w:t>
            </w:r>
            <w:r>
              <w:rPr>
                <w:rFonts w:hint="default" w:ascii="Times New Roman" w:hAnsi="Times New Roman" w:eastAsia="宋体" w:cs="Times New Roman"/>
                <w:color w:val="000000" w:themeColor="text1"/>
                <w:szCs w:val="24"/>
                <w:highlight w:val="none"/>
                <w14:textFill>
                  <w14:solidFill>
                    <w14:schemeClr w14:val="tx1"/>
                  </w14:solidFill>
                </w14:textFill>
              </w:rPr>
              <w:t>——其他多方面原因引起的衰减，dB。</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14:textFill>
                  <w14:solidFill>
                    <w14:schemeClr w14:val="tx1"/>
                  </w14:solidFill>
                </w14:textFill>
              </w:rPr>
              <w:t>）总等效声级</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根据上式计算出</w:t>
            </w:r>
            <w:r>
              <w:rPr>
                <w:rFonts w:hint="default" w:ascii="Times New Roman" w:hAnsi="Times New Roman" w:eastAsia="宋体" w:cs="Times New Roman"/>
                <w:color w:val="000000" w:themeColor="text1"/>
                <w:sz w:val="24"/>
                <w14:textFill>
                  <w14:solidFill>
                    <w14:schemeClr w14:val="tx1"/>
                  </w14:solidFill>
                </w14:textFill>
              </w:rPr>
              <w:t>所有室内声源在围护结构处产生的i倍频带叠加声压级：</w:t>
            </w:r>
          </w:p>
          <w:p>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i w:val="0"/>
                <w:iCs w:val="0"/>
                <w:color w:val="000000" w:themeColor="text1"/>
                <w:position w:val="-32"/>
                <w:sz w:val="24"/>
                <w14:textFill>
                  <w14:solidFill>
                    <w14:schemeClr w14:val="tx1"/>
                  </w14:solidFill>
                </w14:textFill>
              </w:rPr>
              <w:object>
                <v:shape id="_x0000_i1030" o:spt="75" type="#_x0000_t75" style="height:33.2pt;width:116.05pt;" o:ole="t" filled="f" o:preferrelative="t" stroked="f" coordsize="21600,21600">
                  <v:path/>
                  <v:fill on="f" focussize="0,0"/>
                  <v:stroke on="f"/>
                  <v:imagedata r:id="rId34" o:title=""/>
                  <o:lock v:ext="edit" aspectratio="t"/>
                  <w10:wrap type="none"/>
                  <w10:anchorlock/>
                </v:shape>
                <o:OLEObject Type="Embed" ProgID="Equation.3" ShapeID="_x0000_i1030" DrawAspect="Content" ObjectID="_1468075735" r:id="rId33">
                  <o:LockedField>false</o:LockedField>
                </o:OLEObject>
              </w:objec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式中：</w:t>
            </w:r>
            <w:r>
              <w:rPr>
                <w:rFonts w:hint="default" w:ascii="Times New Roman" w:hAnsi="Times New Roman" w:cs="Times New Roman"/>
                <w:i/>
                <w:iCs/>
                <w:color w:val="000000" w:themeColor="text1"/>
                <w14:textFill>
                  <w14:solidFill>
                    <w14:schemeClr w14:val="tx1"/>
                  </w14:solidFill>
                </w14:textFill>
              </w:rPr>
              <w:drawing>
                <wp:inline distT="0" distB="0" distL="114300" distR="114300">
                  <wp:extent cx="485775" cy="323850"/>
                  <wp:effectExtent l="0" t="0" r="0"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35"/>
                          <a:stretch>
                            <a:fillRect/>
                          </a:stretch>
                        </pic:blipFill>
                        <pic:spPr>
                          <a:xfrm>
                            <a:off x="0" y="0"/>
                            <a:ext cx="485775" cy="323850"/>
                          </a:xfrm>
                          <a:prstGeom prst="rect">
                            <a:avLst/>
                          </a:prstGeom>
                          <a:noFill/>
                          <a:ln>
                            <a:noFill/>
                          </a:ln>
                        </pic:spPr>
                      </pic:pic>
                    </a:graphicData>
                  </a:graphic>
                </wp:inline>
              </w:drawing>
            </w:r>
            <w:r>
              <w:rPr>
                <w:rFonts w:hint="default" w:ascii="Times New Roman" w:hAnsi="Times New Roman" w:eastAsia="宋体" w:cs="Times New Roman"/>
                <w:color w:val="000000" w:themeColor="text1"/>
                <w:sz w:val="24"/>
                <w14:textFill>
                  <w14:solidFill>
                    <w14:schemeClr w14:val="tx1"/>
                  </w14:solidFill>
                </w14:textFill>
              </w:rPr>
              <w:t>——靠近围护结构处室内N个声源i倍频带的叠加声压级，dB；</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i/>
                <w:iCs w:val="0"/>
                <w:color w:val="000000" w:themeColor="text1"/>
                <w:sz w:val="24"/>
                <w14:textFill>
                  <w14:solidFill>
                    <w14:schemeClr w14:val="tx1"/>
                  </w14:solidFill>
                </w14:textFill>
              </w:rPr>
              <w:t>L</w:t>
            </w:r>
            <w:r>
              <w:rPr>
                <w:rFonts w:hint="default" w:ascii="Times New Roman" w:hAnsi="Times New Roman" w:eastAsia="宋体" w:cs="Times New Roman"/>
                <w:i/>
                <w:iCs w:val="0"/>
                <w:color w:val="000000" w:themeColor="text1"/>
                <w:sz w:val="24"/>
                <w:vertAlign w:val="subscript"/>
                <w14:textFill>
                  <w14:solidFill>
                    <w14:schemeClr w14:val="tx1"/>
                  </w14:solidFill>
                </w14:textFill>
              </w:rPr>
              <w:t>pij</w:t>
            </w:r>
            <w:r>
              <w:rPr>
                <w:rFonts w:hint="default" w:ascii="Times New Roman" w:hAnsi="Times New Roman" w:eastAsia="宋体" w:cs="Times New Roman"/>
                <w:color w:val="000000" w:themeColor="text1"/>
                <w:sz w:val="24"/>
                <w14:textFill>
                  <w14:solidFill>
                    <w14:schemeClr w14:val="tx1"/>
                  </w14:solidFill>
                </w14:textFill>
              </w:rPr>
              <w:t>——室内j声源i倍频带的声压级，dB；</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eastAsia="宋体" w:cs="Times New Roman"/>
                <w:iCs/>
                <w:color w:val="000000" w:themeColor="text1"/>
                <w:sz w:val="24"/>
                <w:lang w:val="en-US" w:eastAsia="zh-CN"/>
                <w14:textFill>
                  <w14:solidFill>
                    <w14:schemeClr w14:val="tx1"/>
                  </w14:solidFill>
                </w14:textFill>
              </w:rPr>
              <w:t>N</w:t>
            </w:r>
            <w:r>
              <w:rPr>
                <w:rFonts w:hint="default" w:ascii="Times New Roman" w:hAnsi="Times New Roman" w:eastAsia="宋体" w:cs="Times New Roman"/>
                <w:color w:val="000000" w:themeColor="text1"/>
                <w:sz w:val="24"/>
                <w14:textFill>
                  <w14:solidFill>
                    <w14:schemeClr w14:val="tx1"/>
                  </w14:solidFill>
                </w14:textFill>
              </w:rPr>
              <w:t>——室内声源总数。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5）预测结果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本次评价预测项目厂界外4个点以及200m范围内敏感点噪声预测值，预测因子为等效连续A声级Leq（A）。预测结果见表4-14。</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表4-</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14</w:t>
            </w:r>
            <w:r>
              <w:rPr>
                <w:rFonts w:hint="default" w:ascii="Times New Roman" w:hAnsi="Times New Roman" w:eastAsia="宋体" w:cs="Times New Roman"/>
                <w:b/>
                <w:bCs/>
                <w:color w:val="000000" w:themeColor="text1"/>
                <w:sz w:val="24"/>
                <w:szCs w:val="24"/>
                <w14:textFill>
                  <w14:solidFill>
                    <w14:schemeClr w14:val="tx1"/>
                  </w14:solidFill>
                </w14:textFill>
              </w:rPr>
              <w:t xml:space="preserve">  各预测点的预测结果</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14:textFill>
                  <w14:solidFill>
                    <w14:schemeClr w14:val="tx1"/>
                  </w14:solidFill>
                </w14:textFill>
              </w:rPr>
              <w:t>等效声级Leq[dB(A)]</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1621"/>
              <w:gridCol w:w="1352"/>
              <w:gridCol w:w="1116"/>
              <w:gridCol w:w="976"/>
              <w:gridCol w:w="1022"/>
              <w:gridCol w:w="1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54" w:type="pct"/>
                  <w:vMerge w:val="restart"/>
                  <w:vAlign w:val="center"/>
                </w:tcPr>
                <w:p>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序号</w:t>
                  </w:r>
                </w:p>
              </w:tc>
              <w:tc>
                <w:tcPr>
                  <w:tcW w:w="996" w:type="pct"/>
                  <w:vMerge w:val="restart"/>
                  <w:vAlign w:val="center"/>
                </w:tcPr>
                <w:p>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预测点</w:t>
                  </w:r>
                </w:p>
              </w:tc>
              <w:tc>
                <w:tcPr>
                  <w:tcW w:w="1517" w:type="pct"/>
                  <w:gridSpan w:val="2"/>
                  <w:vAlign w:val="center"/>
                </w:tcPr>
                <w:p>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预测值</w:t>
                  </w:r>
                </w:p>
              </w:tc>
              <w:tc>
                <w:tcPr>
                  <w:tcW w:w="1228" w:type="pct"/>
                  <w:gridSpan w:val="2"/>
                  <w:vAlign w:val="center"/>
                </w:tcPr>
                <w:p>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标准值</w:t>
                  </w:r>
                </w:p>
              </w:tc>
              <w:tc>
                <w:tcPr>
                  <w:tcW w:w="705" w:type="pct"/>
                  <w:vMerge w:val="restart"/>
                  <w:vAlign w:val="center"/>
                </w:tcPr>
                <w:p>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54" w:type="pct"/>
                  <w:vMerge w:val="continue"/>
                  <w:vAlign w:val="center"/>
                </w:tcPr>
                <w:p>
                  <w:pPr>
                    <w:jc w:val="center"/>
                    <w:rPr>
                      <w:rFonts w:hint="default" w:ascii="Times New Roman" w:hAnsi="Times New Roman" w:cs="Times New Roman"/>
                      <w:b w:val="0"/>
                      <w:bCs w:val="0"/>
                      <w:color w:val="000000" w:themeColor="text1"/>
                      <w:szCs w:val="21"/>
                      <w14:textFill>
                        <w14:solidFill>
                          <w14:schemeClr w14:val="tx1"/>
                        </w14:solidFill>
                      </w14:textFill>
                    </w:rPr>
                  </w:pPr>
                </w:p>
              </w:tc>
              <w:tc>
                <w:tcPr>
                  <w:tcW w:w="996" w:type="pct"/>
                  <w:vMerge w:val="continue"/>
                  <w:vAlign w:val="center"/>
                </w:tcPr>
                <w:p>
                  <w:pPr>
                    <w:jc w:val="center"/>
                    <w:rPr>
                      <w:rFonts w:hint="default" w:ascii="Times New Roman" w:hAnsi="Times New Roman" w:cs="Times New Roman"/>
                      <w:b w:val="0"/>
                      <w:bCs w:val="0"/>
                      <w:color w:val="000000" w:themeColor="text1"/>
                      <w:szCs w:val="21"/>
                      <w14:textFill>
                        <w14:solidFill>
                          <w14:schemeClr w14:val="tx1"/>
                        </w14:solidFill>
                      </w14:textFill>
                    </w:rPr>
                  </w:pPr>
                </w:p>
              </w:tc>
              <w:tc>
                <w:tcPr>
                  <w:tcW w:w="831" w:type="pct"/>
                  <w:vAlign w:val="center"/>
                </w:tcPr>
                <w:p>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昼间</w:t>
                  </w:r>
                </w:p>
              </w:tc>
              <w:tc>
                <w:tcPr>
                  <w:tcW w:w="686" w:type="pct"/>
                </w:tcPr>
                <w:p>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夜间</w:t>
                  </w:r>
                </w:p>
              </w:tc>
              <w:tc>
                <w:tcPr>
                  <w:tcW w:w="600" w:type="pct"/>
                  <w:vAlign w:val="center"/>
                </w:tcPr>
                <w:p>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昼间</w:t>
                  </w:r>
                </w:p>
              </w:tc>
              <w:tc>
                <w:tcPr>
                  <w:tcW w:w="628" w:type="pct"/>
                  <w:vAlign w:val="center"/>
                </w:tcPr>
                <w:p>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夜间</w:t>
                  </w:r>
                </w:p>
              </w:tc>
              <w:tc>
                <w:tcPr>
                  <w:tcW w:w="705" w:type="pct"/>
                  <w:vMerge w:val="continue"/>
                  <w:vAlign w:val="center"/>
                </w:tcPr>
                <w:p>
                  <w:pPr>
                    <w:jc w:val="center"/>
                    <w:rPr>
                      <w:rFonts w:hint="default" w:ascii="Times New Roman" w:hAnsi="Times New Roman" w:cs="Times New Roman"/>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4" w:type="pct"/>
                  <w:vAlign w:val="center"/>
                </w:tcPr>
                <w:p>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1</w:t>
                  </w:r>
                </w:p>
              </w:tc>
              <w:tc>
                <w:tcPr>
                  <w:tcW w:w="996" w:type="pct"/>
                  <w:vAlign w:val="center"/>
                </w:tcPr>
                <w:p>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东厂界</w:t>
                  </w:r>
                </w:p>
              </w:tc>
              <w:tc>
                <w:tcPr>
                  <w:tcW w:w="831"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42</w:t>
                  </w:r>
                </w:p>
              </w:tc>
              <w:tc>
                <w:tcPr>
                  <w:tcW w:w="686" w:type="pct"/>
                  <w:vAlign w:val="center"/>
                </w:tcPr>
                <w:p>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42</w:t>
                  </w:r>
                </w:p>
              </w:tc>
              <w:tc>
                <w:tcPr>
                  <w:tcW w:w="600" w:type="pct"/>
                  <w:vAlign w:val="center"/>
                </w:tcPr>
                <w:p>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60</w:t>
                  </w:r>
                </w:p>
              </w:tc>
              <w:tc>
                <w:tcPr>
                  <w:tcW w:w="628" w:type="pct"/>
                  <w:vAlign w:val="center"/>
                </w:tcPr>
                <w:p>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50</w:t>
                  </w:r>
                </w:p>
              </w:tc>
              <w:tc>
                <w:tcPr>
                  <w:tcW w:w="705" w:type="pct"/>
                  <w:vAlign w:val="center"/>
                </w:tcPr>
                <w:p>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554" w:type="pct"/>
                  <w:vAlign w:val="center"/>
                </w:tcPr>
                <w:p>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2</w:t>
                  </w:r>
                </w:p>
              </w:tc>
              <w:tc>
                <w:tcPr>
                  <w:tcW w:w="996" w:type="pct"/>
                  <w:vAlign w:val="center"/>
                </w:tcPr>
                <w:p>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南厂界</w:t>
                  </w:r>
                </w:p>
              </w:tc>
              <w:tc>
                <w:tcPr>
                  <w:tcW w:w="831" w:type="pct"/>
                  <w:vAlign w:val="center"/>
                </w:tcPr>
                <w:p>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39</w:t>
                  </w:r>
                </w:p>
              </w:tc>
              <w:tc>
                <w:tcPr>
                  <w:tcW w:w="686" w:type="pct"/>
                  <w:vAlign w:val="center"/>
                </w:tcPr>
                <w:p>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39</w:t>
                  </w:r>
                </w:p>
              </w:tc>
              <w:tc>
                <w:tcPr>
                  <w:tcW w:w="600"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60</w:t>
                  </w:r>
                </w:p>
              </w:tc>
              <w:tc>
                <w:tcPr>
                  <w:tcW w:w="62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50</w:t>
                  </w:r>
                </w:p>
              </w:tc>
              <w:tc>
                <w:tcPr>
                  <w:tcW w:w="705" w:type="pct"/>
                  <w:vAlign w:val="center"/>
                </w:tcPr>
                <w:p>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554" w:type="pct"/>
                  <w:vAlign w:val="center"/>
                </w:tcPr>
                <w:p>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3</w:t>
                  </w:r>
                </w:p>
              </w:tc>
              <w:tc>
                <w:tcPr>
                  <w:tcW w:w="996" w:type="pct"/>
                  <w:vAlign w:val="center"/>
                </w:tcPr>
                <w:p>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西厂界</w:t>
                  </w:r>
                </w:p>
              </w:tc>
              <w:tc>
                <w:tcPr>
                  <w:tcW w:w="831" w:type="pct"/>
                  <w:vAlign w:val="center"/>
                </w:tcPr>
                <w:p>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31</w:t>
                  </w:r>
                </w:p>
              </w:tc>
              <w:tc>
                <w:tcPr>
                  <w:tcW w:w="686" w:type="pct"/>
                  <w:vAlign w:val="center"/>
                </w:tcPr>
                <w:p>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31</w:t>
                  </w:r>
                </w:p>
              </w:tc>
              <w:tc>
                <w:tcPr>
                  <w:tcW w:w="600"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60</w:t>
                  </w:r>
                </w:p>
              </w:tc>
              <w:tc>
                <w:tcPr>
                  <w:tcW w:w="62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50</w:t>
                  </w:r>
                </w:p>
              </w:tc>
              <w:tc>
                <w:tcPr>
                  <w:tcW w:w="705" w:type="pct"/>
                  <w:vAlign w:val="center"/>
                </w:tcPr>
                <w:p>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554" w:type="pct"/>
                  <w:vAlign w:val="center"/>
                </w:tcPr>
                <w:p>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4</w:t>
                  </w:r>
                </w:p>
              </w:tc>
              <w:tc>
                <w:tcPr>
                  <w:tcW w:w="996" w:type="pct"/>
                  <w:vAlign w:val="center"/>
                </w:tcPr>
                <w:p>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北厂界</w:t>
                  </w:r>
                </w:p>
              </w:tc>
              <w:tc>
                <w:tcPr>
                  <w:tcW w:w="831" w:type="pct"/>
                  <w:vAlign w:val="center"/>
                </w:tcPr>
                <w:p>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49</w:t>
                  </w:r>
                </w:p>
              </w:tc>
              <w:tc>
                <w:tcPr>
                  <w:tcW w:w="686" w:type="pct"/>
                  <w:vAlign w:val="center"/>
                </w:tcPr>
                <w:p>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49</w:t>
                  </w:r>
                </w:p>
              </w:tc>
              <w:tc>
                <w:tcPr>
                  <w:tcW w:w="600"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60</w:t>
                  </w:r>
                </w:p>
              </w:tc>
              <w:tc>
                <w:tcPr>
                  <w:tcW w:w="62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50</w:t>
                  </w:r>
                </w:p>
              </w:tc>
              <w:tc>
                <w:tcPr>
                  <w:tcW w:w="705" w:type="pct"/>
                  <w:vAlign w:val="center"/>
                </w:tcPr>
                <w:p>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554" w:type="pct"/>
                  <w:vAlign w:val="center"/>
                </w:tcPr>
                <w:p>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5</w:t>
                  </w:r>
                </w:p>
              </w:tc>
              <w:tc>
                <w:tcPr>
                  <w:tcW w:w="996" w:type="pct"/>
                  <w:vAlign w:val="center"/>
                </w:tcPr>
                <w:p>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王马咀村</w:t>
                  </w:r>
                </w:p>
              </w:tc>
              <w:tc>
                <w:tcPr>
                  <w:tcW w:w="831" w:type="pct"/>
                  <w:vAlign w:val="center"/>
                </w:tcPr>
                <w:p>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27</w:t>
                  </w:r>
                </w:p>
              </w:tc>
              <w:tc>
                <w:tcPr>
                  <w:tcW w:w="686" w:type="pct"/>
                  <w:vAlign w:val="center"/>
                </w:tcPr>
                <w:p>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27</w:t>
                  </w:r>
                </w:p>
              </w:tc>
              <w:tc>
                <w:tcPr>
                  <w:tcW w:w="600"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60</w:t>
                  </w:r>
                </w:p>
              </w:tc>
              <w:tc>
                <w:tcPr>
                  <w:tcW w:w="628" w:type="pct"/>
                  <w:vAlign w:val="center"/>
                </w:tcPr>
                <w:p>
                  <w:pPr>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50</w:t>
                  </w:r>
                </w:p>
              </w:tc>
              <w:tc>
                <w:tcPr>
                  <w:tcW w:w="705" w:type="pct"/>
                  <w:vAlign w:val="center"/>
                </w:tcPr>
                <w:p>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val="0"/>
                <w:color w:val="000000" w:themeColor="text1"/>
                <w:kern w:val="0"/>
                <w:sz w:val="24"/>
                <w:lang w:val="zh-CN"/>
                <w14:textFill>
                  <w14:solidFill>
                    <w14:schemeClr w14:val="tx1"/>
                  </w14:solidFill>
                </w14:textFill>
              </w:rPr>
            </w:pPr>
            <w:r>
              <w:rPr>
                <w:rFonts w:hint="default" w:ascii="Times New Roman" w:hAnsi="Times New Roman" w:eastAsia="宋体" w:cs="Times New Roman"/>
                <w:b w:val="0"/>
                <w:bCs w:val="0"/>
                <w:color w:val="000000" w:themeColor="text1"/>
                <w:kern w:val="0"/>
                <w:sz w:val="24"/>
                <w:lang w:val="zh-CN"/>
                <w14:textFill>
                  <w14:solidFill>
                    <w14:schemeClr w14:val="tx1"/>
                  </w14:solidFill>
                </w14:textFill>
              </w:rPr>
              <w:t>根据以上预测结果可知，本项目建成投产后，项目四周厂界昼夜间杂讯排放能够达到《工业企业厂界环境噪声排放标准》（GB12348-2008）中的</w:t>
            </w:r>
            <w:r>
              <w:rPr>
                <w:rFonts w:hint="default" w:ascii="Times New Roman" w:hAnsi="Times New Roman" w:eastAsia="宋体" w:cs="Times New Roman"/>
                <w:b w:val="0"/>
                <w:bCs w:val="0"/>
                <w:color w:val="000000" w:themeColor="text1"/>
                <w:kern w:val="0"/>
                <w:sz w:val="24"/>
                <w14:textFill>
                  <w14:solidFill>
                    <w14:schemeClr w14:val="tx1"/>
                  </w14:solidFill>
                </w14:textFill>
              </w:rPr>
              <w:t>2</w:t>
            </w:r>
            <w:r>
              <w:rPr>
                <w:rFonts w:hint="default" w:ascii="Times New Roman" w:hAnsi="Times New Roman" w:eastAsia="宋体" w:cs="Times New Roman"/>
                <w:b w:val="0"/>
                <w:bCs w:val="0"/>
                <w:color w:val="000000" w:themeColor="text1"/>
                <w:kern w:val="0"/>
                <w:sz w:val="24"/>
                <w:lang w:val="zh-CN"/>
                <w14:textFill>
                  <w14:solidFill>
                    <w14:schemeClr w14:val="tx1"/>
                  </w14:solidFill>
                </w14:textFill>
              </w:rPr>
              <w:t>类标准。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val="0"/>
                <w:color w:val="000000" w:themeColor="text1"/>
                <w:kern w:val="0"/>
                <w:sz w:val="24"/>
                <w:lang w:val="zh-CN"/>
                <w14:textFill>
                  <w14:solidFill>
                    <w14:schemeClr w14:val="tx1"/>
                  </w14:solidFill>
                </w14:textFill>
              </w:rPr>
            </w:pPr>
            <w:r>
              <w:rPr>
                <w:rFonts w:hint="default" w:ascii="Times New Roman" w:hAnsi="Times New Roman" w:eastAsia="宋体" w:cs="Times New Roman"/>
                <w:b w:val="0"/>
                <w:bCs w:val="0"/>
                <w:color w:val="000000" w:themeColor="text1"/>
                <w:kern w:val="0"/>
                <w:sz w:val="24"/>
                <w:lang w:val="zh-CN"/>
                <w14:textFill>
                  <w14:solidFill>
                    <w14:schemeClr w14:val="tx1"/>
                  </w14:solidFill>
                </w14:textFill>
              </w:rPr>
              <w:t>因此，本项目对生产过程中产生的噪声通过基础</w:t>
            </w:r>
            <w:r>
              <w:rPr>
                <w:rFonts w:hint="eastAsia" w:cs="Times New Roman"/>
                <w:b w:val="0"/>
                <w:bCs w:val="0"/>
                <w:color w:val="000000" w:themeColor="text1"/>
                <w:kern w:val="0"/>
                <w:sz w:val="24"/>
                <w:lang w:val="zh-CN"/>
                <w14:textFill>
                  <w14:solidFill>
                    <w14:schemeClr w14:val="tx1"/>
                  </w14:solidFill>
                </w14:textFill>
              </w:rPr>
              <w:t>减振</w:t>
            </w:r>
            <w:r>
              <w:rPr>
                <w:rFonts w:hint="default" w:ascii="Times New Roman" w:hAnsi="Times New Roman" w:eastAsia="宋体" w:cs="Times New Roman"/>
                <w:b w:val="0"/>
                <w:bCs w:val="0"/>
                <w:color w:val="000000" w:themeColor="text1"/>
                <w:kern w:val="0"/>
                <w:sz w:val="24"/>
                <w:lang w:val="zh-CN"/>
                <w14:textFill>
                  <w14:solidFill>
                    <w14:schemeClr w14:val="tx1"/>
                  </w14:solidFill>
                </w14:textFill>
              </w:rPr>
              <w:t>和建筑隔声等降噪措施处理后对外环境贡献值较小，当地声环境质量可维持相应功能区水平。</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000000" w:themeColor="text1"/>
                <w:kern w:val="0"/>
                <w:sz w:val="24"/>
                <w:szCs w:val="20"/>
                <w:lang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0"/>
                <w:lang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0"/>
                <w:lang w:val="en-US" w:eastAsia="zh-CN" w:bidi="ar"/>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0"/>
                <w:lang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lang w:bidi="ar"/>
                <w14:textFill>
                  <w14:solidFill>
                    <w14:schemeClr w14:val="tx1"/>
                  </w14:solidFill>
                </w14:textFill>
              </w:rPr>
              <w:t>噪声保护措施</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b w:val="0"/>
                <w:bCs w:val="0"/>
                <w:color w:val="000000" w:themeColor="text1"/>
                <w:kern w:val="0"/>
                <w:sz w:val="24"/>
                <w:szCs w:val="20"/>
                <w:lang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0"/>
                <w:lang w:val="en-US" w:eastAsia="zh-CN" w:bidi="ar"/>
                <w14:textFill>
                  <w14:solidFill>
                    <w14:schemeClr w14:val="tx1"/>
                  </w14:solidFill>
                </w14:textFill>
              </w:rPr>
              <w:t>本</w:t>
            </w:r>
            <w:r>
              <w:rPr>
                <w:rFonts w:hint="default" w:ascii="Times New Roman" w:hAnsi="Times New Roman" w:eastAsia="宋体" w:cs="Times New Roman"/>
                <w:b w:val="0"/>
                <w:bCs w:val="0"/>
                <w:color w:val="000000" w:themeColor="text1"/>
                <w:kern w:val="0"/>
                <w:sz w:val="24"/>
                <w:szCs w:val="20"/>
                <w:lang w:bidi="ar"/>
                <w14:textFill>
                  <w14:solidFill>
                    <w14:schemeClr w14:val="tx1"/>
                  </w14:solidFill>
                </w14:textFill>
              </w:rPr>
              <w:t>项目噪声采取措施如下：</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b w:val="0"/>
                <w:bCs w:val="0"/>
                <w:color w:val="000000" w:themeColor="text1"/>
                <w:sz w:val="24"/>
                <w14:textFill>
                  <w14:solidFill>
                    <w14:schemeClr w14:val="tx1"/>
                  </w14:solidFill>
                </w14:textFill>
              </w:rPr>
            </w:pPr>
            <w:r>
              <w:rPr>
                <w:rFonts w:hint="eastAsia" w:cs="Times New Roman"/>
                <w:b w:val="0"/>
                <w:bCs w:val="0"/>
                <w:color w:val="000000" w:themeColor="text1"/>
                <w:sz w:val="24"/>
                <w:lang w:eastAsia="zh-CN"/>
                <w14:textFill>
                  <w14:solidFill>
                    <w14:schemeClr w14:val="tx1"/>
                  </w14:solidFill>
                </w14:textFill>
              </w:rPr>
              <w:t>（</w:t>
            </w:r>
            <w:r>
              <w:rPr>
                <w:rFonts w:hint="eastAsia" w:cs="Times New Roman"/>
                <w:b w:val="0"/>
                <w:bCs w:val="0"/>
                <w:color w:val="000000" w:themeColor="text1"/>
                <w:sz w:val="24"/>
                <w:lang w:val="en-US" w:eastAsia="zh-CN"/>
                <w14:textFill>
                  <w14:solidFill>
                    <w14:schemeClr w14:val="tx1"/>
                  </w14:solidFill>
                </w14:textFill>
              </w:rPr>
              <w:t>1</w:t>
            </w:r>
            <w:r>
              <w:rPr>
                <w:rFonts w:hint="eastAsia"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尽量选用低噪声设备，安装</w:t>
            </w:r>
            <w:r>
              <w:rPr>
                <w:rFonts w:hint="eastAsia" w:cs="Times New Roman"/>
                <w:b w:val="0"/>
                <w:bCs w:val="0"/>
                <w:color w:val="000000" w:themeColor="text1"/>
                <w:sz w:val="24"/>
                <w:lang w:eastAsia="zh-CN"/>
                <w14:textFill>
                  <w14:solidFill>
                    <w14:schemeClr w14:val="tx1"/>
                  </w14:solidFill>
                </w14:textFill>
              </w:rPr>
              <w:t>减振</w:t>
            </w:r>
            <w:r>
              <w:rPr>
                <w:rFonts w:hint="default" w:ascii="Times New Roman" w:hAnsi="Times New Roman" w:eastAsia="宋体" w:cs="Times New Roman"/>
                <w:b w:val="0"/>
                <w:bCs w:val="0"/>
                <w:color w:val="000000" w:themeColor="text1"/>
                <w:sz w:val="24"/>
                <w14:textFill>
                  <w14:solidFill>
                    <w14:schemeClr w14:val="tx1"/>
                  </w14:solidFill>
                </w14:textFill>
              </w:rPr>
              <w:t>座垫。</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b w:val="0"/>
                <w:bCs w:val="0"/>
                <w:color w:val="000000" w:themeColor="text1"/>
                <w:sz w:val="24"/>
                <w14:textFill>
                  <w14:solidFill>
                    <w14:schemeClr w14:val="tx1"/>
                  </w14:solidFill>
                </w14:textFill>
              </w:rPr>
            </w:pPr>
            <w:r>
              <w:rPr>
                <w:rFonts w:hint="eastAsia" w:cs="Times New Roman"/>
                <w:b w:val="0"/>
                <w:bCs w:val="0"/>
                <w:color w:val="000000" w:themeColor="text1"/>
                <w:sz w:val="24"/>
                <w:lang w:eastAsia="zh-CN"/>
                <w14:textFill>
                  <w14:solidFill>
                    <w14:schemeClr w14:val="tx1"/>
                  </w14:solidFill>
                </w14:textFill>
              </w:rPr>
              <w:t>（</w:t>
            </w:r>
            <w:r>
              <w:rPr>
                <w:rFonts w:hint="eastAsia" w:cs="Times New Roman"/>
                <w:b w:val="0"/>
                <w:bCs w:val="0"/>
                <w:color w:val="000000" w:themeColor="text1"/>
                <w:sz w:val="24"/>
                <w:lang w:val="en-US" w:eastAsia="zh-CN"/>
                <w14:textFill>
                  <w14:solidFill>
                    <w14:schemeClr w14:val="tx1"/>
                  </w14:solidFill>
                </w14:textFill>
              </w:rPr>
              <w:t>2</w:t>
            </w:r>
            <w:r>
              <w:rPr>
                <w:rFonts w:hint="eastAsia"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采用“闹静分开”和“合理布置”的设计原则，使高噪声设备尽可能远离噪声敏感区。把水厂原水加压泵站设备运行的噪声影响限制在厂区范围内，降低噪声对外界的影响，确保厂界噪声符合标准要求。</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b w:val="0"/>
                <w:bCs w:val="0"/>
                <w:color w:val="000000" w:themeColor="text1"/>
                <w:sz w:val="24"/>
                <w14:textFill>
                  <w14:solidFill>
                    <w14:schemeClr w14:val="tx1"/>
                  </w14:solidFill>
                </w14:textFill>
              </w:rPr>
            </w:pPr>
            <w:r>
              <w:rPr>
                <w:rFonts w:hint="eastAsia" w:cs="Times New Roman"/>
                <w:b w:val="0"/>
                <w:bCs w:val="0"/>
                <w:color w:val="000000" w:themeColor="text1"/>
                <w:sz w:val="24"/>
                <w:lang w:eastAsia="zh-CN"/>
                <w14:textFill>
                  <w14:solidFill>
                    <w14:schemeClr w14:val="tx1"/>
                  </w14:solidFill>
                </w14:textFill>
              </w:rPr>
              <w:t>（</w:t>
            </w:r>
            <w:r>
              <w:rPr>
                <w:rFonts w:hint="eastAsia" w:cs="Times New Roman"/>
                <w:b w:val="0"/>
                <w:bCs w:val="0"/>
                <w:color w:val="000000" w:themeColor="text1"/>
                <w:sz w:val="24"/>
                <w:lang w:val="en-US" w:eastAsia="zh-CN"/>
                <w14:textFill>
                  <w14:solidFill>
                    <w14:schemeClr w14:val="tx1"/>
                  </w14:solidFill>
                </w14:textFill>
              </w:rPr>
              <w:t>3</w:t>
            </w:r>
            <w:r>
              <w:rPr>
                <w:rFonts w:hint="eastAsia"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设备用房采取减振、隔音等措施。</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b w:val="0"/>
                <w:bCs w:val="0"/>
                <w:color w:val="000000" w:themeColor="text1"/>
                <w:sz w:val="24"/>
                <w14:textFill>
                  <w14:solidFill>
                    <w14:schemeClr w14:val="tx1"/>
                  </w14:solidFill>
                </w14:textFill>
              </w:rPr>
            </w:pPr>
            <w:r>
              <w:rPr>
                <w:rFonts w:hint="eastAsia" w:cs="Times New Roman"/>
                <w:b w:val="0"/>
                <w:bCs w:val="0"/>
                <w:color w:val="000000" w:themeColor="text1"/>
                <w:sz w:val="24"/>
                <w:lang w:eastAsia="zh-CN"/>
                <w14:textFill>
                  <w14:solidFill>
                    <w14:schemeClr w14:val="tx1"/>
                  </w14:solidFill>
                </w14:textFill>
              </w:rPr>
              <w:t>（</w:t>
            </w:r>
            <w:r>
              <w:rPr>
                <w:rFonts w:hint="eastAsia" w:cs="Times New Roman"/>
                <w:b w:val="0"/>
                <w:bCs w:val="0"/>
                <w:color w:val="000000" w:themeColor="text1"/>
                <w:sz w:val="24"/>
                <w:lang w:val="en-US" w:eastAsia="zh-CN"/>
                <w14:textFill>
                  <w14:solidFill>
                    <w14:schemeClr w14:val="tx1"/>
                  </w14:solidFill>
                </w14:textFill>
              </w:rPr>
              <w:t>4</w:t>
            </w:r>
            <w:r>
              <w:rPr>
                <w:rFonts w:hint="eastAsia"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风机的进、出气口设阻抗复合式消声器。风机安装减振底座，管道、阀门界面采用缓动及减振的挠性接头（口）。挠性接头（口）可有效地阻断噪音并防止震动的传播。</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b w:val="0"/>
                <w:bCs w:val="0"/>
                <w:color w:val="000000" w:themeColor="text1"/>
                <w:sz w:val="24"/>
                <w14:textFill>
                  <w14:solidFill>
                    <w14:schemeClr w14:val="tx1"/>
                  </w14:solidFill>
                </w14:textFill>
              </w:rPr>
            </w:pPr>
            <w:r>
              <w:rPr>
                <w:rFonts w:hint="eastAsia" w:cs="Times New Roman"/>
                <w:b w:val="0"/>
                <w:bCs w:val="0"/>
                <w:color w:val="000000" w:themeColor="text1"/>
                <w:sz w:val="24"/>
                <w:lang w:eastAsia="zh-CN"/>
                <w14:textFill>
                  <w14:solidFill>
                    <w14:schemeClr w14:val="tx1"/>
                  </w14:solidFill>
                </w14:textFill>
              </w:rPr>
              <w:t>（</w:t>
            </w:r>
            <w:r>
              <w:rPr>
                <w:rFonts w:hint="eastAsia" w:cs="Times New Roman"/>
                <w:b w:val="0"/>
                <w:bCs w:val="0"/>
                <w:color w:val="000000" w:themeColor="text1"/>
                <w:sz w:val="24"/>
                <w:lang w:val="en-US" w:eastAsia="zh-CN"/>
                <w14:textFill>
                  <w14:solidFill>
                    <w14:schemeClr w14:val="tx1"/>
                  </w14:solidFill>
                </w14:textFill>
              </w:rPr>
              <w:t>5</w:t>
            </w:r>
            <w:r>
              <w:rPr>
                <w:rFonts w:hint="eastAsia"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泵房工作时应关闭门窗，泵房内采用隔音、吸引材料装饰墙体，确保厂界噪声满足标准要求。</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b w:val="0"/>
                <w:bCs w:val="0"/>
                <w:color w:val="000000" w:themeColor="text1"/>
                <w:sz w:val="24"/>
                <w14:textFill>
                  <w14:solidFill>
                    <w14:schemeClr w14:val="tx1"/>
                  </w14:solidFill>
                </w14:textFill>
              </w:rPr>
            </w:pPr>
            <w:r>
              <w:rPr>
                <w:rFonts w:hint="eastAsia" w:cs="Times New Roman"/>
                <w:b w:val="0"/>
                <w:bCs w:val="0"/>
                <w:color w:val="000000" w:themeColor="text1"/>
                <w:sz w:val="24"/>
                <w:lang w:eastAsia="zh-CN"/>
                <w14:textFill>
                  <w14:solidFill>
                    <w14:schemeClr w14:val="tx1"/>
                  </w14:solidFill>
                </w14:textFill>
              </w:rPr>
              <w:t>（</w:t>
            </w:r>
            <w:r>
              <w:rPr>
                <w:rFonts w:hint="eastAsia" w:cs="Times New Roman"/>
                <w:b w:val="0"/>
                <w:bCs w:val="0"/>
                <w:color w:val="000000" w:themeColor="text1"/>
                <w:sz w:val="24"/>
                <w:lang w:val="en-US" w:eastAsia="zh-CN"/>
                <w14:textFill>
                  <w14:solidFill>
                    <w14:schemeClr w14:val="tx1"/>
                  </w14:solidFill>
                </w14:textFill>
              </w:rPr>
              <w:t>6</w:t>
            </w:r>
            <w:r>
              <w:rPr>
                <w:rFonts w:hint="eastAsia"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在厂区周围种植绿化树种，增减噪声衰减量。</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采取以上措施后，厂界噪声可达到相应标准要求。因此，本项目的噪声治理措施是可行的</w:t>
            </w:r>
            <w:r>
              <w:rPr>
                <w:rFonts w:hint="default" w:ascii="Times New Roman" w:hAnsi="Times New Roman" w:eastAsia="宋体" w:cs="Times New Roman"/>
                <w:b w:val="0"/>
                <w:bCs w:val="0"/>
                <w:color w:val="000000" w:themeColor="text1"/>
                <w14:textFill>
                  <w14:solidFill>
                    <w14:schemeClr w14:val="tx1"/>
                  </w14:solidFill>
                </w14:textFill>
              </w:rPr>
              <w:t>。</w:t>
            </w:r>
          </w:p>
          <w:p>
            <w:pPr>
              <w:pStyle w:val="27"/>
              <w:rPr>
                <w:rFonts w:hint="default" w:ascii="Times New Roman" w:hAnsi="Times New Roman" w:eastAsia="宋体" w:cs="Times New Roman"/>
                <w:b w:val="0"/>
                <w:bCs w:val="0"/>
                <w:color w:val="000000" w:themeColor="text1"/>
                <w14:textFill>
                  <w14:solidFill>
                    <w14:schemeClr w14:val="tx1"/>
                  </w14:solidFill>
                </w14:textFill>
              </w:rPr>
            </w:pPr>
          </w:p>
          <w:p>
            <w:pPr>
              <w:pStyle w:val="4"/>
              <w:rPr>
                <w:rFonts w:hint="default" w:ascii="Times New Roman" w:hAnsi="Times New Roman" w:eastAsia="宋体" w:cs="Times New Roman"/>
                <w:b w:val="0"/>
                <w:bCs w:val="0"/>
                <w:color w:val="000000" w:themeColor="text1"/>
                <w14:textFill>
                  <w14:solidFill>
                    <w14:schemeClr w14:val="tx1"/>
                  </w14:solidFill>
                </w14:textFill>
              </w:rPr>
            </w:pPr>
          </w:p>
          <w:p>
            <w:pPr>
              <w:pStyle w:val="4"/>
              <w:rPr>
                <w:rFonts w:hint="default" w:ascii="Times New Roman" w:hAnsi="Times New Roman" w:eastAsia="宋体" w:cs="Times New Roman"/>
                <w:b w:val="0"/>
                <w:bCs w:val="0"/>
                <w:color w:val="000000" w:themeColor="text1"/>
                <w14:textFill>
                  <w14:solidFill>
                    <w14:schemeClr w14:val="tx1"/>
                  </w14:solidFill>
                </w14:textFill>
              </w:rPr>
            </w:pPr>
          </w:p>
          <w:p>
            <w:pPr>
              <w:pStyle w:val="4"/>
              <w:rPr>
                <w:rFonts w:hint="default" w:ascii="Times New Roman" w:hAnsi="Times New Roman" w:eastAsia="宋体" w:cs="Times New Roman"/>
                <w:b w:val="0"/>
                <w:bCs w:val="0"/>
                <w:color w:val="000000" w:themeColor="text1"/>
                <w14:textFill>
                  <w14:solidFill>
                    <w14:schemeClr w14:val="tx1"/>
                  </w14:solidFill>
                </w14:textFill>
              </w:rPr>
            </w:pPr>
          </w:p>
          <w:p>
            <w:pPr>
              <w:pStyle w:val="4"/>
              <w:rPr>
                <w:rFonts w:hint="default" w:ascii="Times New Roman" w:hAnsi="Times New Roman" w:eastAsia="宋体" w:cs="Times New Roman"/>
                <w:b w:val="0"/>
                <w:bCs w:val="0"/>
                <w:color w:val="000000" w:themeColor="text1"/>
                <w14:textFill>
                  <w14:solidFill>
                    <w14:schemeClr w14:val="tx1"/>
                  </w14:solidFill>
                </w14:textFill>
              </w:rPr>
            </w:pPr>
          </w:p>
          <w:p>
            <w:pPr>
              <w:pStyle w:val="4"/>
              <w:rPr>
                <w:rFonts w:hint="default" w:ascii="Times New Roman" w:hAnsi="Times New Roman" w:eastAsia="宋体" w:cs="Times New Roman"/>
                <w:b w:val="0"/>
                <w:bCs w:val="0"/>
                <w:color w:val="000000" w:themeColor="text1"/>
                <w14:textFill>
                  <w14:solidFill>
                    <w14:schemeClr w14:val="tx1"/>
                  </w14:solidFill>
                </w14:textFill>
              </w:rPr>
            </w:pPr>
          </w:p>
          <w:p>
            <w:pPr>
              <w:pStyle w:val="4"/>
              <w:rPr>
                <w:rFonts w:hint="default" w:ascii="Times New Roman" w:hAnsi="Times New Roman" w:eastAsia="宋体" w:cs="Times New Roman"/>
                <w:b w:val="0"/>
                <w:bCs w:val="0"/>
                <w:color w:val="000000" w:themeColor="text1"/>
                <w14:textFill>
                  <w14:solidFill>
                    <w14:schemeClr w14:val="tx1"/>
                  </w14:solidFill>
                </w14:textFill>
              </w:rPr>
            </w:pPr>
          </w:p>
          <w:p>
            <w:pPr>
              <w:pStyle w:val="4"/>
              <w:rPr>
                <w:rFonts w:hint="default" w:ascii="Times New Roman" w:hAnsi="Times New Roman" w:eastAsia="宋体" w:cs="Times New Roman"/>
                <w:b w:val="0"/>
                <w:bCs w:val="0"/>
                <w:color w:val="000000" w:themeColor="text1"/>
                <w14:textFill>
                  <w14:solidFill>
                    <w14:schemeClr w14:val="tx1"/>
                  </w14:solidFill>
                </w14:textFill>
              </w:rPr>
            </w:pPr>
          </w:p>
          <w:p>
            <w:pPr>
              <w:adjustRightInd w:val="0"/>
              <w:snapToGrid w:val="0"/>
              <w:spacing w:line="360" w:lineRule="auto"/>
              <w:ind w:firstLine="420" w:firstLineChars="200"/>
              <w:jc w:val="center"/>
              <w:rPr>
                <w:rFonts w:hint="default" w:ascii="Times New Roman" w:hAnsi="Times New Roman" w:cs="Times New Roman"/>
                <w:b w:val="0"/>
                <w:bCs w:val="0"/>
                <w:color w:val="000000" w:themeColor="text1"/>
                <w:kern w:val="0"/>
                <w:sz w:val="24"/>
                <w:lang w:val="zh-CN"/>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drawing>
                <wp:anchor distT="0" distB="0" distL="114300" distR="114300" simplePos="0" relativeHeight="251661312" behindDoc="0" locked="0" layoutInCell="1" allowOverlap="1">
                  <wp:simplePos x="0" y="0"/>
                  <wp:positionH relativeFrom="column">
                    <wp:posOffset>-45720</wp:posOffset>
                  </wp:positionH>
                  <wp:positionV relativeFrom="paragraph">
                    <wp:posOffset>27305</wp:posOffset>
                  </wp:positionV>
                  <wp:extent cx="5259070" cy="2982595"/>
                  <wp:effectExtent l="9525" t="9525" r="27305" b="1778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259070" cy="2982595"/>
                          </a:xfrm>
                          <a:prstGeom prst="rect">
                            <a:avLst/>
                          </a:prstGeom>
                          <a:ln>
                            <a:solidFill>
                              <a:schemeClr val="tx1"/>
                            </a:solidFill>
                          </a:ln>
                        </pic:spPr>
                      </pic:pic>
                    </a:graphicData>
                  </a:graphic>
                </wp:anchor>
              </w:drawing>
            </w:r>
          </w:p>
          <w:p>
            <w:pPr>
              <w:adjustRightInd w:val="0"/>
              <w:snapToGrid w:val="0"/>
              <w:spacing w:line="360" w:lineRule="auto"/>
              <w:ind w:firstLine="480" w:firstLineChars="200"/>
              <w:jc w:val="center"/>
              <w:rPr>
                <w:rFonts w:hint="default" w:ascii="Times New Roman" w:hAnsi="Times New Roman" w:cs="Times New Roman"/>
                <w:b w:val="0"/>
                <w:bCs w:val="0"/>
                <w:color w:val="000000" w:themeColor="text1"/>
                <w:kern w:val="0"/>
                <w:sz w:val="24"/>
                <w:lang w:val="zh-CN"/>
                <w14:textFill>
                  <w14:solidFill>
                    <w14:schemeClr w14:val="tx1"/>
                  </w14:solidFill>
                </w14:textFill>
              </w:rPr>
            </w:pPr>
          </w:p>
          <w:p>
            <w:pPr>
              <w:adjustRightInd w:val="0"/>
              <w:snapToGrid w:val="0"/>
              <w:spacing w:line="360" w:lineRule="auto"/>
              <w:ind w:firstLine="480" w:firstLineChars="200"/>
              <w:jc w:val="center"/>
              <w:rPr>
                <w:rFonts w:hint="default" w:ascii="Times New Roman" w:hAnsi="Times New Roman" w:cs="Times New Roman"/>
                <w:b w:val="0"/>
                <w:bCs w:val="0"/>
                <w:color w:val="000000" w:themeColor="text1"/>
                <w:kern w:val="0"/>
                <w:sz w:val="24"/>
                <w:lang w:val="zh-CN"/>
                <w14:textFill>
                  <w14:solidFill>
                    <w14:schemeClr w14:val="tx1"/>
                  </w14:solidFill>
                </w14:textFill>
              </w:rPr>
            </w:pPr>
          </w:p>
          <w:p>
            <w:pPr>
              <w:adjustRightInd w:val="0"/>
              <w:snapToGrid w:val="0"/>
              <w:spacing w:line="360" w:lineRule="auto"/>
              <w:ind w:firstLine="480" w:firstLineChars="200"/>
              <w:jc w:val="center"/>
              <w:rPr>
                <w:rFonts w:hint="default" w:ascii="Times New Roman" w:hAnsi="Times New Roman" w:cs="Times New Roman"/>
                <w:b w:val="0"/>
                <w:bCs w:val="0"/>
                <w:color w:val="000000" w:themeColor="text1"/>
                <w:kern w:val="0"/>
                <w:sz w:val="24"/>
                <w:lang w:val="zh-CN"/>
                <w14:textFill>
                  <w14:solidFill>
                    <w14:schemeClr w14:val="tx1"/>
                  </w14:solidFill>
                </w14:textFill>
              </w:rPr>
            </w:pPr>
          </w:p>
          <w:p>
            <w:pPr>
              <w:adjustRightInd w:val="0"/>
              <w:snapToGrid w:val="0"/>
              <w:spacing w:line="360" w:lineRule="auto"/>
              <w:ind w:firstLine="480" w:firstLineChars="200"/>
              <w:jc w:val="center"/>
              <w:rPr>
                <w:rFonts w:hint="default" w:ascii="Times New Roman" w:hAnsi="Times New Roman" w:cs="Times New Roman"/>
                <w:b w:val="0"/>
                <w:bCs w:val="0"/>
                <w:color w:val="000000" w:themeColor="text1"/>
                <w:kern w:val="0"/>
                <w:sz w:val="24"/>
                <w:lang w:val="zh-CN"/>
                <w14:textFill>
                  <w14:solidFill>
                    <w14:schemeClr w14:val="tx1"/>
                  </w14:solidFill>
                </w14:textFill>
              </w:rPr>
            </w:pPr>
          </w:p>
          <w:p>
            <w:pPr>
              <w:adjustRightInd w:val="0"/>
              <w:snapToGrid w:val="0"/>
              <w:spacing w:line="360" w:lineRule="auto"/>
              <w:ind w:firstLine="480" w:firstLineChars="200"/>
              <w:jc w:val="center"/>
              <w:rPr>
                <w:rFonts w:hint="default" w:ascii="Times New Roman" w:hAnsi="Times New Roman" w:cs="Times New Roman"/>
                <w:b w:val="0"/>
                <w:bCs w:val="0"/>
                <w:color w:val="000000" w:themeColor="text1"/>
                <w:kern w:val="0"/>
                <w:sz w:val="24"/>
                <w:lang w:val="zh-CN"/>
                <w14:textFill>
                  <w14:solidFill>
                    <w14:schemeClr w14:val="tx1"/>
                  </w14:solidFill>
                </w14:textFill>
              </w:rPr>
            </w:pPr>
          </w:p>
          <w:p>
            <w:pPr>
              <w:adjustRightInd w:val="0"/>
              <w:snapToGrid w:val="0"/>
              <w:spacing w:line="360" w:lineRule="auto"/>
              <w:ind w:firstLine="480" w:firstLineChars="200"/>
              <w:jc w:val="center"/>
              <w:rPr>
                <w:rFonts w:hint="default" w:ascii="Times New Roman" w:hAnsi="Times New Roman" w:cs="Times New Roman"/>
                <w:b w:val="0"/>
                <w:bCs w:val="0"/>
                <w:color w:val="000000" w:themeColor="text1"/>
                <w:kern w:val="0"/>
                <w:sz w:val="24"/>
                <w:lang w:val="zh-CN"/>
                <w14:textFill>
                  <w14:solidFill>
                    <w14:schemeClr w14:val="tx1"/>
                  </w14:solidFill>
                </w14:textFill>
              </w:rPr>
            </w:pPr>
          </w:p>
          <w:p>
            <w:pPr>
              <w:adjustRightInd w:val="0"/>
              <w:snapToGrid w:val="0"/>
              <w:spacing w:line="360" w:lineRule="auto"/>
              <w:ind w:firstLine="480" w:firstLineChars="200"/>
              <w:jc w:val="center"/>
              <w:rPr>
                <w:rFonts w:hint="default" w:ascii="Times New Roman" w:hAnsi="Times New Roman" w:cs="Times New Roman"/>
                <w:b w:val="0"/>
                <w:bCs w:val="0"/>
                <w:color w:val="000000" w:themeColor="text1"/>
                <w:kern w:val="0"/>
                <w:sz w:val="24"/>
                <w:lang w:val="zh-CN"/>
                <w14:textFill>
                  <w14:solidFill>
                    <w14:schemeClr w14:val="tx1"/>
                  </w14:solidFill>
                </w14:textFill>
              </w:rPr>
            </w:pPr>
          </w:p>
          <w:p>
            <w:pPr>
              <w:adjustRightInd w:val="0"/>
              <w:snapToGrid w:val="0"/>
              <w:spacing w:line="360" w:lineRule="auto"/>
              <w:ind w:firstLine="480" w:firstLineChars="200"/>
              <w:jc w:val="center"/>
              <w:rPr>
                <w:rFonts w:hint="default" w:ascii="Times New Roman" w:hAnsi="Times New Roman" w:cs="Times New Roman"/>
                <w:b w:val="0"/>
                <w:bCs w:val="0"/>
                <w:color w:val="000000" w:themeColor="text1"/>
                <w:kern w:val="0"/>
                <w:sz w:val="24"/>
                <w:lang w:val="zh-CN"/>
                <w14:textFill>
                  <w14:solidFill>
                    <w14:schemeClr w14:val="tx1"/>
                  </w14:solidFill>
                </w14:textFill>
              </w:rPr>
            </w:pPr>
          </w:p>
          <w:p>
            <w:pPr>
              <w:adjustRightInd w:val="0"/>
              <w:snapToGrid w:val="0"/>
              <w:spacing w:line="360" w:lineRule="auto"/>
              <w:ind w:firstLine="480" w:firstLineChars="200"/>
              <w:jc w:val="center"/>
              <w:rPr>
                <w:rFonts w:hint="default" w:ascii="Times New Roman" w:hAnsi="Times New Roman" w:cs="Times New Roman"/>
                <w:b w:val="0"/>
                <w:bCs w:val="0"/>
                <w:color w:val="000000" w:themeColor="text1"/>
                <w:kern w:val="0"/>
                <w:sz w:val="24"/>
                <w:lang w:val="zh-CN"/>
                <w14:textFill>
                  <w14:solidFill>
                    <w14:schemeClr w14:val="tx1"/>
                  </w14:solidFill>
                </w14:textFill>
              </w:rPr>
            </w:pPr>
          </w:p>
          <w:p>
            <w:pPr>
              <w:adjustRightInd w:val="0"/>
              <w:snapToGrid w:val="0"/>
              <w:spacing w:line="360" w:lineRule="auto"/>
              <w:ind w:firstLine="480" w:firstLineChars="200"/>
              <w:jc w:val="center"/>
              <w:rPr>
                <w:rFonts w:hint="default" w:ascii="Times New Roman" w:hAnsi="Times New Roman" w:cs="Times New Roman"/>
                <w:b w:val="0"/>
                <w:bCs w:val="0"/>
                <w:color w:val="000000" w:themeColor="text1"/>
                <w:kern w:val="0"/>
                <w:sz w:val="24"/>
                <w:lang w:val="zh-CN"/>
                <w14:textFill>
                  <w14:solidFill>
                    <w14:schemeClr w14:val="tx1"/>
                  </w14:solidFill>
                </w14:textFill>
              </w:rPr>
            </w:pPr>
          </w:p>
          <w:p>
            <w:pPr>
              <w:adjustRightInd w:val="0"/>
              <w:snapToGrid w:val="0"/>
              <w:spacing w:line="360" w:lineRule="auto"/>
              <w:ind w:firstLine="480" w:firstLineChars="200"/>
              <w:jc w:val="center"/>
              <w:rPr>
                <w:rFonts w:hint="default" w:ascii="Times New Roman" w:hAnsi="Times New Roman" w:cs="Times New Roman"/>
                <w:b w:val="0"/>
                <w:bCs w:val="0"/>
                <w:color w:val="000000" w:themeColor="text1"/>
                <w:kern w:val="0"/>
                <w:sz w:val="24"/>
                <w:lang w:val="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000000" w:themeColor="text1"/>
                <w:kern w:val="0"/>
                <w:sz w:val="24"/>
                <w:lang w:val="zh-CN"/>
                <w14:textFill>
                  <w14:solidFill>
                    <w14:schemeClr w14:val="tx1"/>
                  </w14:solidFill>
                </w14:textFill>
              </w:rPr>
            </w:pPr>
            <w:r>
              <w:rPr>
                <w:rFonts w:hint="default" w:ascii="Times New Roman" w:hAnsi="Times New Roman" w:eastAsia="宋体" w:cs="Times New Roman"/>
                <w:b/>
                <w:bCs/>
                <w:color w:val="000000" w:themeColor="text1"/>
                <w:kern w:val="0"/>
                <w:sz w:val="24"/>
                <w:lang w:val="zh-CN"/>
                <w14:textFill>
                  <w14:solidFill>
                    <w14:schemeClr w14:val="tx1"/>
                  </w14:solidFill>
                </w14:textFill>
              </w:rPr>
              <w:t>图4-1  噪声预测图</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b w:val="0"/>
                <w:bCs w:val="0"/>
                <w:color w:val="000000" w:themeColor="text1"/>
                <w:kern w:val="0"/>
                <w:sz w:val="24"/>
                <w:szCs w:val="24"/>
                <w:lang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lang w:bidi="ar"/>
                <w14:textFill>
                  <w14:solidFill>
                    <w14:schemeClr w14:val="tx1"/>
                  </w14:solidFill>
                </w14:textFill>
              </w:rPr>
              <w:t>噪声污染源监测</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参考《排污单位自行监测技术指南 总则（HJ819-2017）》，本次报告建议制定如下噪声监测计划。</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kern w:val="0"/>
                <w:sz w:val="24"/>
                <w:lang w:val="zh-CN"/>
                <w14:textFill>
                  <w14:solidFill>
                    <w14:schemeClr w14:val="tx1"/>
                  </w14:solidFill>
                </w14:textFill>
              </w:rPr>
            </w:pPr>
            <w:r>
              <w:rPr>
                <w:rFonts w:hint="default" w:ascii="Times New Roman" w:hAnsi="Times New Roman" w:eastAsia="宋体" w:cs="Times New Roman"/>
                <w:b/>
                <w:bCs/>
                <w:color w:val="000000" w:themeColor="text1"/>
                <w:kern w:val="0"/>
                <w:sz w:val="24"/>
                <w:lang w:val="zh-CN"/>
                <w14:textFill>
                  <w14:solidFill>
                    <w14:schemeClr w14:val="tx1"/>
                  </w14:solidFill>
                </w14:textFill>
              </w:rPr>
              <w:t>表4-</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15</w:t>
            </w:r>
            <w:r>
              <w:rPr>
                <w:rFonts w:hint="default" w:ascii="Times New Roman" w:hAnsi="Times New Roman" w:eastAsia="宋体" w:cs="Times New Roman"/>
                <w:b/>
                <w:bCs/>
                <w:color w:val="000000" w:themeColor="text1"/>
                <w:kern w:val="0"/>
                <w:sz w:val="24"/>
                <w:lang w:val="zh-CN"/>
                <w14:textFill>
                  <w14:solidFill>
                    <w14:schemeClr w14:val="tx1"/>
                  </w14:solidFill>
                </w14:textFill>
              </w:rPr>
              <w:t xml:space="preserve">  噪声污染源监测计划一览表</w:t>
            </w:r>
          </w:p>
          <w:tbl>
            <w:tblPr>
              <w:tblStyle w:val="2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5"/>
              <w:gridCol w:w="992"/>
              <w:gridCol w:w="1327"/>
              <w:gridCol w:w="1713"/>
              <w:gridCol w:w="3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15" w:type="dxa"/>
                  <w:vAlign w:val="center"/>
                </w:tcPr>
                <w:p>
                  <w:pPr>
                    <w:adjustRightInd w:val="0"/>
                    <w:snapToGrid w:val="0"/>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项目</w:t>
                  </w:r>
                </w:p>
              </w:tc>
              <w:tc>
                <w:tcPr>
                  <w:tcW w:w="992" w:type="dxa"/>
                  <w:vAlign w:val="center"/>
                </w:tcPr>
                <w:p>
                  <w:pPr>
                    <w:adjustRightInd w:val="0"/>
                    <w:snapToGrid w:val="0"/>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监测点位</w:t>
                  </w:r>
                </w:p>
              </w:tc>
              <w:tc>
                <w:tcPr>
                  <w:tcW w:w="1327" w:type="dxa"/>
                  <w:vAlign w:val="center"/>
                </w:tcPr>
                <w:p>
                  <w:pPr>
                    <w:adjustRightInd w:val="0"/>
                    <w:snapToGrid w:val="0"/>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监测因子</w:t>
                  </w:r>
                </w:p>
              </w:tc>
              <w:tc>
                <w:tcPr>
                  <w:tcW w:w="1713" w:type="dxa"/>
                  <w:vAlign w:val="center"/>
                </w:tcPr>
                <w:p>
                  <w:pPr>
                    <w:adjustRightInd w:val="0"/>
                    <w:snapToGrid w:val="0"/>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监测频率</w:t>
                  </w:r>
                </w:p>
              </w:tc>
              <w:tc>
                <w:tcPr>
                  <w:tcW w:w="3484" w:type="dxa"/>
                  <w:vAlign w:val="center"/>
                </w:tcPr>
                <w:p>
                  <w:pPr>
                    <w:adjustRightInd w:val="0"/>
                    <w:snapToGrid w:val="0"/>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15" w:type="dxa"/>
                  <w:vAlign w:val="center"/>
                </w:tcPr>
                <w:p>
                  <w:pPr>
                    <w:adjustRightInd w:val="0"/>
                    <w:snapToGrid w:val="0"/>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噪声</w:t>
                  </w:r>
                </w:p>
              </w:tc>
              <w:tc>
                <w:tcPr>
                  <w:tcW w:w="992" w:type="dxa"/>
                  <w:vAlign w:val="center"/>
                </w:tcPr>
                <w:p>
                  <w:pPr>
                    <w:adjustRightInd w:val="0"/>
                    <w:snapToGrid w:val="0"/>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厂界</w:t>
                  </w:r>
                </w:p>
              </w:tc>
              <w:tc>
                <w:tcPr>
                  <w:tcW w:w="1327" w:type="dxa"/>
                  <w:vAlign w:val="center"/>
                </w:tcPr>
                <w:p>
                  <w:pPr>
                    <w:adjustRightInd w:val="0"/>
                    <w:snapToGrid w:val="0"/>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等效A声级Leq</w:t>
                  </w:r>
                  <w:r>
                    <w:rPr>
                      <w:rFonts w:hint="eastAsia" w:cs="Times New Roman"/>
                      <w:b w:val="0"/>
                      <w:bCs w:val="0"/>
                      <w:color w:val="000000" w:themeColor="text1"/>
                      <w:lang w:eastAsia="zh-CN"/>
                      <w14:textFill>
                        <w14:solidFill>
                          <w14:schemeClr w14:val="tx1"/>
                        </w14:solidFill>
                      </w14:textFill>
                    </w:rPr>
                    <w:t>（</w:t>
                  </w:r>
                  <w:r>
                    <w:rPr>
                      <w:rFonts w:hint="default" w:ascii="Times New Roman" w:hAnsi="Times New Roman" w:eastAsia="宋体" w:cs="Times New Roman"/>
                      <w:b w:val="0"/>
                      <w:bCs w:val="0"/>
                      <w:color w:val="000000" w:themeColor="text1"/>
                      <w14:textFill>
                        <w14:solidFill>
                          <w14:schemeClr w14:val="tx1"/>
                        </w14:solidFill>
                      </w14:textFill>
                    </w:rPr>
                    <w:t>A</w:t>
                  </w:r>
                  <w:r>
                    <w:rPr>
                      <w:rFonts w:hint="eastAsia" w:cs="Times New Roman"/>
                      <w:b w:val="0"/>
                      <w:bCs w:val="0"/>
                      <w:color w:val="000000" w:themeColor="text1"/>
                      <w:lang w:eastAsia="zh-CN"/>
                      <w14:textFill>
                        <w14:solidFill>
                          <w14:schemeClr w14:val="tx1"/>
                        </w14:solidFill>
                      </w14:textFill>
                    </w:rPr>
                    <w:t>）</w:t>
                  </w:r>
                </w:p>
              </w:tc>
              <w:tc>
                <w:tcPr>
                  <w:tcW w:w="1713" w:type="dxa"/>
                  <w:vAlign w:val="center"/>
                </w:tcPr>
                <w:p>
                  <w:pPr>
                    <w:adjustRightInd w:val="0"/>
                    <w:snapToGrid w:val="0"/>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每季度昼夜间1次</w:t>
                  </w:r>
                </w:p>
              </w:tc>
              <w:tc>
                <w:tcPr>
                  <w:tcW w:w="3484" w:type="dxa"/>
                  <w:vAlign w:val="center"/>
                </w:tcPr>
                <w:p>
                  <w:pPr>
                    <w:adjustRightInd w:val="0"/>
                    <w:snapToGrid w:val="0"/>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《工业企业厂界环境噪声排放标准》（GB12348-2008）2类标准</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四、</w:t>
            </w:r>
            <w:r>
              <w:rPr>
                <w:rFonts w:hint="default" w:ascii="Times New Roman" w:hAnsi="Times New Roman" w:eastAsia="宋体" w:cs="Times New Roman"/>
                <w:b w:val="0"/>
                <w:bCs w:val="0"/>
                <w:color w:val="000000" w:themeColor="text1"/>
                <w:sz w:val="24"/>
                <w14:textFill>
                  <w14:solidFill>
                    <w14:schemeClr w14:val="tx1"/>
                  </w14:solidFill>
                </w14:textFill>
              </w:rPr>
              <w:t>固体废物</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14:textFill>
                  <w14:solidFill>
                    <w14:schemeClr w14:val="tx1"/>
                  </w14:solidFill>
                </w14:textFill>
              </w:rPr>
              <w:t>营运期固体废物环境影响分析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项目固废主要为净水设施产生的</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废机油、废油桶、</w:t>
            </w:r>
            <w:r>
              <w:rPr>
                <w:rFonts w:hint="default" w:ascii="Times New Roman" w:hAnsi="Times New Roman" w:eastAsia="宋体" w:cs="Times New Roman"/>
                <w:color w:val="000000" w:themeColor="text1"/>
                <w:sz w:val="24"/>
                <w14:textFill>
                  <w14:solidFill>
                    <w14:schemeClr w14:val="tx1"/>
                  </w14:solidFill>
                </w14:textFill>
              </w:rPr>
              <w:t>废含油抹布</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手套</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pacing w:val="1"/>
                <w:sz w:val="24"/>
                <w14:textFill>
                  <w14:solidFill>
                    <w14:schemeClr w14:val="tx1"/>
                  </w14:solidFill>
                </w14:textFill>
              </w:rPr>
              <w:t>废弃化学品容器</w:t>
            </w:r>
            <w:r>
              <w:rPr>
                <w:rFonts w:hint="default" w:ascii="Times New Roman" w:hAnsi="Times New Roman" w:eastAsia="宋体" w:cs="Times New Roman"/>
                <w:color w:val="000000" w:themeColor="text1"/>
                <w:spacing w:val="1"/>
                <w:sz w:val="24"/>
                <w:lang w:eastAsia="zh-CN"/>
                <w14:textFill>
                  <w14:solidFill>
                    <w14:schemeClr w14:val="tx1"/>
                  </w14:solidFill>
                </w14:textFill>
              </w:rPr>
              <w:t>、</w:t>
            </w:r>
            <w:r>
              <w:rPr>
                <w:rFonts w:hint="eastAsia" w:ascii="Times New Roman" w:hAnsi="Times New Roman" w:eastAsia="宋体" w:cs="Times New Roman"/>
                <w:color w:val="000000" w:themeColor="text1"/>
                <w:spacing w:val="1"/>
                <w:sz w:val="24"/>
                <w:lang w:val="en-US" w:eastAsia="zh-CN"/>
                <w14:textFill>
                  <w14:solidFill>
                    <w14:schemeClr w14:val="tx1"/>
                  </w14:solidFill>
                </w14:textFill>
              </w:rPr>
              <w:t>净水厂</w:t>
            </w:r>
            <w:r>
              <w:rPr>
                <w:rFonts w:hint="default" w:ascii="Times New Roman" w:hAnsi="Times New Roman" w:eastAsia="宋体" w:cs="Times New Roman"/>
                <w:b w:val="0"/>
                <w:bCs w:val="0"/>
                <w:color w:val="000000" w:themeColor="text1"/>
                <w:sz w:val="24"/>
                <w14:textFill>
                  <w14:solidFill>
                    <w14:schemeClr w14:val="tx1"/>
                  </w14:solidFill>
                </w14:textFill>
              </w:rPr>
              <w:t>污泥、废包装材料、废滤料、废次氯酸钠包装物、员工生活办公产生的生活垃圾</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隔油系统泔水油和废油脂</w:t>
            </w:r>
            <w:r>
              <w:rPr>
                <w:rFonts w:hint="default" w:ascii="Times New Roman" w:hAnsi="Times New Roman" w:eastAsia="宋体" w:cs="Times New Roman"/>
                <w:b w:val="0"/>
                <w:bCs w:val="0"/>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val="0"/>
                <w:color w:val="000000" w:themeColor="text1"/>
                <w:sz w:val="24"/>
                <w:lang w:eastAsia="zh-CN"/>
                <w14:textFill>
                  <w14:solidFill>
                    <w14:schemeClr w14:val="tx1"/>
                  </w14:solidFill>
                </w14:textFill>
              </w:rPr>
            </w:pP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废机油</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本项目净水厂检修过程中</w:t>
            </w:r>
            <w:r>
              <w:rPr>
                <w:rFonts w:hint="default" w:ascii="Times New Roman" w:hAnsi="Times New Roman" w:eastAsia="宋体" w:cs="Times New Roman"/>
                <w:b w:val="0"/>
                <w:bCs w:val="0"/>
                <w:color w:val="000000" w:themeColor="text1"/>
                <w:sz w:val="24"/>
                <w14:textFill>
                  <w14:solidFill>
                    <w14:schemeClr w14:val="tx1"/>
                  </w14:solidFill>
                </w14:textFill>
              </w:rPr>
              <w:t>会产生废</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机油</w:t>
            </w:r>
            <w:r>
              <w:rPr>
                <w:rFonts w:hint="default" w:ascii="Times New Roman" w:hAnsi="Times New Roman" w:eastAsia="宋体" w:cs="Times New Roman"/>
                <w:b w:val="0"/>
                <w:bCs w:val="0"/>
                <w:color w:val="000000" w:themeColor="text1"/>
                <w:sz w:val="24"/>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机油使用量为0.5t/a，</w:t>
            </w:r>
            <w:r>
              <w:rPr>
                <w:rFonts w:hint="default" w:ascii="Times New Roman" w:hAnsi="Times New Roman" w:eastAsia="宋体" w:cs="Times New Roman"/>
                <w:b w:val="0"/>
                <w:bCs w:val="0"/>
                <w:color w:val="000000" w:themeColor="text1"/>
                <w:sz w:val="24"/>
                <w14:textFill>
                  <w14:solidFill>
                    <w14:schemeClr w14:val="tx1"/>
                  </w14:solidFill>
                </w14:textFill>
              </w:rPr>
              <w:t>更换周期约为</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14:textFill>
                  <w14:solidFill>
                    <w14:schemeClr w14:val="tx1"/>
                  </w14:solidFill>
                </w14:textFill>
              </w:rPr>
              <w:t>年，则废液压油产生量为</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0.5</w:t>
            </w:r>
            <w:r>
              <w:rPr>
                <w:rFonts w:hint="default" w:ascii="Times New Roman" w:hAnsi="Times New Roman" w:eastAsia="宋体" w:cs="Times New Roman"/>
                <w:b w:val="0"/>
                <w:bCs w:val="0"/>
                <w:color w:val="000000" w:themeColor="text1"/>
                <w:sz w:val="24"/>
                <w14:textFill>
                  <w14:solidFill>
                    <w14:schemeClr w14:val="tx1"/>
                  </w14:solidFill>
                </w14:textFill>
              </w:rPr>
              <w:t>t/a，属于危险废物</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对照《国家危险废物名录》（2021年版），危废代码为“HW08废矿物油与含矿油油废物中900-218-08（液压设备维护、更换和拆解过程中产生的废液压油）”。废</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机油</w:t>
            </w:r>
            <w:r>
              <w:rPr>
                <w:rFonts w:hint="default" w:ascii="Times New Roman" w:hAnsi="Times New Roman" w:eastAsia="宋体" w:cs="Times New Roman"/>
                <w:b w:val="0"/>
                <w:bCs w:val="0"/>
                <w:color w:val="000000" w:themeColor="text1"/>
                <w:sz w:val="24"/>
                <w14:textFill>
                  <w14:solidFill>
                    <w14:schemeClr w14:val="tx1"/>
                  </w14:solidFill>
                </w14:textFill>
              </w:rPr>
              <w:t>采用包装桶收集，贮存于</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净水厂</w:t>
            </w:r>
            <w:r>
              <w:rPr>
                <w:rFonts w:hint="default" w:ascii="Times New Roman" w:hAnsi="Times New Roman" w:eastAsia="宋体" w:cs="Times New Roman"/>
                <w:b w:val="0"/>
                <w:bCs w:val="0"/>
                <w:color w:val="000000" w:themeColor="text1"/>
                <w:sz w:val="24"/>
                <w14:textFill>
                  <w14:solidFill>
                    <w14:schemeClr w14:val="tx1"/>
                  </w14:solidFill>
                </w14:textFill>
              </w:rPr>
              <w:t>内</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的</w:t>
            </w:r>
            <w:r>
              <w:rPr>
                <w:rFonts w:hint="default" w:ascii="Times New Roman" w:hAnsi="Times New Roman" w:eastAsia="宋体" w:cs="Times New Roman"/>
                <w:b w:val="0"/>
                <w:bCs w:val="0"/>
                <w:color w:val="000000" w:themeColor="text1"/>
                <w:sz w:val="24"/>
                <w14:textFill>
                  <w14:solidFill>
                    <w14:schemeClr w14:val="tx1"/>
                  </w14:solidFill>
                </w14:textFill>
              </w:rPr>
              <w:t>危险废物暂存间，定期交由有相应资质的危险废物处置单位处置。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val="0"/>
                <w:color w:val="000000" w:themeColor="text1"/>
                <w:sz w:val="24"/>
                <w:lang w:eastAsia="zh-CN"/>
                <w14:textFill>
                  <w14:solidFill>
                    <w14:schemeClr w14:val="tx1"/>
                  </w14:solidFill>
                </w14:textFill>
              </w:rPr>
            </w:pP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废油桶</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val="0"/>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项目使用润滑油、机油等产生废油桶，产生量约为0.0</w:t>
            </w:r>
            <w:r>
              <w:rPr>
                <w:rFonts w:hint="default" w:ascii="Times New Roman" w:hAnsi="Times New Roman" w:eastAsia="宋体"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color w:val="000000" w:themeColor="text1"/>
                <w:sz w:val="24"/>
                <w14:textFill>
                  <w14:solidFill>
                    <w14:schemeClr w14:val="tx1"/>
                  </w14:solidFill>
                </w14:textFill>
              </w:rPr>
              <w:t>t/a，属于危险废物，对照</w:t>
            </w:r>
            <w:r>
              <w:rPr>
                <w:rFonts w:hint="default" w:ascii="Times New Roman" w:hAnsi="Times New Roman" w:eastAsia="宋体" w:cs="Times New Roman"/>
                <w:color w:val="000000" w:themeColor="text1"/>
                <w:kern w:val="0"/>
                <w:sz w:val="24"/>
                <w14:textFill>
                  <w14:solidFill>
                    <w14:schemeClr w14:val="tx1"/>
                  </w14:solidFill>
                </w14:textFill>
              </w:rPr>
              <w:t>《国家危险废物名录》（2021年版），</w:t>
            </w:r>
            <w:r>
              <w:rPr>
                <w:rFonts w:hint="default" w:ascii="Times New Roman" w:hAnsi="Times New Roman" w:eastAsia="宋体" w:cs="Times New Roman"/>
                <w:color w:val="000000" w:themeColor="text1"/>
                <w:sz w:val="24"/>
                <w14:textFill>
                  <w14:solidFill>
                    <w14:schemeClr w14:val="tx1"/>
                  </w14:solidFill>
                </w14:textFill>
              </w:rPr>
              <w:t>危废代码为“HW49其他废物中900-041-49（</w:t>
            </w:r>
            <w:r>
              <w:rPr>
                <w:rFonts w:hint="default" w:ascii="Times New Roman" w:hAnsi="Times New Roman" w:eastAsia="宋体" w:cs="Times New Roman"/>
                <w:color w:val="000000" w:themeColor="text1"/>
                <w:kern w:val="0"/>
                <w:sz w:val="24"/>
                <w:lang w:bidi="ar"/>
                <w14:textFill>
                  <w14:solidFill>
                    <w14:schemeClr w14:val="tx1"/>
                  </w14:solidFill>
                </w14:textFill>
              </w:rPr>
              <w:t>含有或沾染毒性、感染性危险废物的废弃包装物、容器、过滤吸附介质</w:t>
            </w:r>
            <w:r>
              <w:rPr>
                <w:rFonts w:hint="default" w:ascii="Times New Roman" w:hAnsi="Times New Roman" w:eastAsia="宋体" w:cs="Times New Roman"/>
                <w:color w:val="000000" w:themeColor="text1"/>
                <w:sz w:val="24"/>
                <w14:textFill>
                  <w14:solidFill>
                    <w14:schemeClr w14:val="tx1"/>
                  </w14:solidFill>
                </w14:textFill>
              </w:rPr>
              <w:t>）”。废油桶</w:t>
            </w:r>
            <w:r>
              <w:rPr>
                <w:rFonts w:hint="default" w:ascii="Times New Roman" w:hAnsi="Times New Roman" w:eastAsia="宋体" w:cs="Times New Roman"/>
                <w:color w:val="000000" w:themeColor="text1"/>
                <w:kern w:val="0"/>
                <w:sz w:val="24"/>
                <w14:textFill>
                  <w14:solidFill>
                    <w14:schemeClr w14:val="tx1"/>
                  </w14:solidFill>
                </w14:textFill>
              </w:rPr>
              <w:t>贮存于</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净水厂</w:t>
            </w:r>
            <w:r>
              <w:rPr>
                <w:rFonts w:hint="default" w:ascii="Times New Roman" w:hAnsi="Times New Roman" w:eastAsia="宋体" w:cs="Times New Roman"/>
                <w:b w:val="0"/>
                <w:bCs w:val="0"/>
                <w:color w:val="000000" w:themeColor="text1"/>
                <w:sz w:val="24"/>
                <w14:textFill>
                  <w14:solidFill>
                    <w14:schemeClr w14:val="tx1"/>
                  </w14:solidFill>
                </w14:textFill>
              </w:rPr>
              <w:t>内</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的</w:t>
            </w:r>
            <w:r>
              <w:rPr>
                <w:rFonts w:hint="default" w:ascii="Times New Roman" w:hAnsi="Times New Roman" w:eastAsia="宋体" w:cs="Times New Roman"/>
                <w:b w:val="0"/>
                <w:bCs w:val="0"/>
                <w:color w:val="000000" w:themeColor="text1"/>
                <w:sz w:val="24"/>
                <w14:textFill>
                  <w14:solidFill>
                    <w14:schemeClr w14:val="tx1"/>
                  </w14:solidFill>
                </w14:textFill>
              </w:rPr>
              <w:t>危险废物暂存间</w:t>
            </w:r>
            <w:r>
              <w:rPr>
                <w:rFonts w:hint="default" w:ascii="Times New Roman" w:hAnsi="Times New Roman" w:eastAsia="宋体" w:cs="Times New Roman"/>
                <w:color w:val="000000" w:themeColor="text1"/>
                <w:kern w:val="0"/>
                <w:sz w:val="24"/>
                <w14:textFill>
                  <w14:solidFill>
                    <w14:schemeClr w14:val="tx1"/>
                  </w14:solidFill>
                </w14:textFill>
              </w:rPr>
              <w:t>，定期交由有相应资质的危险废物处置单位处置。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val="0"/>
                <w:color w:val="000000" w:themeColor="text1"/>
                <w:sz w:val="24"/>
                <w:lang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废含油抹布</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手套</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val="0"/>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本项目净水厂检修过程中会产生</w:t>
            </w:r>
            <w:r>
              <w:rPr>
                <w:rFonts w:hint="default" w:ascii="Times New Roman" w:hAnsi="Times New Roman" w:eastAsia="宋体" w:cs="Times New Roman"/>
                <w:color w:val="000000" w:themeColor="text1"/>
                <w:sz w:val="24"/>
                <w14:textFill>
                  <w14:solidFill>
                    <w14:schemeClr w14:val="tx1"/>
                  </w14:solidFill>
                </w14:textFill>
              </w:rPr>
              <w:t>废含油抹布</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手套，废含油抹布、手套产生总量约为0.002t/a，属于危险废物，对照</w:t>
            </w:r>
            <w:r>
              <w:rPr>
                <w:rFonts w:hint="default" w:ascii="Times New Roman" w:hAnsi="Times New Roman" w:eastAsia="宋体" w:cs="Times New Roman"/>
                <w:color w:val="000000" w:themeColor="text1"/>
                <w:kern w:val="0"/>
                <w:sz w:val="24"/>
                <w14:textFill>
                  <w14:solidFill>
                    <w14:schemeClr w14:val="tx1"/>
                  </w14:solidFill>
                </w14:textFill>
              </w:rPr>
              <w:t>《国家危险废物名录》（2021年版），</w:t>
            </w:r>
            <w:r>
              <w:rPr>
                <w:rFonts w:hint="default" w:ascii="Times New Roman" w:hAnsi="Times New Roman" w:eastAsia="宋体" w:cs="Times New Roman"/>
                <w:color w:val="000000" w:themeColor="text1"/>
                <w:sz w:val="24"/>
                <w14:textFill>
                  <w14:solidFill>
                    <w14:schemeClr w14:val="tx1"/>
                  </w14:solidFill>
                </w14:textFill>
              </w:rPr>
              <w:t>危废代码为“HW49其他废物中900-041-49（</w:t>
            </w:r>
            <w:r>
              <w:rPr>
                <w:rFonts w:hint="default" w:ascii="Times New Roman" w:hAnsi="Times New Roman" w:eastAsia="宋体" w:cs="Times New Roman"/>
                <w:color w:val="000000" w:themeColor="text1"/>
                <w:kern w:val="0"/>
                <w:sz w:val="24"/>
                <w:lang w:bidi="ar"/>
                <w14:textFill>
                  <w14:solidFill>
                    <w14:schemeClr w14:val="tx1"/>
                  </w14:solidFill>
                </w14:textFill>
              </w:rPr>
              <w:t>含有或沾染毒性、感染性危险废物的废弃包装物、容器、过滤吸附介质</w:t>
            </w:r>
            <w:r>
              <w:rPr>
                <w:rFonts w:hint="default" w:ascii="Times New Roman" w:hAnsi="Times New Roman" w:eastAsia="宋体" w:cs="Times New Roman"/>
                <w:color w:val="000000" w:themeColor="text1"/>
                <w:sz w:val="24"/>
                <w14:textFill>
                  <w14:solidFill>
                    <w14:schemeClr w14:val="tx1"/>
                  </w14:solidFill>
                </w14:textFill>
              </w:rPr>
              <w:t>）”。废含油抹布</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手套</w:t>
            </w:r>
            <w:r>
              <w:rPr>
                <w:rFonts w:hint="default" w:ascii="Times New Roman" w:hAnsi="Times New Roman" w:eastAsia="宋体" w:cs="Times New Roman"/>
                <w:color w:val="000000" w:themeColor="text1"/>
                <w:kern w:val="0"/>
                <w:sz w:val="24"/>
                <w14:textFill>
                  <w14:solidFill>
                    <w14:schemeClr w14:val="tx1"/>
                  </w14:solidFill>
                </w14:textFill>
              </w:rPr>
              <w:t>采用塑胶桶收集，贮存于</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净水厂</w:t>
            </w:r>
            <w:r>
              <w:rPr>
                <w:rFonts w:hint="default" w:ascii="Times New Roman" w:hAnsi="Times New Roman" w:eastAsia="宋体" w:cs="Times New Roman"/>
                <w:b w:val="0"/>
                <w:bCs w:val="0"/>
                <w:color w:val="000000" w:themeColor="text1"/>
                <w:sz w:val="24"/>
                <w14:textFill>
                  <w14:solidFill>
                    <w14:schemeClr w14:val="tx1"/>
                  </w14:solidFill>
                </w14:textFill>
              </w:rPr>
              <w:t>内</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的</w:t>
            </w:r>
            <w:r>
              <w:rPr>
                <w:rFonts w:hint="default" w:ascii="Times New Roman" w:hAnsi="Times New Roman" w:eastAsia="宋体" w:cs="Times New Roman"/>
                <w:b w:val="0"/>
                <w:bCs w:val="0"/>
                <w:color w:val="000000" w:themeColor="text1"/>
                <w:sz w:val="24"/>
                <w14:textFill>
                  <w14:solidFill>
                    <w14:schemeClr w14:val="tx1"/>
                  </w14:solidFill>
                </w14:textFill>
              </w:rPr>
              <w:t>危险废物暂存间</w:t>
            </w:r>
            <w:r>
              <w:rPr>
                <w:rFonts w:hint="default" w:ascii="Times New Roman" w:hAnsi="Times New Roman" w:eastAsia="宋体" w:cs="Times New Roman"/>
                <w:color w:val="000000" w:themeColor="text1"/>
                <w:kern w:val="0"/>
                <w:sz w:val="24"/>
                <w14:textFill>
                  <w14:solidFill>
                    <w14:schemeClr w14:val="tx1"/>
                  </w14:solidFill>
                </w14:textFill>
              </w:rPr>
              <w:t>，定期交由有相应资质的危险废物处置单位处置。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val="0"/>
                <w:color w:val="000000" w:themeColor="text1"/>
                <w:sz w:val="24"/>
                <w:lang w:eastAsia="zh-CN"/>
                <w14:textFill>
                  <w14:solidFill>
                    <w14:schemeClr w14:val="tx1"/>
                  </w14:solidFill>
                </w14:textFill>
              </w:rPr>
            </w:pP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pacing w:val="1"/>
                <w:sz w:val="24"/>
                <w14:textFill>
                  <w14:solidFill>
                    <w14:schemeClr w14:val="tx1"/>
                  </w14:solidFill>
                </w14:textFill>
              </w:rPr>
              <w:t>废弃化学品容器</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val="0"/>
                <w:color w:val="000000" w:themeColor="text1"/>
                <w:sz w:val="24"/>
                <w:lang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本项目化验室会产生</w:t>
            </w:r>
            <w:r>
              <w:rPr>
                <w:rFonts w:hint="default" w:ascii="Times New Roman" w:hAnsi="Times New Roman" w:eastAsia="宋体" w:cs="Times New Roman"/>
                <w:b w:val="0"/>
                <w:bCs w:val="0"/>
                <w:color w:val="000000" w:themeColor="text1"/>
                <w:sz w:val="24"/>
                <w14:textFill>
                  <w14:solidFill>
                    <w14:schemeClr w14:val="tx1"/>
                  </w14:solidFill>
                </w14:textFill>
              </w:rPr>
              <w:t>化学品废弃容器</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产生量约为0.5t/a</w:t>
            </w:r>
            <w:r>
              <w:rPr>
                <w:rFonts w:hint="default" w:ascii="Times New Roman" w:hAnsi="Times New Roman" w:eastAsia="宋体" w:cs="Times New Roman"/>
                <w:color w:val="000000" w:themeColor="text1"/>
                <w:sz w:val="24"/>
                <w14:textFill>
                  <w14:solidFill>
                    <w14:schemeClr w14:val="tx1"/>
                  </w14:solidFill>
                </w14:textFill>
              </w:rPr>
              <w:t>，属于危险废物</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根据《国家危险废物名录》（2021年版）</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化验室化学品废弃容器属于HW49（其他废物），废物代码900-041-49（含有或沾染毒性、感染性危险废物的废弃包装物、容器、过滤吸附介质）。</w:t>
            </w:r>
            <w:r>
              <w:rPr>
                <w:rFonts w:hint="default" w:ascii="Times New Roman" w:hAnsi="Times New Roman" w:eastAsia="宋体" w:cs="Times New Roman"/>
                <w:color w:val="000000" w:themeColor="text1"/>
                <w:spacing w:val="1"/>
                <w:sz w:val="24"/>
                <w14:textFill>
                  <w14:solidFill>
                    <w14:schemeClr w14:val="tx1"/>
                  </w14:solidFill>
                </w14:textFill>
              </w:rPr>
              <w:t>废弃化学品容器</w:t>
            </w:r>
            <w:r>
              <w:rPr>
                <w:rFonts w:hint="default" w:ascii="Times New Roman" w:hAnsi="Times New Roman" w:eastAsia="宋体" w:cs="Times New Roman"/>
                <w:color w:val="000000" w:themeColor="text1"/>
                <w:kern w:val="0"/>
                <w:sz w:val="24"/>
                <w14:textFill>
                  <w14:solidFill>
                    <w14:schemeClr w14:val="tx1"/>
                  </w14:solidFill>
                </w14:textFill>
              </w:rPr>
              <w:t>贮存于</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净水厂</w:t>
            </w:r>
            <w:r>
              <w:rPr>
                <w:rFonts w:hint="default" w:ascii="Times New Roman" w:hAnsi="Times New Roman" w:eastAsia="宋体" w:cs="Times New Roman"/>
                <w:b w:val="0"/>
                <w:bCs w:val="0"/>
                <w:color w:val="000000" w:themeColor="text1"/>
                <w:sz w:val="24"/>
                <w14:textFill>
                  <w14:solidFill>
                    <w14:schemeClr w14:val="tx1"/>
                  </w14:solidFill>
                </w14:textFill>
              </w:rPr>
              <w:t>内</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的</w:t>
            </w:r>
            <w:r>
              <w:rPr>
                <w:rFonts w:hint="default" w:ascii="Times New Roman" w:hAnsi="Times New Roman" w:eastAsia="宋体" w:cs="Times New Roman"/>
                <w:b w:val="0"/>
                <w:bCs w:val="0"/>
                <w:color w:val="000000" w:themeColor="text1"/>
                <w:sz w:val="24"/>
                <w14:textFill>
                  <w14:solidFill>
                    <w14:schemeClr w14:val="tx1"/>
                  </w14:solidFill>
                </w14:textFill>
              </w:rPr>
              <w:t>危险废物暂存间</w:t>
            </w:r>
            <w:r>
              <w:rPr>
                <w:rFonts w:hint="default" w:ascii="Times New Roman" w:hAnsi="Times New Roman" w:eastAsia="宋体" w:cs="Times New Roman"/>
                <w:color w:val="000000" w:themeColor="text1"/>
                <w:kern w:val="0"/>
                <w:sz w:val="24"/>
                <w14:textFill>
                  <w14:solidFill>
                    <w14:schemeClr w14:val="tx1"/>
                  </w14:solidFill>
                </w14:textFill>
              </w:rPr>
              <w:t>，定期交由有相应资质的危险废物处置单位处置。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生活垃圾</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项目职工拟定共30人。生活垃圾产生量按照人均0.5kg/d计，年工作时间365天，则生活垃圾总产生量为5.475t/a，收集后委托环卫部门清运处理。</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6</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净水厂污泥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4"/>
                <w:highlight w:val="none"/>
                <w:lang w:val="en-US" w:eastAsia="zh-TW"/>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本项目污泥主要产生于净水厂，本评价参考</w:t>
            </w:r>
            <w:r>
              <w:rPr>
                <w:rFonts w:hint="default" w:ascii="Times New Roman" w:hAnsi="Times New Roman" w:eastAsia="宋体" w:cs="Times New Roman"/>
                <w:color w:val="000000" w:themeColor="text1"/>
                <w:kern w:val="0"/>
                <w:sz w:val="24"/>
                <w:szCs w:val="24"/>
                <w:highlight w:val="none"/>
                <w:lang w:val="zh-TW"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zh-TW" w:eastAsia="zh-TW"/>
                <w14:textFill>
                  <w14:solidFill>
                    <w14:schemeClr w14:val="tx1"/>
                  </w14:solidFill>
                </w14:textFill>
              </w:rPr>
              <w:t>排污许可证申请与核发技术规范水处理</w:t>
            </w:r>
            <w:r>
              <w:rPr>
                <w:rFonts w:hint="default" w:ascii="Times New Roman" w:hAnsi="Times New Roman" w:eastAsia="宋体" w:cs="Times New Roman"/>
                <w:color w:val="000000" w:themeColor="text1"/>
                <w:kern w:val="0"/>
                <w:sz w:val="24"/>
                <w:szCs w:val="24"/>
                <w:highlight w:val="none"/>
                <w:lang w:val="zh-TW"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zh-TW" w:eastAsia="zh-TW"/>
                <w14:textFill>
                  <w14:solidFill>
                    <w14:schemeClr w14:val="tx1"/>
                  </w14:solidFill>
                </w14:textFill>
              </w:rPr>
              <w:t>HJ 978-2018</w:t>
            </w:r>
            <w:r>
              <w:rPr>
                <w:rFonts w:hint="default" w:ascii="Times New Roman" w:hAnsi="Times New Roman" w:eastAsia="宋体" w:cs="Times New Roman"/>
                <w:color w:val="000000" w:themeColor="text1"/>
                <w:kern w:val="0"/>
                <w:sz w:val="24"/>
                <w:szCs w:val="24"/>
                <w:highlight w:val="none"/>
                <w:lang w:val="zh-TW" w:eastAsia="zh-CN"/>
                <w14:textFill>
                  <w14:solidFill>
                    <w14:schemeClr w14:val="tx1"/>
                  </w14:solidFill>
                </w14:textFill>
              </w:rPr>
              <w:t>）中推荐的“污泥实际排放量核算方法—公式（</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kern w:val="0"/>
                <w:sz w:val="24"/>
                <w:szCs w:val="24"/>
                <w:highlight w:val="none"/>
                <w:lang w:val="zh-TW" w:eastAsia="zh-CN"/>
                <w14:textFill>
                  <w14:solidFill>
                    <w14:schemeClr w14:val="tx1"/>
                  </w14:solidFill>
                </w14:textFill>
              </w:rPr>
              <w:t>）”核定本项目污水处理站产生的污泥。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4"/>
                <w:highlight w:val="none"/>
                <w:lang w:val="zh-TW" w:eastAsia="zh-TW"/>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drawing>
                <wp:anchor distT="0" distB="0" distL="114300" distR="114300" simplePos="0" relativeHeight="251662336" behindDoc="0" locked="0" layoutInCell="1" allowOverlap="1">
                  <wp:simplePos x="0" y="0"/>
                  <wp:positionH relativeFrom="column">
                    <wp:posOffset>2013585</wp:posOffset>
                  </wp:positionH>
                  <wp:positionV relativeFrom="paragraph">
                    <wp:posOffset>295910</wp:posOffset>
                  </wp:positionV>
                  <wp:extent cx="1876425" cy="304165"/>
                  <wp:effectExtent l="0" t="0" r="9525" b="635"/>
                  <wp:wrapSquare wrapText="bothSides"/>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37"/>
                          <a:stretch>
                            <a:fillRect/>
                          </a:stretch>
                        </pic:blipFill>
                        <pic:spPr>
                          <a:xfrm>
                            <a:off x="0" y="0"/>
                            <a:ext cx="1876425" cy="304165"/>
                          </a:xfrm>
                          <a:prstGeom prst="rect">
                            <a:avLst/>
                          </a:prstGeom>
                          <a:noFill/>
                          <a:ln>
                            <a:noFill/>
                          </a:ln>
                        </pic:spPr>
                      </pic:pic>
                    </a:graphicData>
                  </a:graphic>
                </wp:anchor>
              </w:drawing>
            </w:r>
            <w:r>
              <w:rPr>
                <w:rFonts w:hint="default" w:ascii="Times New Roman" w:hAnsi="Times New Roman" w:eastAsia="宋体" w:cs="Times New Roman"/>
                <w:color w:val="000000" w:themeColor="text1"/>
                <w:kern w:val="0"/>
                <w:sz w:val="24"/>
                <w:szCs w:val="24"/>
                <w:highlight w:val="none"/>
                <w:lang w:val="zh-TW" w:eastAsia="zh-CN"/>
                <w14:textFill>
                  <w14:solidFill>
                    <w14:schemeClr w14:val="tx1"/>
                  </w14:solidFill>
                </w14:textFill>
              </w:rPr>
              <w:t>污泥产生量核定公式：</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000000" w:themeColor="text1"/>
                <w:kern w:val="0"/>
                <w:sz w:val="24"/>
                <w:highlight w:val="none"/>
                <w:lang w:val="zh-TW" w:eastAsia="zh-TW"/>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E</w:t>
            </w:r>
            <w:r>
              <w:rPr>
                <w:rFonts w:hint="default"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产生量</w:t>
            </w:r>
            <w:r>
              <w:rPr>
                <w:rFonts w:hint="default" w:ascii="Times New Roman" w:hAnsi="Times New Roman" w:eastAsia="宋体" w:cs="Times New Roman"/>
                <w:color w:val="000000" w:themeColor="text1"/>
                <w:sz w:val="24"/>
                <w:highlight w:val="none"/>
                <w:vertAlign w:val="baseline"/>
                <w:lang w:val="en-US" w:eastAsia="zh-CN"/>
                <w14:textFill>
                  <w14:solidFill>
                    <w14:schemeClr w14:val="tx1"/>
                  </w14:solidFill>
                </w14:textFill>
              </w:rPr>
              <w:t>—污水处理过程中产生的污泥量，以干泥计，t；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Q—</w:t>
            </w:r>
            <w:r>
              <w:rPr>
                <w:rFonts w:hint="default" w:ascii="Times New Roman" w:hAnsi="Times New Roman" w:eastAsia="宋体" w:cs="Times New Roman"/>
                <w:color w:val="000000" w:themeColor="text1"/>
                <w:sz w:val="24"/>
                <w:highlight w:val="none"/>
                <w14:textFill>
                  <w14:solidFill>
                    <w14:schemeClr w14:val="tx1"/>
                  </w14:solidFill>
                </w14:textFill>
              </w:rPr>
              <w:t>核算时段内排污单位废水排放量，m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，具有有效出水口实测值按实测值计，无有效出水口实测值按进水口实测值计，无有效进水口实测值按</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估算</w:t>
            </w:r>
            <w:r>
              <w:rPr>
                <w:rFonts w:hint="default" w:ascii="Times New Roman" w:hAnsi="Times New Roman" w:eastAsia="宋体" w:cs="Times New Roman"/>
                <w:color w:val="000000" w:themeColor="text1"/>
                <w:sz w:val="24"/>
                <w:highlight w:val="none"/>
                <w14:textFill>
                  <w14:solidFill>
                    <w14:schemeClr w14:val="tx1"/>
                  </w14:solidFill>
                </w14:textFill>
              </w:rPr>
              <w:t>进水水量计</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，本</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评价净水厂</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取值</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40000m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vertAlign w:val="baseline"/>
                <w:lang w:val="en-US" w:eastAsia="zh-CN"/>
                <w14:textFill>
                  <w14:solidFill>
                    <w14:schemeClr w14:val="tx1"/>
                  </w14:solidFill>
                </w14:textFill>
              </w:rPr>
              <w:t>W</w:t>
            </w:r>
            <w:r>
              <w:rPr>
                <w:rFonts w:hint="default"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深</w:t>
            </w:r>
            <w:r>
              <w:rPr>
                <w:rFonts w:hint="default" w:ascii="Times New Roman" w:hAnsi="Times New Roman" w:eastAsia="宋体" w:cs="Times New Roman"/>
                <w:color w:val="000000" w:themeColor="text1"/>
                <w:sz w:val="24"/>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有深度处理工艺</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添加化学药剂</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时按2计，无深度处理工艺时按1计，量纲</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一，本</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评价</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取值</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w:t>
            </w:r>
          </w:p>
          <w:p>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综上所述，</w:t>
            </w:r>
            <w:r>
              <w:rPr>
                <w:rFonts w:hint="default" w:ascii="Times New Roman" w:hAnsi="Times New Roman" w:eastAsia="宋体" w:cs="Times New Roman"/>
                <w:color w:val="000000" w:themeColor="text1"/>
                <w:sz w:val="24"/>
                <w:highlight w:val="none"/>
                <w14:textFill>
                  <w14:solidFill>
                    <w14:schemeClr w14:val="tx1"/>
                  </w14:solidFill>
                </w14:textFill>
              </w:rPr>
              <w:t>本项目</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净水厂</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产生的</w:t>
            </w:r>
            <w:r>
              <w:rPr>
                <w:rFonts w:hint="default" w:ascii="Times New Roman" w:hAnsi="Times New Roman" w:eastAsia="宋体" w:cs="Times New Roman"/>
                <w:color w:val="000000" w:themeColor="text1"/>
                <w:sz w:val="24"/>
                <w:highlight w:val="none"/>
                <w14:textFill>
                  <w14:solidFill>
                    <w14:schemeClr w14:val="tx1"/>
                  </w14:solidFill>
                </w14:textFill>
              </w:rPr>
              <w:t>污泥量为</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13.6</w:t>
            </w:r>
            <w:r>
              <w:rPr>
                <w:rFonts w:hint="default" w:ascii="Times New Roman" w:hAnsi="Times New Roman" w:eastAsia="宋体" w:cs="Times New Roman"/>
                <w:color w:val="000000" w:themeColor="text1"/>
                <w:sz w:val="24"/>
                <w:highlight w:val="none"/>
                <w14:textFill>
                  <w14:solidFill>
                    <w14:schemeClr w14:val="tx1"/>
                  </w14:solidFill>
                </w14:textFill>
              </w:rPr>
              <w:t>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d</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4964t/a</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项目在</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净水厂设置污泥脱水装置1套，产生的</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污泥暂存于污泥储池内，定期清理</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经</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污泥脱水装置脱水后委托污泥处置中心处置。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废包装材料</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项目辅料PAC、PAM采用编织袋包装装运至厂内，类比同类项目，废包装袋产生量约为0.3t/a，收集后暂存于一般固体废物暂存间，定期出售废品收购站。</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8</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废滤料</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本次工程水厂采用石英砂作为滤料，一年整体更换1次，更换量为1t/a，则产生的废滤料量约为1t/a，废滤料由滤料供应商回收处置。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9</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废次氯酸钠包装物</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本项目水厂原料次氯酸钠使用完后，将产生废弃的包装物等，类比同类项目，产生量约0.05t，收集后，由生产厂家直接用于周转。</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14:textFill>
                  <w14:solidFill>
                    <w14:schemeClr w14:val="tx1"/>
                  </w14:solidFill>
                </w14:textFill>
              </w:rPr>
              <w:t>隔油系统泔水油和废油脂</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本项目食用油年用量为</w:t>
            </w:r>
            <w:r>
              <w:rPr>
                <w:rFonts w:hint="eastAsia" w:ascii="Times New Roman" w:hAnsi="Times New Roman" w:eastAsia="宋体" w:cs="Times New Roman"/>
                <w:color w:val="000000" w:themeColor="text1"/>
                <w:sz w:val="24"/>
                <w:lang w:val="en-US" w:eastAsia="zh-CN"/>
                <w14:textFill>
                  <w14:solidFill>
                    <w14:schemeClr w14:val="tx1"/>
                  </w14:solidFill>
                </w14:textFill>
              </w:rPr>
              <w:t>492.75</w:t>
            </w:r>
            <w:r>
              <w:rPr>
                <w:rFonts w:hint="default" w:ascii="Times New Roman" w:hAnsi="Times New Roman" w:eastAsia="宋体" w:cs="Times New Roman"/>
                <w:color w:val="000000" w:themeColor="text1"/>
                <w:sz w:val="24"/>
                <w14:textFill>
                  <w14:solidFill>
                    <w14:schemeClr w14:val="tx1"/>
                  </w14:solidFill>
                </w14:textFill>
              </w:rPr>
              <w:t>kg/a，泔水油产生量以食用油用量的10%计，</w:t>
            </w:r>
            <w:r>
              <w:rPr>
                <w:rFonts w:hint="eastAsia" w:ascii="Times New Roman" w:hAnsi="Times New Roman" w:eastAsia="宋体" w:cs="Times New Roman"/>
                <w:color w:val="000000" w:themeColor="text1"/>
                <w:sz w:val="24"/>
                <w:lang w:val="en-US" w:eastAsia="zh-CN"/>
                <w14:textFill>
                  <w14:solidFill>
                    <w14:schemeClr w14:val="tx1"/>
                  </w14:solidFill>
                </w14:textFill>
              </w:rPr>
              <w:t>约</w:t>
            </w:r>
            <w:r>
              <w:rPr>
                <w:rFonts w:hint="default" w:ascii="Times New Roman" w:hAnsi="Times New Roman" w:eastAsia="宋体" w:cs="Times New Roman"/>
                <w:color w:val="000000" w:themeColor="text1"/>
                <w:sz w:val="24"/>
                <w14:textFill>
                  <w14:solidFill>
                    <w14:schemeClr w14:val="tx1"/>
                  </w14:solidFill>
                </w14:textFill>
              </w:rPr>
              <w:t>为</w:t>
            </w:r>
            <w:r>
              <w:rPr>
                <w:rFonts w:hint="eastAsia" w:ascii="Times New Roman" w:hAnsi="Times New Roman" w:eastAsia="宋体" w:cs="Times New Roman"/>
                <w:color w:val="000000" w:themeColor="text1"/>
                <w:sz w:val="24"/>
                <w:lang w:val="en-US" w:eastAsia="zh-CN"/>
                <w14:textFill>
                  <w14:solidFill>
                    <w14:schemeClr w14:val="tx1"/>
                  </w14:solidFill>
                </w14:textFill>
              </w:rPr>
              <w:t>49.28</w:t>
            </w:r>
            <w:r>
              <w:rPr>
                <w:rFonts w:hint="default" w:ascii="Times New Roman" w:hAnsi="Times New Roman" w:eastAsia="宋体" w:cs="Times New Roman"/>
                <w:color w:val="000000" w:themeColor="text1"/>
                <w:sz w:val="24"/>
                <w14:textFill>
                  <w14:solidFill>
                    <w14:schemeClr w14:val="tx1"/>
                  </w14:solidFill>
                </w14:textFill>
              </w:rPr>
              <w:t>kg/a。定期委托有资质单位统一回收处理</w:t>
            </w:r>
            <w:r>
              <w:rPr>
                <w:rFonts w:hint="default" w:ascii="Times New Roman" w:hAnsi="Times New Roman" w:eastAsia="宋体" w:cs="Times New Roman"/>
                <w:b w:val="0"/>
                <w:bCs w:val="0"/>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本项目固废产生情况见表4-1</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6</w:t>
            </w:r>
            <w:r>
              <w:rPr>
                <w:rFonts w:hint="default" w:ascii="Times New Roman" w:hAnsi="Times New Roman" w:eastAsia="宋体" w:cs="Times New Roman"/>
                <w:b w:val="0"/>
                <w:bCs w:val="0"/>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表4-1</w:t>
            </w:r>
            <w:r>
              <w:rPr>
                <w:rFonts w:hint="default" w:ascii="Times New Roman" w:hAnsi="Times New Roman" w:eastAsia="宋体" w:cs="Times New Roman"/>
                <w:b/>
                <w:bCs/>
                <w:color w:val="000000" w:themeColor="text1"/>
                <w:sz w:val="24"/>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14:textFill>
                  <w14:solidFill>
                    <w14:schemeClr w14:val="tx1"/>
                  </w14:solidFill>
                </w14:textFill>
              </w:rPr>
              <w:t xml:space="preserve">  固废产生情况</w:t>
            </w:r>
          </w:p>
          <w:tbl>
            <w:tblPr>
              <w:tblStyle w:val="22"/>
              <w:tblW w:w="80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963"/>
              <w:gridCol w:w="1121"/>
              <w:gridCol w:w="793"/>
              <w:gridCol w:w="1051"/>
              <w:gridCol w:w="2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568" w:type="dxa"/>
                  <w:vAlign w:val="center"/>
                </w:tcPr>
                <w:p>
                  <w:pPr>
                    <w:snapToGrid w:val="0"/>
                    <w:spacing w:line="0" w:lineRule="atLeast"/>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序号</w:t>
                  </w:r>
                </w:p>
              </w:tc>
              <w:tc>
                <w:tcPr>
                  <w:tcW w:w="1963" w:type="dxa"/>
                  <w:vAlign w:val="center"/>
                </w:tcPr>
                <w:p>
                  <w:pPr>
                    <w:snapToGrid w:val="0"/>
                    <w:spacing w:line="0" w:lineRule="atLeast"/>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固废名称</w:t>
                  </w:r>
                </w:p>
              </w:tc>
              <w:tc>
                <w:tcPr>
                  <w:tcW w:w="1121" w:type="dxa"/>
                  <w:vAlign w:val="center"/>
                </w:tcPr>
                <w:p>
                  <w:pPr>
                    <w:snapToGrid w:val="0"/>
                    <w:spacing w:line="0" w:lineRule="atLeast"/>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产生工序</w:t>
                  </w:r>
                </w:p>
              </w:tc>
              <w:tc>
                <w:tcPr>
                  <w:tcW w:w="793" w:type="dxa"/>
                  <w:vAlign w:val="center"/>
                </w:tcPr>
                <w:p>
                  <w:pPr>
                    <w:snapToGrid w:val="0"/>
                    <w:spacing w:line="0" w:lineRule="atLeast"/>
                    <w:jc w:val="cente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t>属性</w:t>
                  </w:r>
                </w:p>
              </w:tc>
              <w:tc>
                <w:tcPr>
                  <w:tcW w:w="1051" w:type="dxa"/>
                  <w:vAlign w:val="center"/>
                </w:tcPr>
                <w:p>
                  <w:pPr>
                    <w:snapToGrid w:val="0"/>
                    <w:spacing w:line="0" w:lineRule="atLeast"/>
                    <w:jc w:val="center"/>
                    <w:rPr>
                      <w:rFonts w:hint="default" w:ascii="Times New Roman" w:hAnsi="Times New Roman" w:eastAsia="宋体"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产生量</w:t>
                  </w:r>
                </w:p>
              </w:tc>
              <w:tc>
                <w:tcPr>
                  <w:tcW w:w="2587" w:type="dxa"/>
                  <w:vAlign w:val="center"/>
                </w:tcPr>
                <w:p>
                  <w:pPr>
                    <w:snapToGrid w:val="0"/>
                    <w:spacing w:line="0" w:lineRule="atLeast"/>
                    <w:jc w:val="center"/>
                    <w:rPr>
                      <w:rFonts w:hint="default" w:ascii="Times New Roman" w:hAnsi="Times New Roman" w:eastAsia="宋体"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利用处置方式和去向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68" w:type="dxa"/>
                  <w:vAlign w:val="center"/>
                </w:tcPr>
                <w:p>
                  <w:pPr>
                    <w:snapToGrid w:val="0"/>
                    <w:spacing w:line="0" w:lineRule="atLeast"/>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1</w:t>
                  </w:r>
                </w:p>
              </w:tc>
              <w:tc>
                <w:tcPr>
                  <w:tcW w:w="1963" w:type="dxa"/>
                  <w:vAlign w:val="center"/>
                </w:tcPr>
                <w:p>
                  <w:pPr>
                    <w:jc w:val="center"/>
                    <w:rPr>
                      <w:rFonts w:hint="eastAsia" w:ascii="Times New Roman" w:hAnsi="Times New Roman" w:eastAsia="宋体" w:cs="Times New Roman"/>
                      <w:b w:val="0"/>
                      <w:bCs w:val="0"/>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Cs w:val="21"/>
                      <w:lang w:val="en-US" w:eastAsia="zh-CN"/>
                      <w14:textFill>
                        <w14:solidFill>
                          <w14:schemeClr w14:val="tx1"/>
                        </w14:solidFill>
                      </w14:textFill>
                    </w:rPr>
                    <w:t>废机油</w:t>
                  </w:r>
                </w:p>
              </w:tc>
              <w:tc>
                <w:tcPr>
                  <w:tcW w:w="1121" w:type="dxa"/>
                  <w:vAlign w:val="center"/>
                </w:tcPr>
                <w:p>
                  <w:pPr>
                    <w:jc w:val="center"/>
                    <w:rPr>
                      <w:rFonts w:hint="eastAsia" w:ascii="Times New Roman" w:hAnsi="Times New Roman" w:eastAsia="宋体" w:cs="Times New Roman"/>
                      <w:b w:val="0"/>
                      <w:bCs w:val="0"/>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Cs w:val="21"/>
                      <w:lang w:val="en-US" w:eastAsia="zh-CN"/>
                      <w14:textFill>
                        <w14:solidFill>
                          <w14:schemeClr w14:val="tx1"/>
                        </w14:solidFill>
                      </w14:textFill>
                    </w:rPr>
                    <w:t>检修</w:t>
                  </w:r>
                </w:p>
              </w:tc>
              <w:tc>
                <w:tcPr>
                  <w:tcW w:w="793" w:type="dxa"/>
                  <w:vAlign w:val="center"/>
                </w:tcPr>
                <w:p>
                  <w:pPr>
                    <w:jc w:val="center"/>
                    <w:rPr>
                      <w:rFonts w:hint="default" w:ascii="Times New Roman" w:hAnsi="Times New Roman" w:eastAsia="宋体" w:cs="Times New Roman"/>
                      <w:b w:val="0"/>
                      <w:bCs w:val="0"/>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Cs w:val="21"/>
                      <w:lang w:val="en-US" w:eastAsia="zh-CN"/>
                      <w14:textFill>
                        <w14:solidFill>
                          <w14:schemeClr w14:val="tx1"/>
                        </w14:solidFill>
                      </w14:textFill>
                    </w:rPr>
                    <w:t>危险废物</w:t>
                  </w:r>
                </w:p>
              </w:tc>
              <w:tc>
                <w:tcPr>
                  <w:tcW w:w="1051" w:type="dxa"/>
                  <w:vAlign w:val="center"/>
                </w:tcPr>
                <w:p>
                  <w:pPr>
                    <w:jc w:val="center"/>
                    <w:rPr>
                      <w:rFonts w:hint="default" w:ascii="Times New Roman" w:hAnsi="Times New Roman" w:cs="Times New Roman"/>
                      <w:b w:val="0"/>
                      <w:bCs w:val="0"/>
                      <w:color w:val="000000" w:themeColor="text1"/>
                      <w:kern w:val="0"/>
                      <w:szCs w:val="21"/>
                      <w14:textFill>
                        <w14:solidFill>
                          <w14:schemeClr w14:val="tx1"/>
                        </w14:solidFill>
                      </w14:textFill>
                    </w:rPr>
                  </w:pPr>
                  <w:r>
                    <w:rPr>
                      <w:rFonts w:hint="eastAsia" w:ascii="Times New Roman" w:hAnsi="Times New Roman" w:eastAsia="宋体" w:cs="Times New Roman"/>
                      <w:b w:val="0"/>
                      <w:bCs w:val="0"/>
                      <w:color w:val="000000" w:themeColor="text1"/>
                      <w:kern w:val="0"/>
                      <w:szCs w:val="21"/>
                      <w:lang w:val="en-US" w:eastAsia="zh-CN"/>
                      <w14:textFill>
                        <w14:solidFill>
                          <w14:schemeClr w14:val="tx1"/>
                        </w14:solidFill>
                      </w14:textFill>
                    </w:rPr>
                    <w:t>0.5t/a</w:t>
                  </w:r>
                </w:p>
              </w:tc>
              <w:tc>
                <w:tcPr>
                  <w:tcW w:w="2587" w:type="dxa"/>
                  <w:vAlign w:val="center"/>
                </w:tcPr>
                <w:p>
                  <w:pPr>
                    <w:jc w:val="both"/>
                    <w:rPr>
                      <w:rFonts w:hint="default" w:ascii="Times New Roman" w:hAnsi="Times New Roman" w:eastAsia="宋体" w:cs="Times New Roman"/>
                      <w:b w:val="0"/>
                      <w:bCs w:val="0"/>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Cs w:val="21"/>
                      <w:lang w:val="en-US" w:eastAsia="zh-CN"/>
                      <w14:textFill>
                        <w14:solidFill>
                          <w14:schemeClr w14:val="tx1"/>
                        </w14:solidFill>
                      </w14:textFill>
                    </w:rPr>
                    <w:t>采用包装桶收集，贮存于净水厂内的危险废物暂存间，定期交由有相应资质的危险废物处置单位处置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568" w:type="dxa"/>
                  <w:vAlign w:val="center"/>
                </w:tcPr>
                <w:p>
                  <w:pPr>
                    <w:snapToGrid w:val="0"/>
                    <w:spacing w:line="0" w:lineRule="atLeast"/>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2</w:t>
                  </w:r>
                </w:p>
              </w:tc>
              <w:tc>
                <w:tcPr>
                  <w:tcW w:w="1963" w:type="dxa"/>
                  <w:vAlign w:val="center"/>
                </w:tcPr>
                <w:p>
                  <w:pPr>
                    <w:jc w:val="center"/>
                    <w:rPr>
                      <w:rFonts w:hint="eastAsia" w:ascii="Times New Roman" w:hAnsi="Times New Roman" w:eastAsia="宋体" w:cs="Times New Roman"/>
                      <w:b w:val="0"/>
                      <w:bCs w:val="0"/>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Cs w:val="21"/>
                      <w:lang w:val="en-US" w:eastAsia="zh-CN"/>
                      <w14:textFill>
                        <w14:solidFill>
                          <w14:schemeClr w14:val="tx1"/>
                        </w14:solidFill>
                      </w14:textFill>
                    </w:rPr>
                    <w:t>废油桶</w:t>
                  </w:r>
                </w:p>
              </w:tc>
              <w:tc>
                <w:tcPr>
                  <w:tcW w:w="1121" w:type="dxa"/>
                  <w:vAlign w:val="center"/>
                </w:tcPr>
                <w:p>
                  <w:pPr>
                    <w:jc w:val="center"/>
                    <w:rPr>
                      <w:rFonts w:hint="default" w:ascii="Times New Roman" w:hAnsi="Times New Roman" w:cs="Times New Roman"/>
                      <w:b w:val="0"/>
                      <w:bCs w:val="0"/>
                      <w:color w:val="000000" w:themeColor="text1"/>
                      <w:kern w:val="0"/>
                      <w:szCs w:val="21"/>
                      <w14:textFill>
                        <w14:solidFill>
                          <w14:schemeClr w14:val="tx1"/>
                        </w14:solidFill>
                      </w14:textFill>
                    </w:rPr>
                  </w:pPr>
                  <w:r>
                    <w:rPr>
                      <w:rFonts w:hint="eastAsia" w:ascii="Times New Roman" w:hAnsi="Times New Roman" w:eastAsia="宋体" w:cs="Times New Roman"/>
                      <w:b w:val="0"/>
                      <w:bCs w:val="0"/>
                      <w:color w:val="000000" w:themeColor="text1"/>
                      <w:kern w:val="0"/>
                      <w:szCs w:val="21"/>
                      <w:lang w:val="en-US" w:eastAsia="zh-CN"/>
                      <w14:textFill>
                        <w14:solidFill>
                          <w14:schemeClr w14:val="tx1"/>
                        </w14:solidFill>
                      </w14:textFill>
                    </w:rPr>
                    <w:t>检修</w:t>
                  </w:r>
                </w:p>
              </w:tc>
              <w:tc>
                <w:tcPr>
                  <w:tcW w:w="793" w:type="dxa"/>
                  <w:vAlign w:val="center"/>
                </w:tcPr>
                <w:p>
                  <w:pPr>
                    <w:jc w:val="center"/>
                    <w:rPr>
                      <w:rFonts w:hint="default" w:ascii="Times New Roman" w:hAnsi="Times New Roman" w:cs="Times New Roman"/>
                      <w:b w:val="0"/>
                      <w:bCs w:val="0"/>
                      <w:color w:val="000000" w:themeColor="text1"/>
                      <w:kern w:val="0"/>
                      <w:szCs w:val="21"/>
                      <w14:textFill>
                        <w14:solidFill>
                          <w14:schemeClr w14:val="tx1"/>
                        </w14:solidFill>
                      </w14:textFill>
                    </w:rPr>
                  </w:pPr>
                  <w:r>
                    <w:rPr>
                      <w:rFonts w:hint="eastAsia" w:ascii="Times New Roman" w:hAnsi="Times New Roman" w:eastAsia="宋体" w:cs="Times New Roman"/>
                      <w:b w:val="0"/>
                      <w:bCs w:val="0"/>
                      <w:color w:val="000000" w:themeColor="text1"/>
                      <w:kern w:val="0"/>
                      <w:szCs w:val="21"/>
                      <w:lang w:val="en-US" w:eastAsia="zh-CN"/>
                      <w14:textFill>
                        <w14:solidFill>
                          <w14:schemeClr w14:val="tx1"/>
                        </w14:solidFill>
                      </w14:textFill>
                    </w:rPr>
                    <w:t>危险废物</w:t>
                  </w:r>
                </w:p>
              </w:tc>
              <w:tc>
                <w:tcPr>
                  <w:tcW w:w="1051" w:type="dxa"/>
                  <w:vAlign w:val="center"/>
                </w:tcPr>
                <w:p>
                  <w:pPr>
                    <w:jc w:val="center"/>
                    <w:rPr>
                      <w:rFonts w:hint="default" w:ascii="Times New Roman" w:hAnsi="Times New Roman" w:cs="Times New Roman"/>
                      <w:b w:val="0"/>
                      <w:bCs w:val="0"/>
                      <w:color w:val="000000" w:themeColor="text1"/>
                      <w:kern w:val="0"/>
                      <w:szCs w:val="21"/>
                      <w14:textFill>
                        <w14:solidFill>
                          <w14:schemeClr w14:val="tx1"/>
                        </w14:solidFill>
                      </w14:textFill>
                    </w:rPr>
                  </w:pPr>
                  <w:r>
                    <w:rPr>
                      <w:rFonts w:hint="eastAsia" w:ascii="Times New Roman" w:hAnsi="Times New Roman" w:eastAsia="宋体" w:cs="Times New Roman"/>
                      <w:b w:val="0"/>
                      <w:bCs w:val="0"/>
                      <w:color w:val="000000" w:themeColor="text1"/>
                      <w:kern w:val="0"/>
                      <w:szCs w:val="21"/>
                      <w:lang w:val="en-US" w:eastAsia="zh-CN"/>
                      <w14:textFill>
                        <w14:solidFill>
                          <w14:schemeClr w14:val="tx1"/>
                        </w14:solidFill>
                      </w14:textFill>
                    </w:rPr>
                    <w:t>0.05t/a</w:t>
                  </w:r>
                </w:p>
              </w:tc>
              <w:tc>
                <w:tcPr>
                  <w:tcW w:w="2587" w:type="dxa"/>
                  <w:vAlign w:val="center"/>
                </w:tcPr>
                <w:p>
                  <w:pPr>
                    <w:jc w:val="both"/>
                    <w:rPr>
                      <w:rFonts w:hint="default" w:ascii="Times New Roman" w:hAnsi="Times New Roman" w:eastAsia="宋体" w:cs="Times New Roman"/>
                      <w:b w:val="0"/>
                      <w:bCs w:val="0"/>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Cs w:val="21"/>
                      <w:lang w:val="en-US" w:eastAsia="zh-CN"/>
                      <w14:textFill>
                        <w14:solidFill>
                          <w14:schemeClr w14:val="tx1"/>
                        </w14:solidFill>
                      </w14:textFill>
                    </w:rPr>
                    <w:t>贮存于净水厂内的危险废物暂存间，定期交由有相应资质的危险废物处置单位处置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68" w:type="dxa"/>
                  <w:vAlign w:val="center"/>
                </w:tcPr>
                <w:p>
                  <w:pPr>
                    <w:snapToGrid w:val="0"/>
                    <w:spacing w:line="0" w:lineRule="atLeast"/>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3</w:t>
                  </w:r>
                </w:p>
              </w:tc>
              <w:tc>
                <w:tcPr>
                  <w:tcW w:w="1963" w:type="dxa"/>
                  <w:vAlign w:val="center"/>
                </w:tcPr>
                <w:p>
                  <w:pPr>
                    <w:jc w:val="center"/>
                    <w:rPr>
                      <w:rFonts w:hint="default" w:ascii="Times New Roman" w:hAnsi="Times New Roman" w:eastAsia="宋体" w:cs="Times New Roman"/>
                      <w:b w:val="0"/>
                      <w:bCs w:val="0"/>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Cs w:val="21"/>
                      <w:lang w:val="en-US" w:eastAsia="zh-CN"/>
                      <w14:textFill>
                        <w14:solidFill>
                          <w14:schemeClr w14:val="tx1"/>
                        </w14:solidFill>
                      </w14:textFill>
                    </w:rPr>
                    <w:t>废含油抹布、手套</w:t>
                  </w:r>
                </w:p>
              </w:tc>
              <w:tc>
                <w:tcPr>
                  <w:tcW w:w="1121" w:type="dxa"/>
                  <w:vAlign w:val="center"/>
                </w:tcPr>
                <w:p>
                  <w:pPr>
                    <w:jc w:val="center"/>
                    <w:rPr>
                      <w:rFonts w:hint="default" w:ascii="Times New Roman" w:hAnsi="Times New Roman" w:cs="Times New Roman"/>
                      <w:b w:val="0"/>
                      <w:bCs w:val="0"/>
                      <w:color w:val="000000" w:themeColor="text1"/>
                      <w:kern w:val="0"/>
                      <w:szCs w:val="21"/>
                      <w14:textFill>
                        <w14:solidFill>
                          <w14:schemeClr w14:val="tx1"/>
                        </w14:solidFill>
                      </w14:textFill>
                    </w:rPr>
                  </w:pPr>
                  <w:r>
                    <w:rPr>
                      <w:rFonts w:hint="eastAsia" w:ascii="Times New Roman" w:hAnsi="Times New Roman" w:eastAsia="宋体" w:cs="Times New Roman"/>
                      <w:b w:val="0"/>
                      <w:bCs w:val="0"/>
                      <w:color w:val="000000" w:themeColor="text1"/>
                      <w:kern w:val="0"/>
                      <w:szCs w:val="21"/>
                      <w:lang w:val="en-US" w:eastAsia="zh-CN"/>
                      <w14:textFill>
                        <w14:solidFill>
                          <w14:schemeClr w14:val="tx1"/>
                        </w14:solidFill>
                      </w14:textFill>
                    </w:rPr>
                    <w:t>检修</w:t>
                  </w:r>
                </w:p>
              </w:tc>
              <w:tc>
                <w:tcPr>
                  <w:tcW w:w="793" w:type="dxa"/>
                  <w:vAlign w:val="center"/>
                </w:tcPr>
                <w:p>
                  <w:pPr>
                    <w:jc w:val="center"/>
                    <w:rPr>
                      <w:rFonts w:hint="default" w:ascii="Times New Roman" w:hAnsi="Times New Roman" w:cs="Times New Roman"/>
                      <w:b w:val="0"/>
                      <w:bCs w:val="0"/>
                      <w:color w:val="000000" w:themeColor="text1"/>
                      <w:kern w:val="0"/>
                      <w:szCs w:val="21"/>
                      <w14:textFill>
                        <w14:solidFill>
                          <w14:schemeClr w14:val="tx1"/>
                        </w14:solidFill>
                      </w14:textFill>
                    </w:rPr>
                  </w:pPr>
                  <w:r>
                    <w:rPr>
                      <w:rFonts w:hint="eastAsia" w:ascii="Times New Roman" w:hAnsi="Times New Roman" w:eastAsia="宋体" w:cs="Times New Roman"/>
                      <w:b w:val="0"/>
                      <w:bCs w:val="0"/>
                      <w:color w:val="000000" w:themeColor="text1"/>
                      <w:kern w:val="0"/>
                      <w:szCs w:val="21"/>
                      <w:lang w:val="en-US" w:eastAsia="zh-CN"/>
                      <w14:textFill>
                        <w14:solidFill>
                          <w14:schemeClr w14:val="tx1"/>
                        </w14:solidFill>
                      </w14:textFill>
                    </w:rPr>
                    <w:t>危险废物</w:t>
                  </w:r>
                </w:p>
              </w:tc>
              <w:tc>
                <w:tcPr>
                  <w:tcW w:w="1051" w:type="dxa"/>
                  <w:vAlign w:val="center"/>
                </w:tcPr>
                <w:p>
                  <w:pPr>
                    <w:jc w:val="center"/>
                    <w:rPr>
                      <w:rFonts w:hint="default" w:ascii="Times New Roman" w:hAnsi="Times New Roman" w:cs="Times New Roman"/>
                      <w:b w:val="0"/>
                      <w:bCs w:val="0"/>
                      <w:color w:val="000000" w:themeColor="text1"/>
                      <w:kern w:val="0"/>
                      <w:szCs w:val="21"/>
                      <w14:textFill>
                        <w14:solidFill>
                          <w14:schemeClr w14:val="tx1"/>
                        </w14:solidFill>
                      </w14:textFill>
                    </w:rPr>
                  </w:pPr>
                  <w:r>
                    <w:rPr>
                      <w:rFonts w:hint="eastAsia" w:ascii="Times New Roman" w:hAnsi="Times New Roman" w:eastAsia="宋体" w:cs="Times New Roman"/>
                      <w:b w:val="0"/>
                      <w:bCs w:val="0"/>
                      <w:color w:val="000000" w:themeColor="text1"/>
                      <w:kern w:val="0"/>
                      <w:szCs w:val="21"/>
                      <w:lang w:val="en-US" w:eastAsia="zh-CN"/>
                      <w14:textFill>
                        <w14:solidFill>
                          <w14:schemeClr w14:val="tx1"/>
                        </w14:solidFill>
                      </w14:textFill>
                    </w:rPr>
                    <w:t>0.002t/a</w:t>
                  </w:r>
                </w:p>
              </w:tc>
              <w:tc>
                <w:tcPr>
                  <w:tcW w:w="2587" w:type="dxa"/>
                  <w:vAlign w:val="center"/>
                </w:tcPr>
                <w:p>
                  <w:pPr>
                    <w:jc w:val="both"/>
                    <w:rPr>
                      <w:rFonts w:hint="default" w:ascii="Times New Roman" w:hAnsi="Times New Roman" w:eastAsia="宋体" w:cs="Times New Roman"/>
                      <w:b w:val="0"/>
                      <w:bCs w:val="0"/>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Cs w:val="21"/>
                      <w:lang w:val="en-US" w:eastAsia="zh-CN"/>
                      <w14:textFill>
                        <w14:solidFill>
                          <w14:schemeClr w14:val="tx1"/>
                        </w14:solidFill>
                      </w14:textFill>
                    </w:rPr>
                    <w:t>采用塑胶桶收集，贮存于净水厂内的危险废物暂存间，定期交由有相应资质的危险废物处置单位处置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68" w:type="dxa"/>
                  <w:vAlign w:val="center"/>
                </w:tcPr>
                <w:p>
                  <w:pPr>
                    <w:snapToGrid w:val="0"/>
                    <w:spacing w:line="0" w:lineRule="atLeast"/>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4</w:t>
                  </w:r>
                </w:p>
              </w:tc>
              <w:tc>
                <w:tcPr>
                  <w:tcW w:w="1963" w:type="dxa"/>
                  <w:vAlign w:val="center"/>
                </w:tcPr>
                <w:p>
                  <w:pPr>
                    <w:jc w:val="center"/>
                    <w:rPr>
                      <w:rFonts w:hint="eastAsia" w:ascii="Times New Roman" w:hAnsi="Times New Roman" w:eastAsia="宋体" w:cs="Times New Roman"/>
                      <w:b w:val="0"/>
                      <w:bCs w:val="0"/>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Cs w:val="21"/>
                      <w:lang w:val="en-US" w:eastAsia="zh-CN"/>
                      <w14:textFill>
                        <w14:solidFill>
                          <w14:schemeClr w14:val="tx1"/>
                        </w14:solidFill>
                      </w14:textFill>
                    </w:rPr>
                    <w:t>废弃化学品容器</w:t>
                  </w:r>
                </w:p>
              </w:tc>
              <w:tc>
                <w:tcPr>
                  <w:tcW w:w="1121" w:type="dxa"/>
                  <w:vAlign w:val="center"/>
                </w:tcPr>
                <w:p>
                  <w:pPr>
                    <w:jc w:val="center"/>
                    <w:rPr>
                      <w:rFonts w:hint="eastAsia" w:ascii="Times New Roman" w:hAnsi="Times New Roman" w:eastAsia="宋体" w:cs="Times New Roman"/>
                      <w:b w:val="0"/>
                      <w:bCs w:val="0"/>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Cs w:val="21"/>
                      <w:lang w:val="en-US" w:eastAsia="zh-CN"/>
                      <w14:textFill>
                        <w14:solidFill>
                          <w14:schemeClr w14:val="tx1"/>
                        </w14:solidFill>
                      </w14:textFill>
                    </w:rPr>
                    <w:t>化验室</w:t>
                  </w:r>
                </w:p>
              </w:tc>
              <w:tc>
                <w:tcPr>
                  <w:tcW w:w="793" w:type="dxa"/>
                  <w:vAlign w:val="center"/>
                </w:tcPr>
                <w:p>
                  <w:pPr>
                    <w:jc w:val="center"/>
                    <w:rPr>
                      <w:rFonts w:hint="eastAsia" w:ascii="Times New Roman" w:hAnsi="Times New Roman" w:cs="Times New Roman"/>
                      <w:b w:val="0"/>
                      <w:bCs w:val="0"/>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Cs w:val="21"/>
                      <w:lang w:val="en-US" w:eastAsia="zh-CN"/>
                      <w14:textFill>
                        <w14:solidFill>
                          <w14:schemeClr w14:val="tx1"/>
                        </w14:solidFill>
                      </w14:textFill>
                    </w:rPr>
                    <w:t>危险废物</w:t>
                  </w:r>
                </w:p>
              </w:tc>
              <w:tc>
                <w:tcPr>
                  <w:tcW w:w="1051" w:type="dxa"/>
                  <w:vAlign w:val="center"/>
                </w:tcPr>
                <w:p>
                  <w:pPr>
                    <w:jc w:val="center"/>
                    <w:rPr>
                      <w:rFonts w:hint="eastAsia" w:ascii="Times New Roman" w:hAnsi="Times New Roman" w:cs="Times New Roman"/>
                      <w:b w:val="0"/>
                      <w:bCs w:val="0"/>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Cs w:val="21"/>
                      <w:lang w:val="en-US" w:eastAsia="zh-CN"/>
                      <w14:textFill>
                        <w14:solidFill>
                          <w14:schemeClr w14:val="tx1"/>
                        </w14:solidFill>
                      </w14:textFill>
                    </w:rPr>
                    <w:t>0.5t/a</w:t>
                  </w:r>
                </w:p>
              </w:tc>
              <w:tc>
                <w:tcPr>
                  <w:tcW w:w="2587" w:type="dxa"/>
                  <w:vAlign w:val="center"/>
                </w:tcPr>
                <w:p>
                  <w:pPr>
                    <w:jc w:val="both"/>
                    <w:rPr>
                      <w:rFonts w:hint="default" w:ascii="Times New Roman" w:hAnsi="Times New Roman" w:eastAsia="宋体" w:cs="Times New Roman"/>
                      <w:b w:val="0"/>
                      <w:bCs w:val="0"/>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Cs w:val="21"/>
                      <w:lang w:val="en-US" w:eastAsia="zh-CN"/>
                      <w14:textFill>
                        <w14:solidFill>
                          <w14:schemeClr w14:val="tx1"/>
                        </w14:solidFill>
                      </w14:textFill>
                    </w:rPr>
                    <w:t>贮存于净水厂内的危险废物暂存间，定期交由有相应资质的危险废物处置单位处置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68" w:type="dxa"/>
                  <w:vAlign w:val="center"/>
                </w:tcPr>
                <w:p>
                  <w:pPr>
                    <w:snapToGrid w:val="0"/>
                    <w:spacing w:line="0" w:lineRule="atLeast"/>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5</w:t>
                  </w:r>
                </w:p>
              </w:tc>
              <w:tc>
                <w:tcPr>
                  <w:tcW w:w="1963" w:type="dxa"/>
                  <w:vAlign w:val="center"/>
                </w:tcPr>
                <w:p>
                  <w:pPr>
                    <w:jc w:val="center"/>
                    <w:rPr>
                      <w:rFonts w:hint="default" w:ascii="Times New Roman" w:hAnsi="Times New Roman" w:eastAsia="宋体" w:cs="Times New Roman"/>
                      <w:b w:val="0"/>
                      <w:bCs w:val="0"/>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Cs w:val="21"/>
                      <w:lang w:val="en-US" w:eastAsia="zh-CN"/>
                      <w14:textFill>
                        <w14:solidFill>
                          <w14:schemeClr w14:val="tx1"/>
                        </w14:solidFill>
                      </w14:textFill>
                    </w:rPr>
                    <w:t>生活垃圾</w:t>
                  </w:r>
                </w:p>
              </w:tc>
              <w:tc>
                <w:tcPr>
                  <w:tcW w:w="1121" w:type="dxa"/>
                  <w:vAlign w:val="center"/>
                </w:tcPr>
                <w:p>
                  <w:pPr>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生活办公</w:t>
                  </w:r>
                </w:p>
              </w:tc>
              <w:tc>
                <w:tcPr>
                  <w:tcW w:w="793" w:type="dxa"/>
                  <w:vAlign w:val="center"/>
                </w:tcPr>
                <w:p>
                  <w:pPr>
                    <w:jc w:val="center"/>
                    <w:rPr>
                      <w:rFonts w:hint="default" w:ascii="Times New Roman" w:hAnsi="Times New Roman" w:eastAsia="宋体" w:cs="Times New Roman"/>
                      <w:b w:val="0"/>
                      <w:bCs w:val="0"/>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生活垃圾</w:t>
                  </w:r>
                </w:p>
              </w:tc>
              <w:tc>
                <w:tcPr>
                  <w:tcW w:w="1051" w:type="dxa"/>
                  <w:vAlign w:val="center"/>
                </w:tcPr>
                <w:p>
                  <w:pPr>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5.475</w:t>
                  </w:r>
                  <w:r>
                    <w:rPr>
                      <w:rFonts w:hint="eastAsia" w:ascii="Times New Roman" w:hAnsi="Times New Roman" w:eastAsia="宋体" w:cs="Times New Roman"/>
                      <w:b w:val="0"/>
                      <w:bCs w:val="0"/>
                      <w:color w:val="000000" w:themeColor="text1"/>
                      <w:kern w:val="0"/>
                      <w:szCs w:val="21"/>
                      <w:lang w:val="en-US" w:eastAsia="zh-CN"/>
                      <w14:textFill>
                        <w14:solidFill>
                          <w14:schemeClr w14:val="tx1"/>
                        </w14:solidFill>
                      </w14:textFill>
                    </w:rPr>
                    <w:t>t/a</w:t>
                  </w:r>
                </w:p>
              </w:tc>
              <w:tc>
                <w:tcPr>
                  <w:tcW w:w="2587" w:type="dxa"/>
                  <w:vAlign w:val="center"/>
                </w:tcPr>
                <w:p>
                  <w:pPr>
                    <w:contextualSpacing/>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8" w:type="dxa"/>
                  <w:vAlign w:val="center"/>
                </w:tcPr>
                <w:p>
                  <w:pPr>
                    <w:snapToGrid w:val="0"/>
                    <w:spacing w:line="0" w:lineRule="atLeast"/>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t>6</w:t>
                  </w:r>
                </w:p>
              </w:tc>
              <w:tc>
                <w:tcPr>
                  <w:tcW w:w="1963" w:type="dxa"/>
                  <w:vAlign w:val="center"/>
                </w:tcPr>
                <w:p>
                  <w:pPr>
                    <w:jc w:val="center"/>
                    <w:rPr>
                      <w:rFonts w:hint="default" w:ascii="Times New Roman" w:hAnsi="Times New Roman" w:eastAsia="宋体" w:cs="Times New Roman"/>
                      <w:b w:val="0"/>
                      <w:bCs w:val="0"/>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Cs w:val="21"/>
                      <w:lang w:val="en-US" w:eastAsia="zh-CN"/>
                      <w14:textFill>
                        <w14:solidFill>
                          <w14:schemeClr w14:val="tx1"/>
                        </w14:solidFill>
                      </w14:textFill>
                    </w:rPr>
                    <w:t>净水厂污泥</w:t>
                  </w:r>
                </w:p>
              </w:tc>
              <w:tc>
                <w:tcPr>
                  <w:tcW w:w="1121" w:type="dxa"/>
                  <w:vAlign w:val="center"/>
                </w:tcPr>
                <w:p>
                  <w:pPr>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Cs w:val="21"/>
                      <w:lang w:val="en-US" w:eastAsia="zh-CN"/>
                      <w14:textFill>
                        <w14:solidFill>
                          <w14:schemeClr w14:val="tx1"/>
                        </w14:solidFill>
                      </w14:textFill>
                    </w:rPr>
                    <w:t>污泥</w:t>
                  </w:r>
                  <w:r>
                    <w:rPr>
                      <w:rFonts w:hint="default" w:ascii="Times New Roman" w:hAnsi="Times New Roman" w:eastAsia="宋体" w:cs="Times New Roman"/>
                      <w:b w:val="0"/>
                      <w:bCs w:val="0"/>
                      <w:color w:val="000000" w:themeColor="text1"/>
                      <w:kern w:val="0"/>
                      <w:szCs w:val="21"/>
                      <w14:textFill>
                        <w14:solidFill>
                          <w14:schemeClr w14:val="tx1"/>
                        </w14:solidFill>
                      </w14:textFill>
                    </w:rPr>
                    <w:t>处理</w:t>
                  </w:r>
                </w:p>
              </w:tc>
              <w:tc>
                <w:tcPr>
                  <w:tcW w:w="793" w:type="dxa"/>
                  <w:vAlign w:val="center"/>
                </w:tcPr>
                <w:p>
                  <w:pPr>
                    <w:jc w:val="center"/>
                    <w:rPr>
                      <w:rFonts w:hint="default" w:ascii="Times New Roman" w:hAnsi="Times New Roman" w:eastAsia="宋体" w:cs="Times New Roman"/>
                      <w:b w:val="0"/>
                      <w:bCs w:val="0"/>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一般固废</w:t>
                  </w:r>
                </w:p>
              </w:tc>
              <w:tc>
                <w:tcPr>
                  <w:tcW w:w="1051" w:type="dxa"/>
                  <w:vAlign w:val="center"/>
                </w:tcPr>
                <w:p>
                  <w:pPr>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Cs w:val="21"/>
                      <w:lang w:val="en-US" w:eastAsia="zh-CN"/>
                      <w14:textFill>
                        <w14:solidFill>
                          <w14:schemeClr w14:val="tx1"/>
                        </w14:solidFill>
                      </w14:textFill>
                    </w:rPr>
                    <w:t>4964t/a</w:t>
                  </w:r>
                </w:p>
              </w:tc>
              <w:tc>
                <w:tcPr>
                  <w:tcW w:w="2587" w:type="dxa"/>
                  <w:vAlign w:val="center"/>
                </w:tcPr>
                <w:p>
                  <w:pPr>
                    <w:snapToGrid w:val="0"/>
                    <w:spacing w:line="0" w:lineRule="atLeast"/>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定期清掏，运送至垃圾填埋场进行填埋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8" w:type="dxa"/>
                  <w:vAlign w:val="center"/>
                </w:tcPr>
                <w:p>
                  <w:pPr>
                    <w:snapToGrid w:val="0"/>
                    <w:spacing w:line="0" w:lineRule="atLeast"/>
                    <w:jc w:val="cente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t>7</w:t>
                  </w:r>
                </w:p>
              </w:tc>
              <w:tc>
                <w:tcPr>
                  <w:tcW w:w="1963" w:type="dxa"/>
                  <w:vAlign w:val="center"/>
                </w:tcPr>
                <w:p>
                  <w:pPr>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废包装材料</w:t>
                  </w:r>
                </w:p>
              </w:tc>
              <w:tc>
                <w:tcPr>
                  <w:tcW w:w="1121" w:type="dxa"/>
                  <w:vAlign w:val="center"/>
                </w:tcPr>
                <w:p>
                  <w:pPr>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生产工序</w:t>
                  </w:r>
                </w:p>
              </w:tc>
              <w:tc>
                <w:tcPr>
                  <w:tcW w:w="793" w:type="dxa"/>
                  <w:vAlign w:val="center"/>
                </w:tcPr>
                <w:p>
                  <w:pPr>
                    <w:jc w:val="center"/>
                    <w:rPr>
                      <w:rFonts w:hint="default" w:ascii="Times New Roman" w:hAnsi="Times New Roman" w:eastAsia="宋体" w:cs="Times New Roman"/>
                      <w:b w:val="0"/>
                      <w:bCs w:val="0"/>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一般固废</w:t>
                  </w:r>
                </w:p>
              </w:tc>
              <w:tc>
                <w:tcPr>
                  <w:tcW w:w="1051" w:type="dxa"/>
                  <w:vAlign w:val="center"/>
                </w:tcPr>
                <w:p>
                  <w:pPr>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0.3</w:t>
                  </w:r>
                  <w:r>
                    <w:rPr>
                      <w:rFonts w:hint="eastAsia" w:ascii="Times New Roman" w:hAnsi="Times New Roman" w:eastAsia="宋体" w:cs="Times New Roman"/>
                      <w:b w:val="0"/>
                      <w:bCs w:val="0"/>
                      <w:color w:val="000000" w:themeColor="text1"/>
                      <w:kern w:val="0"/>
                      <w:szCs w:val="21"/>
                      <w:lang w:val="en-US" w:eastAsia="zh-CN"/>
                      <w14:textFill>
                        <w14:solidFill>
                          <w14:schemeClr w14:val="tx1"/>
                        </w14:solidFill>
                      </w14:textFill>
                    </w:rPr>
                    <w:t>t/a</w:t>
                  </w:r>
                </w:p>
              </w:tc>
              <w:tc>
                <w:tcPr>
                  <w:tcW w:w="2587" w:type="dxa"/>
                  <w:vAlign w:val="center"/>
                </w:tcPr>
                <w:p>
                  <w:pPr>
                    <w:spacing w:line="0" w:lineRule="atLeast"/>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定期出售废品收购站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8" w:type="dxa"/>
                  <w:vAlign w:val="center"/>
                </w:tcPr>
                <w:p>
                  <w:pPr>
                    <w:snapToGrid w:val="0"/>
                    <w:spacing w:line="0" w:lineRule="atLeast"/>
                    <w:jc w:val="cente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t>8</w:t>
                  </w:r>
                </w:p>
              </w:tc>
              <w:tc>
                <w:tcPr>
                  <w:tcW w:w="1963" w:type="dxa"/>
                  <w:vAlign w:val="center"/>
                </w:tcPr>
                <w:p>
                  <w:pPr>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废滤料</w:t>
                  </w:r>
                </w:p>
              </w:tc>
              <w:tc>
                <w:tcPr>
                  <w:tcW w:w="1121" w:type="dxa"/>
                  <w:vAlign w:val="center"/>
                </w:tcPr>
                <w:p>
                  <w:pPr>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辅料使用</w:t>
                  </w:r>
                </w:p>
              </w:tc>
              <w:tc>
                <w:tcPr>
                  <w:tcW w:w="793" w:type="dxa"/>
                  <w:vAlign w:val="center"/>
                </w:tcPr>
                <w:p>
                  <w:pPr>
                    <w:jc w:val="center"/>
                    <w:rPr>
                      <w:rFonts w:hint="default" w:ascii="Times New Roman" w:hAnsi="Times New Roman" w:eastAsia="宋体" w:cs="Times New Roman"/>
                      <w:b w:val="0"/>
                      <w:bCs w:val="0"/>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一般固废</w:t>
                  </w:r>
                </w:p>
              </w:tc>
              <w:tc>
                <w:tcPr>
                  <w:tcW w:w="1051" w:type="dxa"/>
                  <w:vAlign w:val="center"/>
                </w:tcPr>
                <w:p>
                  <w:pPr>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1</w:t>
                  </w:r>
                  <w:r>
                    <w:rPr>
                      <w:rFonts w:hint="eastAsia" w:ascii="Times New Roman" w:hAnsi="Times New Roman" w:eastAsia="宋体" w:cs="Times New Roman"/>
                      <w:b w:val="0"/>
                      <w:bCs w:val="0"/>
                      <w:color w:val="000000" w:themeColor="text1"/>
                      <w:kern w:val="0"/>
                      <w:szCs w:val="21"/>
                      <w:lang w:val="en-US" w:eastAsia="zh-CN"/>
                      <w14:textFill>
                        <w14:solidFill>
                          <w14:schemeClr w14:val="tx1"/>
                        </w14:solidFill>
                      </w14:textFill>
                    </w:rPr>
                    <w:t>t/a</w:t>
                  </w:r>
                </w:p>
              </w:tc>
              <w:tc>
                <w:tcPr>
                  <w:tcW w:w="2587" w:type="dxa"/>
                  <w:vAlign w:val="center"/>
                </w:tcPr>
                <w:p>
                  <w:pPr>
                    <w:spacing w:line="0" w:lineRule="atLeast"/>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由滤料供应商回收处置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8" w:type="dxa"/>
                  <w:vAlign w:val="center"/>
                </w:tcPr>
                <w:p>
                  <w:pPr>
                    <w:snapToGrid w:val="0"/>
                    <w:spacing w:line="0" w:lineRule="atLeast"/>
                    <w:jc w:val="cente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t>9</w:t>
                  </w:r>
                </w:p>
              </w:tc>
              <w:tc>
                <w:tcPr>
                  <w:tcW w:w="1963" w:type="dxa"/>
                  <w:vAlign w:val="center"/>
                </w:tcPr>
                <w:p>
                  <w:pPr>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废次氯酸钠包装物</w:t>
                  </w:r>
                </w:p>
              </w:tc>
              <w:tc>
                <w:tcPr>
                  <w:tcW w:w="1121" w:type="dxa"/>
                  <w:vAlign w:val="center"/>
                </w:tcPr>
                <w:p>
                  <w:pPr>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辅料使用</w:t>
                  </w:r>
                </w:p>
              </w:tc>
              <w:tc>
                <w:tcPr>
                  <w:tcW w:w="793" w:type="dxa"/>
                  <w:vAlign w:val="center"/>
                </w:tcPr>
                <w:p>
                  <w:pPr>
                    <w:jc w:val="center"/>
                    <w:rPr>
                      <w:rFonts w:hint="default" w:ascii="Times New Roman" w:hAnsi="Times New Roman" w:eastAsia="宋体" w:cs="Times New Roman"/>
                      <w:b w:val="0"/>
                      <w:bCs w:val="0"/>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一般固废</w:t>
                  </w:r>
                </w:p>
              </w:tc>
              <w:tc>
                <w:tcPr>
                  <w:tcW w:w="1051" w:type="dxa"/>
                  <w:vAlign w:val="center"/>
                </w:tcPr>
                <w:p>
                  <w:pPr>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0.05</w:t>
                  </w:r>
                  <w:r>
                    <w:rPr>
                      <w:rFonts w:hint="eastAsia" w:ascii="Times New Roman" w:hAnsi="Times New Roman" w:eastAsia="宋体" w:cs="Times New Roman"/>
                      <w:b w:val="0"/>
                      <w:bCs w:val="0"/>
                      <w:color w:val="000000" w:themeColor="text1"/>
                      <w:kern w:val="0"/>
                      <w:szCs w:val="21"/>
                      <w:lang w:val="en-US" w:eastAsia="zh-CN"/>
                      <w14:textFill>
                        <w14:solidFill>
                          <w14:schemeClr w14:val="tx1"/>
                        </w14:solidFill>
                      </w14:textFill>
                    </w:rPr>
                    <w:t>t/a</w:t>
                  </w:r>
                </w:p>
              </w:tc>
              <w:tc>
                <w:tcPr>
                  <w:tcW w:w="2587" w:type="dxa"/>
                  <w:vAlign w:val="center"/>
                </w:tcPr>
                <w:p>
                  <w:pPr>
                    <w:spacing w:line="0" w:lineRule="atLeast"/>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由生产厂家直接用于周转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8" w:type="dxa"/>
                  <w:vAlign w:val="center"/>
                </w:tcPr>
                <w:p>
                  <w:pPr>
                    <w:snapToGrid w:val="0"/>
                    <w:spacing w:line="0" w:lineRule="atLeast"/>
                    <w:jc w:val="cente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t>10</w:t>
                  </w:r>
                </w:p>
              </w:tc>
              <w:tc>
                <w:tcPr>
                  <w:tcW w:w="1963" w:type="dxa"/>
                  <w:vAlign w:val="center"/>
                </w:tcPr>
                <w:p>
                  <w:pPr>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隔油系统泔水油和废油脂</w:t>
                  </w:r>
                </w:p>
              </w:tc>
              <w:tc>
                <w:tcPr>
                  <w:tcW w:w="1121" w:type="dxa"/>
                  <w:vAlign w:val="center"/>
                </w:tcPr>
                <w:p>
                  <w:pPr>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食堂</w:t>
                  </w:r>
                </w:p>
              </w:tc>
              <w:tc>
                <w:tcPr>
                  <w:tcW w:w="793" w:type="dxa"/>
                  <w:vAlign w:val="center"/>
                </w:tcPr>
                <w:p>
                  <w:pPr>
                    <w:jc w:val="center"/>
                    <w:rPr>
                      <w:rFonts w:hint="default" w:ascii="Times New Roman" w:hAnsi="Times New Roman" w:eastAsia="宋体" w:cs="Times New Roman"/>
                      <w:b w:val="0"/>
                      <w:bCs w:val="0"/>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一般固废</w:t>
                  </w:r>
                </w:p>
              </w:tc>
              <w:tc>
                <w:tcPr>
                  <w:tcW w:w="1051" w:type="dxa"/>
                  <w:vAlign w:val="center"/>
                </w:tcPr>
                <w:p>
                  <w:pPr>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Cs w:val="21"/>
                      <w:lang w:val="en-US" w:eastAsia="zh-CN"/>
                      <w14:textFill>
                        <w14:solidFill>
                          <w14:schemeClr w14:val="tx1"/>
                        </w14:solidFill>
                      </w14:textFill>
                    </w:rPr>
                    <w:t>49.28kg/a</w:t>
                  </w:r>
                </w:p>
              </w:tc>
              <w:tc>
                <w:tcPr>
                  <w:tcW w:w="2587" w:type="dxa"/>
                  <w:vAlign w:val="center"/>
                </w:tcPr>
                <w:p>
                  <w:pPr>
                    <w:spacing w:line="0" w:lineRule="atLeast"/>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定期委托有资质单位统一回收处理</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000000" w:themeColor="text1"/>
                <w:kern w:val="0"/>
                <w:sz w:val="24"/>
                <w:szCs w:val="24"/>
                <w:lang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2、</w:t>
            </w:r>
            <w:r>
              <w:rPr>
                <w:color w:val="000000" w:themeColor="text1"/>
                <w:sz w:val="24"/>
                <w14:textFill>
                  <w14:solidFill>
                    <w14:schemeClr w14:val="tx1"/>
                  </w14:solidFill>
                </w14:textFill>
              </w:rPr>
              <w:t>环境管理要求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1</w:t>
            </w:r>
            <w:r>
              <w:rPr>
                <w:color w:val="000000" w:themeColor="text1"/>
                <w:sz w:val="24"/>
                <w14:textFill>
                  <w14:solidFill>
                    <w14:schemeClr w14:val="tx1"/>
                  </w14:solidFill>
                </w14:textFill>
              </w:rPr>
              <w:t>）一般</w:t>
            </w:r>
            <w:r>
              <w:rPr>
                <w:rFonts w:hint="eastAsia"/>
                <w:color w:val="000000" w:themeColor="text1"/>
                <w:sz w:val="24"/>
                <w14:textFill>
                  <w14:solidFill>
                    <w14:schemeClr w14:val="tx1"/>
                  </w14:solidFill>
                </w14:textFill>
              </w:rPr>
              <w:t>工业</w:t>
            </w:r>
            <w:r>
              <w:rPr>
                <w:color w:val="000000" w:themeColor="text1"/>
                <w:sz w:val="24"/>
                <w14:textFill>
                  <w14:solidFill>
                    <w14:schemeClr w14:val="tx1"/>
                  </w14:solidFill>
                </w14:textFill>
              </w:rPr>
              <w:t>固废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本项目需强化废物产生、收集、贮运各环节的管理，杜绝固废在厂区内的散失、渗漏，以免产生二次污染。贮存区采取防风防雨措施；各类固废应分类收集；贮存区按照《环境保护图形标志—固体废物贮存（处置）场》（GB 15562.2-1995）的要求设置环保图形标志；指定专人进行日常管理；做好固体废物在厂区内的收集和储存相关防护工作，满足“</w:t>
            </w:r>
            <w:r>
              <w:rPr>
                <w:rFonts w:hint="eastAsia"/>
                <w:color w:val="000000" w:themeColor="text1"/>
                <w:sz w:val="24"/>
                <w14:textFill>
                  <w14:solidFill>
                    <w14:schemeClr w14:val="tx1"/>
                  </w14:solidFill>
                </w14:textFill>
              </w:rPr>
              <w:t>防风、防雨、防晒、防渗</w:t>
            </w:r>
            <w:r>
              <w:rPr>
                <w:color w:val="000000" w:themeColor="text1"/>
                <w:sz w:val="24"/>
                <w14:textFill>
                  <w14:solidFill>
                    <w14:schemeClr w14:val="tx1"/>
                  </w14:solidFill>
                </w14:textFill>
              </w:rPr>
              <w:t>”等国家相关标准规定的要求，收集后进行有效处置，同时要遵循“资源化、减量化、无害化”的治理原则</w:t>
            </w:r>
            <w:r>
              <w:rPr>
                <w:rFonts w:hint="eastAsia"/>
                <w:color w:val="000000" w:themeColor="text1"/>
                <w:sz w:val="24"/>
                <w14:textFill>
                  <w14:solidFill>
                    <w14:schemeClr w14:val="tx1"/>
                  </w14:solidFill>
                </w14:textFill>
              </w:rPr>
              <w:t>；严格按照《中华人民共和国固体废物污染环境防治法》等相关法律法规、标准中的规定执行</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禁止</w:t>
            </w:r>
            <w:r>
              <w:rPr>
                <w:color w:val="000000" w:themeColor="text1"/>
                <w:sz w:val="24"/>
                <w14:textFill>
                  <w14:solidFill>
                    <w14:schemeClr w14:val="tx1"/>
                  </w14:solidFill>
                </w14:textFill>
              </w:rPr>
              <w:t>一般</w:t>
            </w:r>
            <w:r>
              <w:rPr>
                <w:rFonts w:hint="eastAsia"/>
                <w:color w:val="000000" w:themeColor="text1"/>
                <w:sz w:val="24"/>
                <w14:textFill>
                  <w14:solidFill>
                    <w14:schemeClr w14:val="tx1"/>
                  </w14:solidFill>
                </w14:textFill>
              </w:rPr>
              <w:t>工业</w:t>
            </w:r>
            <w:r>
              <w:rPr>
                <w:color w:val="000000" w:themeColor="text1"/>
                <w:sz w:val="24"/>
                <w14:textFill>
                  <w14:solidFill>
                    <w14:schemeClr w14:val="tx1"/>
                  </w14:solidFill>
                </w14:textFill>
              </w:rPr>
              <w:t>固废</w:t>
            </w:r>
            <w:r>
              <w:rPr>
                <w:rFonts w:hint="eastAsia"/>
                <w:color w:val="000000" w:themeColor="text1"/>
                <w:sz w:val="24"/>
                <w14:textFill>
                  <w14:solidFill>
                    <w14:schemeClr w14:val="tx1"/>
                  </w14:solidFill>
                </w14:textFill>
              </w:rPr>
              <w:t>进入陕西陇县秦岭细鳞鲑自然保护区。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）生活垃圾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为了预防生活垃圾对土壤、水环境、景观和人群健康的危害，防止垃圾随意向陕西陇县秦岭细鳞鲑自然保护区及周边环境倾倒。本评价要求：在厂区配置垃圾桶，垃圾采用袋装。安排专人负责生活垃圾的清扫和定期转运至生态环境部门指定的堆放地，严禁进行焚烧、随机堆放等行为；垃圾桶需经常喷洒消毒药水，防止蚊蝇等传染疾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3）危险废物</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本项目危险废物贮存于</w:t>
            </w:r>
            <w:r>
              <w:rPr>
                <w:rFonts w:hint="eastAsia"/>
                <w:color w:val="000000" w:themeColor="text1"/>
                <w:sz w:val="24"/>
                <w:lang w:val="en-US" w:eastAsia="zh-CN"/>
                <w14:textFill>
                  <w14:solidFill>
                    <w14:schemeClr w14:val="tx1"/>
                  </w14:solidFill>
                </w14:textFill>
              </w:rPr>
              <w:t>净水厂</w:t>
            </w:r>
            <w:r>
              <w:rPr>
                <w:color w:val="000000" w:themeColor="text1"/>
                <w:sz w:val="24"/>
                <w14:textFill>
                  <w14:solidFill>
                    <w14:schemeClr w14:val="tx1"/>
                  </w14:solidFill>
                </w14:textFill>
              </w:rPr>
              <w:t>的危废暂存间（</w:t>
            </w:r>
            <w:r>
              <w:rPr>
                <w:rFonts w:hint="eastAsia"/>
                <w:color w:val="000000" w:themeColor="text1"/>
                <w:sz w:val="24"/>
                <w14:textFill>
                  <w14:solidFill>
                    <w14:schemeClr w14:val="tx1"/>
                  </w14:solidFill>
                </w14:textFill>
              </w:rPr>
              <w:t>占地面积约</w:t>
            </w:r>
            <w:r>
              <w:rPr>
                <w:rFonts w:hint="eastAsia"/>
                <w:color w:val="000000" w:themeColor="text1"/>
                <w:sz w:val="24"/>
                <w:lang w:val="en-US" w:eastAsia="zh-CN"/>
                <w14:textFill>
                  <w14:solidFill>
                    <w14:schemeClr w14:val="tx1"/>
                  </w14:solidFill>
                </w14:textFill>
              </w:rPr>
              <w:t>12</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）内。为防止危险废物在厂内临时贮存过程中对环境产生污染影响，根据《危险废物贮存污染控制标准》（GB</w:t>
            </w: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18597-2001）及其修改单（环境保护部公告，公告 2013年 第36号）的相关要求，本评价提出以下要求（包括但不限于以下要求）：</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①</w:t>
            </w:r>
            <w:r>
              <w:rPr>
                <w:rFonts w:hint="eastAsia"/>
                <w:color w:val="000000" w:themeColor="text1"/>
                <w:sz w:val="24"/>
                <w14:textFill>
                  <w14:solidFill>
                    <w14:schemeClr w14:val="tx1"/>
                  </w14:solidFill>
                </w14:textFill>
              </w:rPr>
              <w:t>危险废物</w:t>
            </w:r>
            <w:r>
              <w:rPr>
                <w:color w:val="000000" w:themeColor="text1"/>
                <w:sz w:val="24"/>
                <w14:textFill>
                  <w14:solidFill>
                    <w14:schemeClr w14:val="tx1"/>
                  </w14:solidFill>
                </w14:textFill>
              </w:rPr>
              <w:t>在厂区内存放时不得随意堆放，均应采用专用的容器存放，设置专门的贮存间进行存放，防止风吹雨淋和日晒，在厂区内存放时严格按照《危险废物贮存污染控制标准》（GB18597-2001）及其修改单的相关要求进行管理；</w:t>
            </w:r>
          </w:p>
          <w:p>
            <w:pPr>
              <w:spacing w:line="360" w:lineRule="auto"/>
              <w:ind w:firstLine="480" w:firstLineChars="200"/>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②危险废物贮存间设立危险废物警示标志，由专人进行管理，做好危险废物排放量及处置记录；危险废物贮存间内部</w:t>
            </w:r>
            <w:r>
              <w:rPr>
                <w:rFonts w:hint="eastAsia"/>
                <w:color w:val="000000" w:themeColor="text1"/>
                <w:sz w:val="24"/>
                <w14:textFill>
                  <w14:solidFill>
                    <w14:schemeClr w14:val="tx1"/>
                  </w14:solidFill>
                </w14:textFill>
              </w:rPr>
              <w:t>设置</w:t>
            </w:r>
            <w:r>
              <w:rPr>
                <w:color w:val="000000" w:themeColor="text1"/>
                <w:sz w:val="24"/>
                <w14:textFill>
                  <w14:solidFill>
                    <w14:schemeClr w14:val="tx1"/>
                  </w14:solidFill>
                </w14:textFill>
              </w:rPr>
              <w:t>安全照明设施和观察窗口</w:t>
            </w:r>
            <w:r>
              <w:rPr>
                <w:rFonts w:hint="eastAsia"/>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③危险废物贮存间内不同的危险废物分开存放，不相容的危险废物不能堆放在一起，并设置隔离间隔段。贮存场所周围应设置围墙或其他防护栅栏；</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④基础必须防渗，防渗层为至少1m厚粘土层（渗透系数≤10</w:t>
            </w:r>
            <w:r>
              <w:rPr>
                <w:color w:val="000000" w:themeColor="text1"/>
                <w:sz w:val="24"/>
                <w:vertAlign w:val="superscript"/>
                <w14:textFill>
                  <w14:solidFill>
                    <w14:schemeClr w14:val="tx1"/>
                  </w14:solidFill>
                </w14:textFill>
              </w:rPr>
              <w:t>-7</w:t>
            </w:r>
            <w:r>
              <w:rPr>
                <w:color w:val="000000" w:themeColor="text1"/>
                <w:sz w:val="24"/>
                <w14:textFill>
                  <w14:solidFill>
                    <w14:schemeClr w14:val="tx1"/>
                  </w14:solidFill>
                </w14:textFill>
              </w:rPr>
              <w:t>cm/s），或2mm厚高密度聚乙烯，或至少2mm厚的其他人工材料，渗透系数≤10</w:t>
            </w:r>
            <w:r>
              <w:rPr>
                <w:color w:val="000000" w:themeColor="text1"/>
                <w:sz w:val="24"/>
                <w:vertAlign w:val="superscript"/>
                <w14:textFill>
                  <w14:solidFill>
                    <w14:schemeClr w14:val="tx1"/>
                  </w14:solidFill>
                </w14:textFill>
              </w:rPr>
              <w:t>-10</w:t>
            </w:r>
            <w:r>
              <w:rPr>
                <w:color w:val="000000" w:themeColor="text1"/>
                <w:sz w:val="24"/>
                <w14:textFill>
                  <w14:solidFill>
                    <w14:schemeClr w14:val="tx1"/>
                  </w14:solidFill>
                </w14:textFill>
              </w:rPr>
              <w:t>cm/s；</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⑤堆放危险废物的高度应根据地面承载能力确定；衬里放在一个基础或底座上；衬里要能够覆盖危险废物或其他溶出物可能涉及到的范围；衬里材料与堆放危险废物相容；在衬里上设计、建造浸出液收集清除系统；</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⑥</w:t>
            </w:r>
            <w:r>
              <w:rPr>
                <w:color w:val="000000" w:themeColor="text1"/>
                <w:sz w:val="24"/>
                <w14:textFill>
                  <w14:solidFill>
                    <w14:schemeClr w14:val="tx1"/>
                  </w14:solidFill>
                </w14:textFill>
              </w:rPr>
              <w:t>对装有危废的容器进行定期检查，容器泄漏损坏时必须立即处理，并将危废装入完好容器内；</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⑦危险废物贮存间要安装良好通风装置，并干燥，工人操作时需戴上橡胶防护手套等；</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⑧危险废物的转移应遵从《危险废物转移联单管理办法》及其它有关规定的要求。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本项目建设完成后产生的固废种类明确，严格落实本评价提出的各项措施后，均可以得到及时合理有效的处置处理，对周边环境</w:t>
            </w:r>
            <w:r>
              <w:rPr>
                <w:rFonts w:hint="eastAsia"/>
                <w:color w:val="000000" w:themeColor="text1"/>
                <w:sz w:val="24"/>
                <w14:textFill>
                  <w14:solidFill>
                    <w14:schemeClr w14:val="tx1"/>
                  </w14:solidFill>
                </w14:textFill>
              </w:rPr>
              <w:t>产生的影响可接受</w:t>
            </w:r>
            <w:r>
              <w:rPr>
                <w:color w:val="000000" w:themeColor="text1"/>
                <w:sz w:val="24"/>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kern w:val="0"/>
                <w:sz w:val="24"/>
                <w:szCs w:val="24"/>
                <w:lang w:bidi="ar"/>
                <w14:textFill>
                  <w14:solidFill>
                    <w14:schemeClr w14:val="tx1"/>
                  </w14:solidFill>
                </w14:textFill>
              </w:rPr>
            </w:pPr>
            <w:r>
              <w:rPr>
                <w:rFonts w:hint="eastAsia" w:cs="Times New Roman"/>
                <w:b w:val="0"/>
                <w:bCs w:val="0"/>
                <w:color w:val="000000" w:themeColor="text1"/>
                <w:kern w:val="0"/>
                <w:sz w:val="24"/>
                <w:szCs w:val="24"/>
                <w:lang w:val="en-US" w:eastAsia="zh-CN" w:bidi="ar"/>
                <w14:textFill>
                  <w14:solidFill>
                    <w14:schemeClr w14:val="tx1"/>
                  </w14:solidFill>
                </w14:textFill>
              </w:rPr>
              <w:t>五</w:t>
            </w:r>
            <w:r>
              <w:rPr>
                <w:rFonts w:hint="default" w:ascii="Times New Roman" w:hAnsi="Times New Roman" w:eastAsia="宋体" w:cs="Times New Roman"/>
                <w:b w:val="0"/>
                <w:bCs w:val="0"/>
                <w:color w:val="000000" w:themeColor="text1"/>
                <w:kern w:val="0"/>
                <w:sz w:val="24"/>
                <w:szCs w:val="24"/>
                <w:lang w:bidi="ar"/>
                <w14:textFill>
                  <w14:solidFill>
                    <w14:schemeClr w14:val="tx1"/>
                  </w14:solidFill>
                </w14:textFill>
              </w:rPr>
              <w:t>、生态环境影响分析</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bidi="ar"/>
                <w14:textFill>
                  <w14:solidFill>
                    <w14:schemeClr w14:val="tx1"/>
                  </w14:solidFill>
                </w14:textFill>
              </w:rPr>
              <w:t>工程运营期，主体工程不产生生态破坏、不排放污染物；临时工程水土保持措施基本到位，不产生新的水土流失。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879" w:type="dxa"/>
            <w:vAlign w:val="center"/>
          </w:tcPr>
          <w:p>
            <w:pPr>
              <w:pStyle w:val="19"/>
              <w:adjustRightInd w:val="0"/>
              <w:snapToGrid w:val="0"/>
              <w:spacing w:before="0" w:beforeAutospacing="0" w:after="0" w:afterAutospacing="0"/>
              <w:jc w:val="center"/>
              <w:rPr>
                <w:rFonts w:hint="default" w:ascii="Times New Roman" w:hAnsi="Times New Roman" w:cs="Times New Roman"/>
                <w:bCs/>
                <w:color w:val="000000" w:themeColor="text1"/>
                <w:kern w:val="2"/>
                <w:sz w:val="21"/>
                <w:szCs w:val="21"/>
                <w14:textFill>
                  <w14:solidFill>
                    <w14:schemeClr w14:val="tx1"/>
                  </w14:solidFill>
                </w14:textFill>
              </w:rPr>
            </w:pPr>
            <w:r>
              <w:rPr>
                <w:rFonts w:hint="default" w:ascii="Times New Roman" w:hAnsi="Times New Roman" w:eastAsia="宋体" w:cs="Times New Roman"/>
                <w:bCs/>
                <w:color w:val="000000" w:themeColor="text1"/>
                <w:kern w:val="2"/>
                <w:sz w:val="21"/>
                <w:szCs w:val="21"/>
                <w14:textFill>
                  <w14:solidFill>
                    <w14:schemeClr w14:val="tx1"/>
                  </w14:solidFill>
                </w14:textFill>
              </w:rPr>
              <w:t>选址选线环境合理性分析</w:t>
            </w:r>
          </w:p>
        </w:tc>
        <w:tc>
          <w:tcPr>
            <w:tcW w:w="8363" w:type="dxa"/>
            <w:vAlign w:val="center"/>
          </w:tcPr>
          <w:p>
            <w:pPr>
              <w:spacing w:line="360" w:lineRule="auto"/>
              <w:ind w:firstLine="480" w:firstLineChars="200"/>
              <w:contextualSpacing/>
              <w:rPr>
                <w:rFonts w:hint="default" w:ascii="Times New Roman" w:hAnsi="Times New Roman" w:cs="Times New Roman"/>
                <w:b w:val="0"/>
                <w:bCs w:val="0"/>
                <w:color w:val="000000" w:themeColor="text1"/>
                <w:sz w:val="24"/>
                <w:lang w:eastAsia="zh-CN"/>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根据现场踏勘及《建设项目选址意见书》，净水厂拟选地址为陇县天成镇王马咀村，拟用地面积29.55亩，净水厂拟建地点位于王马咀村东侧村道十字交叉口，用地性质已经变更为工业用地。本项目配套设施均不占用基本农田</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。根据现场调研，水厂拟建地面整体标高均在1005</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左右，地势较为平坦，施工条件良好，</w:t>
            </w:r>
            <w:r>
              <w:rPr>
                <w:rFonts w:hint="default" w:ascii="Times New Roman" w:hAnsi="Times New Roman" w:eastAsia="宋体" w:cs="Times New Roman"/>
                <w:b w:val="0"/>
                <w:bCs w:val="0"/>
                <w:color w:val="000000" w:themeColor="text1"/>
                <w:sz w:val="24"/>
                <w14:textFill>
                  <w14:solidFill>
                    <w14:schemeClr w14:val="tx1"/>
                  </w14:solidFill>
                </w14:textFill>
              </w:rPr>
              <w:t>项目选址合理</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p>
          <w:p>
            <w:pPr>
              <w:spacing w:line="360" w:lineRule="auto"/>
              <w:ind w:firstLine="480" w:firstLineChars="200"/>
              <w:contextualSpacing/>
              <w:rPr>
                <w:rFonts w:hint="eastAsia" w:ascii="Times New Roman" w:hAnsi="Times New Roman" w:cs="Times New Roman"/>
                <w:bCs/>
                <w:color w:val="000000" w:themeColor="text1"/>
                <w:sz w:val="24"/>
                <w:lang w:eastAsia="zh-CN"/>
                <w14:textFill>
                  <w14:solidFill>
                    <w14:schemeClr w14:val="tx1"/>
                  </w14:solidFill>
                </w14:textFill>
              </w:rPr>
            </w:pPr>
          </w:p>
          <w:p>
            <w:pPr>
              <w:spacing w:line="360" w:lineRule="auto"/>
              <w:ind w:firstLine="480" w:firstLineChars="200"/>
              <w:contextualSpacing/>
              <w:rPr>
                <w:rFonts w:hint="eastAsia" w:ascii="Times New Roman" w:hAnsi="Times New Roman" w:cs="Times New Roman"/>
                <w:bCs/>
                <w:color w:val="000000" w:themeColor="text1"/>
                <w:sz w:val="24"/>
                <w:lang w:eastAsia="zh-CN"/>
                <w14:textFill>
                  <w14:solidFill>
                    <w14:schemeClr w14:val="tx1"/>
                  </w14:solidFill>
                </w14:textFill>
              </w:rPr>
            </w:pPr>
          </w:p>
          <w:p>
            <w:pPr>
              <w:spacing w:line="360" w:lineRule="auto"/>
              <w:ind w:firstLine="480" w:firstLineChars="200"/>
              <w:contextualSpacing/>
              <w:rPr>
                <w:rFonts w:hint="eastAsia" w:ascii="Times New Roman" w:hAnsi="Times New Roman" w:cs="Times New Roman"/>
                <w:bCs/>
                <w:color w:val="000000" w:themeColor="text1"/>
                <w:sz w:val="24"/>
                <w:lang w:eastAsia="zh-CN"/>
                <w14:textFill>
                  <w14:solidFill>
                    <w14:schemeClr w14:val="tx1"/>
                  </w14:solidFill>
                </w14:textFill>
              </w:rPr>
            </w:pPr>
          </w:p>
          <w:p>
            <w:pPr>
              <w:spacing w:line="360" w:lineRule="auto"/>
              <w:ind w:firstLine="480" w:firstLineChars="200"/>
              <w:contextualSpacing/>
              <w:rPr>
                <w:rFonts w:hint="eastAsia" w:ascii="Times New Roman" w:hAnsi="Times New Roman" w:cs="Times New Roman"/>
                <w:bCs/>
                <w:color w:val="000000" w:themeColor="text1"/>
                <w:sz w:val="24"/>
                <w:lang w:eastAsia="zh-CN"/>
                <w14:textFill>
                  <w14:solidFill>
                    <w14:schemeClr w14:val="tx1"/>
                  </w14:solidFill>
                </w14:textFill>
              </w:rPr>
            </w:pPr>
          </w:p>
          <w:p>
            <w:pPr>
              <w:spacing w:line="360" w:lineRule="auto"/>
              <w:ind w:firstLine="480" w:firstLineChars="200"/>
              <w:contextualSpacing/>
              <w:rPr>
                <w:rFonts w:hint="eastAsia" w:ascii="Times New Roman" w:hAnsi="Times New Roman" w:cs="Times New Roman"/>
                <w:bCs/>
                <w:color w:val="000000" w:themeColor="text1"/>
                <w:sz w:val="24"/>
                <w:lang w:eastAsia="zh-CN"/>
                <w14:textFill>
                  <w14:solidFill>
                    <w14:schemeClr w14:val="tx1"/>
                  </w14:solidFill>
                </w14:textFill>
              </w:rPr>
            </w:pPr>
          </w:p>
          <w:p>
            <w:pPr>
              <w:spacing w:line="360" w:lineRule="auto"/>
              <w:ind w:firstLine="480" w:firstLineChars="200"/>
              <w:contextualSpacing/>
              <w:rPr>
                <w:rFonts w:hint="eastAsia" w:ascii="Times New Roman" w:hAnsi="Times New Roman" w:cs="Times New Roman"/>
                <w:bCs/>
                <w:color w:val="000000" w:themeColor="text1"/>
                <w:sz w:val="24"/>
                <w:lang w:eastAsia="zh-CN"/>
                <w14:textFill>
                  <w14:solidFill>
                    <w14:schemeClr w14:val="tx1"/>
                  </w14:solidFill>
                </w14:textFill>
              </w:rPr>
            </w:pPr>
          </w:p>
          <w:p>
            <w:pPr>
              <w:spacing w:line="360" w:lineRule="auto"/>
              <w:ind w:firstLine="480" w:firstLineChars="200"/>
              <w:contextualSpacing/>
              <w:rPr>
                <w:rFonts w:hint="eastAsia" w:ascii="Times New Roman" w:hAnsi="Times New Roman" w:cs="Times New Roman"/>
                <w:bCs/>
                <w:color w:val="000000" w:themeColor="text1"/>
                <w:sz w:val="24"/>
                <w:lang w:eastAsia="zh-CN"/>
                <w14:textFill>
                  <w14:solidFill>
                    <w14:schemeClr w14:val="tx1"/>
                  </w14:solidFill>
                </w14:textFill>
              </w:rPr>
            </w:pPr>
          </w:p>
          <w:p>
            <w:pPr>
              <w:spacing w:line="360" w:lineRule="auto"/>
              <w:ind w:firstLine="480" w:firstLineChars="200"/>
              <w:contextualSpacing/>
              <w:rPr>
                <w:rFonts w:hint="eastAsia" w:ascii="Times New Roman" w:hAnsi="Times New Roman" w:cs="Times New Roman"/>
                <w:bCs/>
                <w:color w:val="000000" w:themeColor="text1"/>
                <w:sz w:val="24"/>
                <w:lang w:eastAsia="zh-CN"/>
                <w14:textFill>
                  <w14:solidFill>
                    <w14:schemeClr w14:val="tx1"/>
                  </w14:solidFill>
                </w14:textFill>
              </w:rPr>
            </w:pPr>
          </w:p>
          <w:p>
            <w:pPr>
              <w:spacing w:line="360" w:lineRule="auto"/>
              <w:ind w:firstLine="480" w:firstLineChars="200"/>
              <w:contextualSpacing/>
              <w:rPr>
                <w:rFonts w:hint="eastAsia" w:ascii="Times New Roman" w:hAnsi="Times New Roman" w:cs="Times New Roman"/>
                <w:bCs/>
                <w:color w:val="000000" w:themeColor="text1"/>
                <w:sz w:val="24"/>
                <w:lang w:eastAsia="zh-CN"/>
                <w14:textFill>
                  <w14:solidFill>
                    <w14:schemeClr w14:val="tx1"/>
                  </w14:solidFill>
                </w14:textFill>
              </w:rPr>
            </w:pPr>
          </w:p>
          <w:p>
            <w:pPr>
              <w:spacing w:line="360" w:lineRule="auto"/>
              <w:ind w:firstLine="480" w:firstLineChars="200"/>
              <w:contextualSpacing/>
              <w:rPr>
                <w:rFonts w:hint="eastAsia" w:ascii="Times New Roman" w:hAnsi="Times New Roman" w:cs="Times New Roman"/>
                <w:bCs/>
                <w:color w:val="000000" w:themeColor="text1"/>
                <w:sz w:val="24"/>
                <w:lang w:eastAsia="zh-CN"/>
                <w14:textFill>
                  <w14:solidFill>
                    <w14:schemeClr w14:val="tx1"/>
                  </w14:solidFill>
                </w14:textFill>
              </w:rPr>
            </w:pPr>
          </w:p>
          <w:p>
            <w:pPr>
              <w:spacing w:line="360" w:lineRule="auto"/>
              <w:ind w:firstLine="480" w:firstLineChars="200"/>
              <w:contextualSpacing/>
              <w:rPr>
                <w:rFonts w:hint="eastAsia" w:ascii="Times New Roman" w:hAnsi="Times New Roman" w:cs="Times New Roman"/>
                <w:bCs/>
                <w:color w:val="000000" w:themeColor="text1"/>
                <w:sz w:val="24"/>
                <w:lang w:eastAsia="zh-CN"/>
                <w14:textFill>
                  <w14:solidFill>
                    <w14:schemeClr w14:val="tx1"/>
                  </w14:solidFill>
                </w14:textFill>
              </w:rPr>
            </w:pPr>
          </w:p>
          <w:p>
            <w:pPr>
              <w:spacing w:line="360" w:lineRule="auto"/>
              <w:ind w:firstLine="480" w:firstLineChars="200"/>
              <w:contextualSpacing/>
              <w:rPr>
                <w:rFonts w:hint="eastAsia" w:ascii="Times New Roman" w:hAnsi="Times New Roman" w:cs="Times New Roman"/>
                <w:bCs/>
                <w:color w:val="000000" w:themeColor="text1"/>
                <w:sz w:val="24"/>
                <w:lang w:eastAsia="zh-CN"/>
                <w14:textFill>
                  <w14:solidFill>
                    <w14:schemeClr w14:val="tx1"/>
                  </w14:solidFill>
                </w14:textFill>
              </w:rPr>
            </w:pPr>
          </w:p>
          <w:p>
            <w:pPr>
              <w:spacing w:line="360" w:lineRule="auto"/>
              <w:ind w:firstLine="480" w:firstLineChars="200"/>
              <w:contextualSpacing/>
              <w:rPr>
                <w:rFonts w:hint="eastAsia" w:ascii="Times New Roman" w:hAnsi="Times New Roman" w:cs="Times New Roman"/>
                <w:bCs/>
                <w:color w:val="000000" w:themeColor="text1"/>
                <w:sz w:val="24"/>
                <w:lang w:eastAsia="zh-CN"/>
                <w14:textFill>
                  <w14:solidFill>
                    <w14:schemeClr w14:val="tx1"/>
                  </w14:solidFill>
                </w14:textFill>
              </w:rPr>
            </w:pPr>
          </w:p>
          <w:p>
            <w:pPr>
              <w:spacing w:line="360" w:lineRule="auto"/>
              <w:ind w:firstLine="480" w:firstLineChars="200"/>
              <w:contextualSpacing/>
              <w:rPr>
                <w:rFonts w:hint="eastAsia" w:ascii="Times New Roman" w:hAnsi="Times New Roman" w:cs="Times New Roman"/>
                <w:bCs/>
                <w:color w:val="000000" w:themeColor="text1"/>
                <w:sz w:val="24"/>
                <w:lang w:eastAsia="zh-CN"/>
                <w14:textFill>
                  <w14:solidFill>
                    <w14:schemeClr w14:val="tx1"/>
                  </w14:solidFill>
                </w14:textFill>
              </w:rPr>
            </w:pPr>
          </w:p>
          <w:p>
            <w:pPr>
              <w:spacing w:line="360" w:lineRule="auto"/>
              <w:ind w:firstLine="480" w:firstLineChars="200"/>
              <w:contextualSpacing/>
              <w:rPr>
                <w:rFonts w:hint="eastAsia" w:cs="Times New Roman"/>
                <w:bCs/>
                <w:color w:val="000000" w:themeColor="text1"/>
                <w:sz w:val="24"/>
                <w:lang w:eastAsia="zh-CN"/>
                <w14:textFill>
                  <w14:solidFill>
                    <w14:schemeClr w14:val="tx1"/>
                  </w14:solidFill>
                </w14:textFill>
              </w:rPr>
            </w:pPr>
          </w:p>
          <w:p>
            <w:pPr>
              <w:spacing w:line="360" w:lineRule="auto"/>
              <w:ind w:firstLine="480" w:firstLineChars="200"/>
              <w:contextualSpacing/>
              <w:rPr>
                <w:rFonts w:hint="eastAsia" w:cs="Times New Roman"/>
                <w:bCs/>
                <w:color w:val="000000" w:themeColor="text1"/>
                <w:sz w:val="24"/>
                <w:lang w:eastAsia="zh-CN"/>
                <w14:textFill>
                  <w14:solidFill>
                    <w14:schemeClr w14:val="tx1"/>
                  </w14:solidFill>
                </w14:textFill>
              </w:rPr>
            </w:pPr>
          </w:p>
          <w:p>
            <w:pPr>
              <w:spacing w:line="360" w:lineRule="auto"/>
              <w:ind w:firstLine="480" w:firstLineChars="200"/>
              <w:contextualSpacing/>
              <w:rPr>
                <w:rFonts w:hint="eastAsia" w:cs="Times New Roman"/>
                <w:bCs/>
                <w:color w:val="000000" w:themeColor="text1"/>
                <w:sz w:val="24"/>
                <w:lang w:eastAsia="zh-CN"/>
                <w14:textFill>
                  <w14:solidFill>
                    <w14:schemeClr w14:val="tx1"/>
                  </w14:solidFill>
                </w14:textFill>
              </w:rPr>
            </w:pPr>
          </w:p>
          <w:p>
            <w:pPr>
              <w:spacing w:line="360" w:lineRule="auto"/>
              <w:ind w:firstLine="480" w:firstLineChars="200"/>
              <w:contextualSpacing/>
              <w:rPr>
                <w:rFonts w:hint="eastAsia" w:cs="Times New Roman"/>
                <w:bCs/>
                <w:color w:val="000000" w:themeColor="text1"/>
                <w:sz w:val="24"/>
                <w:lang w:eastAsia="zh-CN"/>
                <w14:textFill>
                  <w14:solidFill>
                    <w14:schemeClr w14:val="tx1"/>
                  </w14:solidFill>
                </w14:textFill>
              </w:rPr>
            </w:pPr>
          </w:p>
          <w:p>
            <w:pPr>
              <w:spacing w:line="360" w:lineRule="auto"/>
              <w:ind w:firstLine="480" w:firstLineChars="200"/>
              <w:contextualSpacing/>
              <w:rPr>
                <w:rFonts w:hint="eastAsia" w:cs="Times New Roman"/>
                <w:bCs/>
                <w:color w:val="000000" w:themeColor="text1"/>
                <w:sz w:val="24"/>
                <w:lang w:eastAsia="zh-CN"/>
                <w14:textFill>
                  <w14:solidFill>
                    <w14:schemeClr w14:val="tx1"/>
                  </w14:solidFill>
                </w14:textFill>
              </w:rPr>
            </w:pPr>
          </w:p>
          <w:p>
            <w:pPr>
              <w:spacing w:line="360" w:lineRule="auto"/>
              <w:ind w:firstLine="480" w:firstLineChars="200"/>
              <w:contextualSpacing/>
              <w:rPr>
                <w:rFonts w:hint="eastAsia" w:cs="Times New Roman"/>
                <w:bCs/>
                <w:color w:val="000000" w:themeColor="text1"/>
                <w:sz w:val="24"/>
                <w:lang w:eastAsia="zh-CN"/>
                <w14:textFill>
                  <w14:solidFill>
                    <w14:schemeClr w14:val="tx1"/>
                  </w14:solidFill>
                </w14:textFill>
              </w:rPr>
            </w:pPr>
          </w:p>
          <w:p>
            <w:pPr>
              <w:spacing w:line="360" w:lineRule="auto"/>
              <w:ind w:firstLine="480" w:firstLineChars="200"/>
              <w:contextualSpacing/>
              <w:rPr>
                <w:rFonts w:hint="eastAsia" w:cs="Times New Roman"/>
                <w:bCs/>
                <w:color w:val="000000" w:themeColor="text1"/>
                <w:sz w:val="24"/>
                <w:lang w:eastAsia="zh-CN"/>
                <w14:textFill>
                  <w14:solidFill>
                    <w14:schemeClr w14:val="tx1"/>
                  </w14:solidFill>
                </w14:textFill>
              </w:rPr>
            </w:pPr>
          </w:p>
          <w:p>
            <w:pPr>
              <w:spacing w:line="360" w:lineRule="auto"/>
              <w:ind w:firstLine="480" w:firstLineChars="200"/>
              <w:contextualSpacing/>
              <w:rPr>
                <w:rFonts w:hint="eastAsia" w:cs="Times New Roman"/>
                <w:bCs/>
                <w:color w:val="000000" w:themeColor="text1"/>
                <w:sz w:val="24"/>
                <w:lang w:eastAsia="zh-CN"/>
                <w14:textFill>
                  <w14:solidFill>
                    <w14:schemeClr w14:val="tx1"/>
                  </w14:solidFill>
                </w14:textFill>
              </w:rPr>
            </w:pPr>
          </w:p>
          <w:p>
            <w:pPr>
              <w:spacing w:line="360" w:lineRule="auto"/>
              <w:ind w:firstLine="480" w:firstLineChars="200"/>
              <w:contextualSpacing/>
              <w:rPr>
                <w:rFonts w:hint="eastAsia" w:cs="Times New Roman"/>
                <w:bCs/>
                <w:color w:val="000000" w:themeColor="text1"/>
                <w:sz w:val="24"/>
                <w:lang w:eastAsia="zh-CN"/>
                <w14:textFill>
                  <w14:solidFill>
                    <w14:schemeClr w14:val="tx1"/>
                  </w14:solidFill>
                </w14:textFill>
              </w:rPr>
            </w:pPr>
          </w:p>
          <w:p>
            <w:pPr>
              <w:spacing w:line="360" w:lineRule="auto"/>
              <w:ind w:firstLine="480" w:firstLineChars="200"/>
              <w:contextualSpacing/>
              <w:rPr>
                <w:rFonts w:hint="eastAsia" w:cs="Times New Roman"/>
                <w:bCs/>
                <w:color w:val="000000" w:themeColor="text1"/>
                <w:sz w:val="24"/>
                <w:lang w:eastAsia="zh-CN"/>
                <w14:textFill>
                  <w14:solidFill>
                    <w14:schemeClr w14:val="tx1"/>
                  </w14:solidFill>
                </w14:textFill>
              </w:rPr>
            </w:pPr>
          </w:p>
          <w:p>
            <w:pPr>
              <w:spacing w:line="360" w:lineRule="auto"/>
              <w:ind w:firstLine="480" w:firstLineChars="200"/>
              <w:contextualSpacing/>
              <w:rPr>
                <w:rFonts w:hint="eastAsia" w:cs="Times New Roman"/>
                <w:bCs/>
                <w:color w:val="000000" w:themeColor="text1"/>
                <w:sz w:val="24"/>
                <w:lang w:eastAsia="zh-CN"/>
                <w14:textFill>
                  <w14:solidFill>
                    <w14:schemeClr w14:val="tx1"/>
                  </w14:solidFill>
                </w14:textFill>
              </w:rPr>
            </w:pPr>
          </w:p>
          <w:p>
            <w:pPr>
              <w:spacing w:line="360" w:lineRule="auto"/>
              <w:ind w:firstLine="480" w:firstLineChars="200"/>
              <w:contextualSpacing/>
              <w:rPr>
                <w:rFonts w:hint="eastAsia" w:cs="Times New Roman"/>
                <w:bCs/>
                <w:color w:val="000000" w:themeColor="text1"/>
                <w:sz w:val="24"/>
                <w:lang w:eastAsia="zh-CN"/>
                <w14:textFill>
                  <w14:solidFill>
                    <w14:schemeClr w14:val="tx1"/>
                  </w14:solidFill>
                </w14:textFill>
              </w:rPr>
            </w:pPr>
          </w:p>
          <w:p>
            <w:pPr>
              <w:spacing w:line="360" w:lineRule="auto"/>
              <w:ind w:firstLine="480" w:firstLineChars="200"/>
              <w:contextualSpacing/>
              <w:rPr>
                <w:rFonts w:hint="eastAsia" w:cs="Times New Roman"/>
                <w:bCs/>
                <w:color w:val="000000" w:themeColor="text1"/>
                <w:sz w:val="24"/>
                <w:lang w:eastAsia="zh-CN"/>
                <w14:textFill>
                  <w14:solidFill>
                    <w14:schemeClr w14:val="tx1"/>
                  </w14:solidFill>
                </w14:textFill>
              </w:rPr>
            </w:pPr>
          </w:p>
          <w:p>
            <w:pPr>
              <w:spacing w:line="360" w:lineRule="auto"/>
              <w:ind w:firstLine="480" w:firstLineChars="200"/>
              <w:contextualSpacing/>
              <w:rPr>
                <w:rFonts w:hint="eastAsia" w:cs="Times New Roman"/>
                <w:bCs/>
                <w:color w:val="000000" w:themeColor="text1"/>
                <w:sz w:val="24"/>
                <w:lang w:eastAsia="zh-CN"/>
                <w14:textFill>
                  <w14:solidFill>
                    <w14:schemeClr w14:val="tx1"/>
                  </w14:solidFill>
                </w14:textFill>
              </w:rPr>
            </w:pPr>
          </w:p>
          <w:p>
            <w:pPr>
              <w:spacing w:line="360" w:lineRule="auto"/>
              <w:ind w:firstLine="480" w:firstLineChars="200"/>
              <w:contextualSpacing/>
              <w:rPr>
                <w:rFonts w:hint="eastAsia" w:cs="Times New Roman"/>
                <w:bCs/>
                <w:color w:val="000000" w:themeColor="text1"/>
                <w:sz w:val="24"/>
                <w:lang w:eastAsia="zh-CN"/>
                <w14:textFill>
                  <w14:solidFill>
                    <w14:schemeClr w14:val="tx1"/>
                  </w14:solidFill>
                </w14:textFill>
              </w:rPr>
            </w:pPr>
          </w:p>
          <w:p>
            <w:pPr>
              <w:spacing w:line="360" w:lineRule="auto"/>
              <w:ind w:firstLine="480" w:firstLineChars="200"/>
              <w:contextualSpacing/>
              <w:rPr>
                <w:rFonts w:hint="eastAsia" w:cs="Times New Roman"/>
                <w:bCs/>
                <w:color w:val="000000" w:themeColor="text1"/>
                <w:sz w:val="24"/>
                <w:lang w:eastAsia="zh-CN"/>
                <w14:textFill>
                  <w14:solidFill>
                    <w14:schemeClr w14:val="tx1"/>
                  </w14:solidFill>
                </w14:textFill>
              </w:rPr>
            </w:pPr>
          </w:p>
          <w:p>
            <w:pPr>
              <w:spacing w:line="360" w:lineRule="auto"/>
              <w:ind w:firstLine="480" w:firstLineChars="200"/>
              <w:contextualSpacing/>
              <w:rPr>
                <w:rFonts w:hint="eastAsia" w:cs="Times New Roman"/>
                <w:bCs/>
                <w:color w:val="000000" w:themeColor="text1"/>
                <w:sz w:val="24"/>
                <w:lang w:eastAsia="zh-CN"/>
                <w14:textFill>
                  <w14:solidFill>
                    <w14:schemeClr w14:val="tx1"/>
                  </w14:solidFill>
                </w14:textFill>
              </w:rPr>
            </w:pPr>
          </w:p>
          <w:p>
            <w:pPr>
              <w:spacing w:line="360" w:lineRule="auto"/>
              <w:ind w:firstLine="480" w:firstLineChars="200"/>
              <w:contextualSpacing/>
              <w:rPr>
                <w:rFonts w:hint="default" w:ascii="Times New Roman" w:hAnsi="Times New Roman" w:eastAsia="宋体" w:cs="Times New Roman"/>
                <w:bCs/>
                <w:color w:val="000000" w:themeColor="text1"/>
                <w:sz w:val="24"/>
                <w:lang w:eastAsia="zh-CN"/>
                <w14:textFill>
                  <w14:solidFill>
                    <w14:schemeClr w14:val="tx1"/>
                  </w14:solidFill>
                </w14:textFill>
              </w:rPr>
            </w:pPr>
          </w:p>
        </w:tc>
      </w:tr>
    </w:tbl>
    <w:p>
      <w:pPr>
        <w:pStyle w:val="19"/>
        <w:jc w:val="center"/>
        <w:rPr>
          <w:rFonts w:ascii="黑体" w:hAnsi="黑体" w:eastAsia="黑体"/>
          <w:snapToGrid w:val="0"/>
          <w:color w:val="000000" w:themeColor="text1"/>
          <w:sz w:val="36"/>
          <w:szCs w:val="36"/>
          <w14:textFill>
            <w14:solidFill>
              <w14:schemeClr w14:val="tx1"/>
            </w14:solidFill>
          </w14:textFill>
        </w:rPr>
        <w:sectPr>
          <w:pgSz w:w="11906" w:h="16838"/>
          <w:pgMar w:top="1440" w:right="1800" w:bottom="1440" w:left="1800" w:header="851" w:footer="1077" w:gutter="0"/>
          <w:pgBorders>
            <w:top w:val="none" w:sz="0" w:space="0"/>
            <w:left w:val="none" w:sz="0" w:space="0"/>
            <w:bottom w:val="none" w:sz="0" w:space="0"/>
            <w:right w:val="none" w:sz="0" w:space="0"/>
          </w:pgBorders>
          <w:pgNumType w:fmt="numberInDash"/>
          <w:cols w:space="425" w:num="1"/>
          <w:docGrid w:linePitch="312" w:charSpace="0"/>
        </w:sectPr>
      </w:pPr>
    </w:p>
    <w:p>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15" w:lineRule="auto"/>
        <w:jc w:val="center"/>
        <w:textAlignment w:val="auto"/>
        <w:outlineLvl w:val="9"/>
        <w:rPr>
          <w:rFonts w:ascii="黑体" w:hAnsi="黑体" w:eastAsia="黑体"/>
          <w:snapToGrid w:val="0"/>
          <w:color w:val="000000" w:themeColor="text1"/>
          <w:sz w:val="30"/>
          <w:szCs w:val="30"/>
          <w14:textFill>
            <w14:solidFill>
              <w14:schemeClr w14:val="tx1"/>
            </w14:solidFill>
          </w14:textFill>
        </w:rPr>
      </w:pPr>
    </w:p>
    <w:p>
      <w:pPr>
        <w:pStyle w:val="19"/>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宋体"/>
          <w:snapToGrid w:val="0"/>
          <w:color w:val="000000" w:themeColor="text1"/>
          <w:sz w:val="30"/>
          <w:szCs w:val="30"/>
          <w14:textFill>
            <w14:solidFill>
              <w14:schemeClr w14:val="tx1"/>
            </w14:solidFill>
          </w14:textFill>
        </w:rPr>
        <w:t>五、主要生态环境保护措施</w:t>
      </w:r>
    </w:p>
    <w:tbl>
      <w:tblPr>
        <w:tblStyle w:val="22"/>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4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2" w:hRule="atLeast"/>
          <w:jc w:val="center"/>
        </w:trPr>
        <w:tc>
          <w:tcPr>
            <w:tcW w:w="753" w:type="dxa"/>
            <w:tcMar>
              <w:left w:w="28" w:type="dxa"/>
              <w:right w:w="28" w:type="dxa"/>
            </w:tcMar>
            <w:vAlign w:val="center"/>
          </w:tcPr>
          <w:p>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pacing w:val="10"/>
                <w:szCs w:val="21"/>
                <w14:textFill>
                  <w14:solidFill>
                    <w14:schemeClr w14:val="tx1"/>
                  </w14:solidFill>
                </w14:textFill>
              </w:rPr>
              <w:t>施工期生态环境保护措施</w:t>
            </w:r>
          </w:p>
        </w:tc>
        <w:tc>
          <w:tcPr>
            <w:tcW w:w="8457"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000000" w:themeColor="text1"/>
                <w:kern w:val="0"/>
                <w:sz w:val="24"/>
                <w:szCs w:val="24"/>
                <w14:textFill>
                  <w14:solidFill>
                    <w14:schemeClr w14:val="tx1"/>
                  </w14:solidFill>
                </w14:textFill>
              </w:rPr>
            </w:pPr>
            <w:r>
              <w:rPr>
                <w:rFonts w:hint="eastAsia" w:eastAsia="宋体" w:cs="Times New Roman"/>
                <w:b w:val="0"/>
                <w:bCs w:val="0"/>
                <w:color w:val="000000" w:themeColor="text1"/>
                <w:kern w:val="0"/>
                <w:sz w:val="24"/>
                <w:szCs w:val="24"/>
                <w:lang w:val="en-US" w:eastAsia="zh-CN"/>
                <w14:textFill>
                  <w14:solidFill>
                    <w14:schemeClr w14:val="tx1"/>
                  </w14:solidFill>
                </w14:textFill>
              </w:rPr>
              <w:t>一、</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施工期</w:t>
            </w:r>
            <w:r>
              <w:rPr>
                <w:rFonts w:hint="eastAsia" w:cs="Times New Roman"/>
                <w:b w:val="0"/>
                <w:bCs w:val="0"/>
                <w:color w:val="000000" w:themeColor="text1"/>
                <w:kern w:val="0"/>
                <w:sz w:val="24"/>
                <w:szCs w:val="24"/>
                <w:lang w:val="en-US" w:eastAsia="zh-CN"/>
                <w14:textFill>
                  <w14:solidFill>
                    <w14:schemeClr w14:val="tx1"/>
                  </w14:solidFill>
                </w14:textFill>
              </w:rPr>
              <w:t>废气</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环境保护措施</w:t>
            </w:r>
          </w:p>
          <w:p>
            <w:pPr>
              <w:pStyle w:val="12"/>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1）施工扬尘环境保护措施</w:t>
            </w:r>
          </w:p>
          <w:p>
            <w:pPr>
              <w:pStyle w:val="12"/>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为减轻施工扬尘对周边环境的影响，本评价要求建设单位按照《陕西省大气污染防治条例》、《大气污染防治行动计划》、《宝鸡市人民政府关于加强市区道路运输扬尘、建筑工地扬尘和环境噪声污染治理工作的报告》、《宝鸡市扬尘污染防治管理办法》、《宝鸡市大气污染防治条例》、《陕西省建筑施工扬尘治理措施16条》以及宝鸡市关于扬尘控制的有关要求采取有效的防尘抑尘措施。具体防尘抑尘措施如下：</w:t>
            </w:r>
          </w:p>
          <w:p>
            <w:pPr>
              <w:pStyle w:val="12"/>
              <w:numPr>
                <w:ilvl w:val="0"/>
                <w:numId w:val="1"/>
              </w:num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要求将扬尘污染防治纳入工程监理范围，其费用纳入工程预算；严格实行“六个100%”管控办法，即项目施工范围内，一律要做到施工现场100%围挡、工地物料100%覆盖、场地路面100%硬化、拆除工程100%洒水、出口车辆100%冲洗和暂不开发场地100%绿化；</w:t>
            </w:r>
          </w:p>
          <w:p>
            <w:pPr>
              <w:pStyle w:val="12"/>
              <w:numPr>
                <w:ilvl w:val="0"/>
                <w:numId w:val="1"/>
              </w:num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强化施工扬尘监管，加强施工扬尘环境监理和执法检查；在施工现场出入口设置环境保护牌，公示举报电话、扬尘污染控制措施、建设工地负责人、环保监督员、扬尘监管行政主管部门等有关信息，接受社会监督；</w:t>
            </w:r>
          </w:p>
          <w:p>
            <w:pPr>
              <w:pStyle w:val="12"/>
              <w:spacing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c、施工工地周围按照规范设置硬质材料</w:t>
            </w:r>
            <w:r>
              <w:rPr>
                <w:rFonts w:hint="eastAsia" w:ascii="Times New Roman" w:cs="Times New Roman"/>
                <w:color w:val="000000" w:themeColor="text1"/>
                <w:sz w:val="24"/>
                <w:lang w:val="en-US" w:eastAsia="zh-CN"/>
                <w14:textFill>
                  <w14:solidFill>
                    <w14:schemeClr w14:val="tx1"/>
                  </w14:solidFill>
                </w14:textFill>
              </w:rPr>
              <w:t>的连续</w:t>
            </w:r>
            <w:r>
              <w:rPr>
                <w:rFonts w:ascii="Times New Roman" w:hAnsi="Times New Roman" w:cs="Times New Roman"/>
                <w:color w:val="000000" w:themeColor="text1"/>
                <w:sz w:val="24"/>
                <w14:textFill>
                  <w14:solidFill>
                    <w14:schemeClr w14:val="tx1"/>
                  </w14:solidFill>
                </w14:textFill>
              </w:rPr>
              <w:t>密闭围挡</w:t>
            </w:r>
            <w:r>
              <w:rPr>
                <w:rFonts w:hint="eastAsia" w:ascii="Times New Roman" w:cs="Times New Roman"/>
                <w:color w:val="000000" w:themeColor="text1"/>
                <w:sz w:val="24"/>
                <w:lang w:eastAsia="zh-CN"/>
                <w14:textFill>
                  <w14:solidFill>
                    <w14:schemeClr w14:val="tx1"/>
                  </w14:solidFill>
                </w14:textFill>
              </w:rPr>
              <w:t>，围挡高度不得低于2.5</w:t>
            </w:r>
            <w:r>
              <w:rPr>
                <w:rFonts w:hint="eastAsia" w:ascii="Times New Roman" w:cs="Times New Roman"/>
                <w:color w:val="000000" w:themeColor="text1"/>
                <w:sz w:val="24"/>
                <w:lang w:val="en-US" w:eastAsia="zh-CN"/>
                <w14:textFill>
                  <w14:solidFill>
                    <w14:schemeClr w14:val="tx1"/>
                  </w14:solidFill>
                </w14:textFill>
              </w:rPr>
              <w:t>m</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施工期间，建筑结构脚手架外侧设置密目式安全立网</w:t>
            </w:r>
            <w:r>
              <w:rPr>
                <w:rFonts w:hint="eastAsia" w:ascii="Times New Roman" w:cs="Times New Roman"/>
                <w:color w:val="000000" w:themeColor="text1"/>
                <w:sz w:val="24"/>
                <w:lang w:eastAsia="zh-CN"/>
                <w14:textFill>
                  <w14:solidFill>
                    <w14:schemeClr w14:val="tx1"/>
                  </w14:solidFill>
                </w14:textFill>
              </w:rPr>
              <w:t>；</w:t>
            </w:r>
          </w:p>
          <w:p>
            <w:pPr>
              <w:pStyle w:val="12"/>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d、建筑施工工地进出口应当设置车辆清洗设备及配套的排水、泥浆沉淀设施，按规定处置泥浆和废水排放，沉淀池需定期清理。运送建筑物料的车辆驶出工地应当进行冲洗，防止泥水溢流，周边100m以内的道路应当保持清洁，不得存留建筑垃圾和泥土；</w:t>
            </w:r>
          </w:p>
          <w:p>
            <w:pPr>
              <w:pStyle w:val="12"/>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e、施工工地路面、出入口、车行道路应当采取硬化、洒水等降尘措施。在工地内堆放的工程材料、砂石、土方等易产生扬尘的物料应当在库房内存放或者采取覆盖防尘网或者防尘布，定期采取喷洒粉尘抑制剂、洒水等措施，防止风蚀起尘；</w:t>
            </w:r>
          </w:p>
          <w:p>
            <w:pPr>
              <w:pStyle w:val="12"/>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f、遇到干燥、易起尘的土方工程作业时，应辅以洒水压尘，尽量缩短起尘操作时间。遇到四级或四级以上大风天气，应停止土方作业，同时作业处覆以防尘网；</w:t>
            </w:r>
          </w:p>
          <w:p>
            <w:pPr>
              <w:pStyle w:val="12"/>
              <w:spacing w:line="360" w:lineRule="auto"/>
              <w:ind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g、工地内暂未施工的区域应当覆盖、硬化或者绿化，暂未开工的建设用地，由土地使用权人负责对裸露地面进行覆盖，超过三个月的，应当进行绿化，不得种植油性植物；</w:t>
            </w:r>
          </w:p>
          <w:p>
            <w:pPr>
              <w:pStyle w:val="12"/>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cs="Times New Roman"/>
                <w:color w:val="000000" w:themeColor="text1"/>
                <w:sz w:val="24"/>
                <w:lang w:val="en-US" w:eastAsia="zh-CN"/>
                <w14:textFill>
                  <w14:solidFill>
                    <w14:schemeClr w14:val="tx1"/>
                  </w14:solidFill>
                </w14:textFill>
              </w:rPr>
              <w:t>h、加强回填土方堆放场的管理，要采取土方表面压实、定期喷水、覆盖等措施，不需要的渣土、建筑材料应及时运走。建筑垃圾等无法在48h内清运完毕的，应当在施工工地内设置临时堆放场；临时堆放场应当采取围挡、遮盖等防尘措施</w:t>
            </w:r>
            <w:r>
              <w:rPr>
                <w:rFonts w:ascii="Times New Roman" w:hAnsi="Times New Roman" w:cs="Times New Roman"/>
                <w:color w:val="000000" w:themeColor="text1"/>
                <w:sz w:val="24"/>
                <w14:textFill>
                  <w14:solidFill>
                    <w14:schemeClr w14:val="tx1"/>
                  </w14:solidFill>
                </w14:textFill>
              </w:rPr>
              <w:t>；</w:t>
            </w:r>
          </w:p>
          <w:p>
            <w:pPr>
              <w:pStyle w:val="12"/>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Times New Roman" w:cs="Times New Roman"/>
                <w:color w:val="000000" w:themeColor="text1"/>
                <w:sz w:val="24"/>
                <w:lang w:val="en-US" w:eastAsia="zh-CN"/>
                <w14:textFill>
                  <w14:solidFill>
                    <w14:schemeClr w14:val="tx1"/>
                  </w14:solidFill>
                </w14:textFill>
              </w:rPr>
              <w:t>i、在进行产生大量泥浆的施工作业时，应当设置相应的泥浆池、泥浆沟，确保泥浆不外溢，废浆应当密闭运输</w:t>
            </w:r>
            <w:r>
              <w:rPr>
                <w:rFonts w:ascii="Times New Roman" w:hAnsi="Times New Roman" w:cs="Times New Roman"/>
                <w:color w:val="000000" w:themeColor="text1"/>
                <w:sz w:val="24"/>
                <w14:textFill>
                  <w14:solidFill>
                    <w14:schemeClr w14:val="tx1"/>
                  </w14:solidFill>
                </w14:textFill>
              </w:rPr>
              <w:t>；</w:t>
            </w:r>
          </w:p>
          <w:p>
            <w:pPr>
              <w:pStyle w:val="12"/>
              <w:spacing w:line="360" w:lineRule="auto"/>
              <w:ind w:firstLine="480" w:firstLineChars="200"/>
              <w:rPr>
                <w:rFonts w:hint="eastAsia" w:asci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j</w:t>
            </w:r>
            <w:r>
              <w:rPr>
                <w:rFonts w:hint="eastAsia" w:ascii="Times New Roman" w:cs="Times New Roman"/>
                <w:color w:val="000000" w:themeColor="text1"/>
                <w:sz w:val="24"/>
                <w:lang w:val="en-US" w:eastAsia="zh-CN"/>
                <w14:textFill>
                  <w14:solidFill>
                    <w14:schemeClr w14:val="tx1"/>
                  </w14:solidFill>
                </w14:textFill>
              </w:rPr>
              <w:t>、按照规定使用预拌混凝土和预拌砂浆；确需在施工现场搅拌混凝土和砂浆的，应当按照相关规定执行并履行备案手续；</w:t>
            </w:r>
          </w:p>
          <w:p>
            <w:pPr>
              <w:pStyle w:val="12"/>
              <w:spacing w:line="360" w:lineRule="auto"/>
              <w:ind w:firstLine="480" w:firstLineChars="200"/>
              <w:rPr>
                <w:rFonts w:hint="eastAsia"/>
                <w:color w:val="000000" w:themeColor="text1"/>
                <w:lang w:val="en-US" w:eastAsia="zh-CN"/>
                <w14:textFill>
                  <w14:solidFill>
                    <w14:schemeClr w14:val="tx1"/>
                  </w14:solidFill>
                </w14:textFill>
              </w:rPr>
            </w:pPr>
            <w:r>
              <w:rPr>
                <w:rFonts w:hint="eastAsia" w:ascii="Times New Roman" w:cs="Times New Roman"/>
                <w:color w:val="000000" w:themeColor="text1"/>
                <w:sz w:val="24"/>
                <w:lang w:val="en-US" w:eastAsia="zh-CN"/>
                <w14:textFill>
                  <w14:solidFill>
                    <w14:schemeClr w14:val="tx1"/>
                  </w14:solidFill>
                </w14:textFill>
              </w:rPr>
              <w:t>k、堆放易产生扬尘污染物料的堆场、露天仓库，应当符合下列扬尘污染防治要求：①地面应当进行硬化。②采用混凝土围墙或者天棚的储库，应当配备喷淋或者其他防尘设施。③露天装卸作业时，应当采取洒水等降尘措施；采用密闭输送设备作业的，应当在装料、卸料处配备吸尘、喷淋等防尘设施，并保持防尘设施正常使用。④临时性的废弃物堆场，应当设置围挡、防尘网等防尘设施；长期存在的废弃物堆场，应当构筑围墙或者在废弃物堆场表面种植植物。⑤划分物料区和道路界限，及时清除散落的物料，保持道路整洁并及时清洗。</w:t>
            </w:r>
          </w:p>
          <w:p>
            <w:pPr>
              <w:pStyle w:val="12"/>
              <w:spacing w:line="360" w:lineRule="auto"/>
              <w:ind w:firstLine="480" w:firstLineChars="200"/>
              <w:rPr>
                <w:rFonts w:hint="default" w:ascii="Times New Roman" w:hAnsi="Times New Roman" w:cs="Times New Roman"/>
                <w:color w:val="000000" w:themeColor="text1"/>
                <w:sz w:val="24"/>
                <w:lang w:val="en-US"/>
                <w14:textFill>
                  <w14:solidFill>
                    <w14:schemeClr w14:val="tx1"/>
                  </w14:solidFill>
                </w14:textFill>
              </w:rPr>
            </w:pPr>
            <w:r>
              <w:rPr>
                <w:rFonts w:hint="eastAsia" w:ascii="Times New Roman" w:cs="Times New Roman"/>
                <w:color w:val="000000" w:themeColor="text1"/>
                <w:sz w:val="24"/>
                <w:lang w:val="en-US" w:eastAsia="zh-CN"/>
                <w14:textFill>
                  <w14:solidFill>
                    <w14:schemeClr w14:val="tx1"/>
                  </w14:solidFill>
                </w14:textFill>
              </w:rPr>
              <w:t>l、车辆行驶扬尘防治：①加强施工车辆管理，优化行车路线，同时对进出场地的施工车辆勤冲洗，对车辆途经路段勤洒水、清扫；②运输土石方及粉料等施工车辆采取加蓬覆盖，严禁物料沿途抛洒、掉落；③硬化施工便道路面；④设置洗车平台，完善排水设施，防止泥土粘带。施工期间，应在物料、渣土、垃圾运输车辆的出口内侧设置洗车平台，车辆驶离工地前，应在洗车平台清洗轮胎及车身，不得带泥上路。洗车平台四周应设置防溢座、废水导流渠、废水收集池、沉砂池及其它防治设施，收集洗车、施工以及降水过程中产生的废水和泥浆。工地出口处铺装道路上可见粘带泥土不得超过10m，并应及时清扫冲洗。⑤对运输建筑材料与建筑垃圾的车辆加盖篷布减少洒落。同时，车辆进出、装卸场地时应用水将轮胎冲洗干净。</w:t>
            </w:r>
          </w:p>
          <w:p>
            <w:pPr>
              <w:pStyle w:val="12"/>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采取以上防尘治理措施后，施工扬尘可降低50-70%，可</w:t>
            </w:r>
            <w:r>
              <w:rPr>
                <w:rFonts w:hint="eastAsia" w:ascii="Times New Roman" w:cs="Times New Roman"/>
                <w:color w:val="000000" w:themeColor="text1"/>
                <w:sz w:val="24"/>
                <w:lang w:val="en-US" w:eastAsia="zh-CN"/>
                <w14:textFill>
                  <w14:solidFill>
                    <w14:schemeClr w14:val="tx1"/>
                  </w14:solidFill>
                </w14:textFill>
              </w:rPr>
              <w:t>最大程度</w:t>
            </w:r>
            <w:r>
              <w:rPr>
                <w:rFonts w:ascii="Times New Roman" w:hAnsi="Times New Roman" w:cs="Times New Roman"/>
                <w:color w:val="000000" w:themeColor="text1"/>
                <w:sz w:val="24"/>
                <w14:textFill>
                  <w14:solidFill>
                    <w14:schemeClr w14:val="tx1"/>
                  </w14:solidFill>
                </w14:textFill>
              </w:rPr>
              <w:t>减轻对周边环境的影响。</w:t>
            </w:r>
            <w:r>
              <w:rPr>
                <w:rFonts w:hint="eastAsia" w:ascii="Times New Roman" w:hAnsi="Times New Roman" w:cs="Times New Roman"/>
                <w:color w:val="000000" w:themeColor="text1"/>
                <w:sz w:val="24"/>
                <w14:textFill>
                  <w14:solidFill>
                    <w14:schemeClr w14:val="tx1"/>
                  </w14:solidFill>
                </w14:textFill>
              </w:rPr>
              <w:t>施工扬尘的影响是暂时的，可逆的，工程一结束，污染影响也就随之而停止。</w:t>
            </w:r>
          </w:p>
          <w:p>
            <w:pPr>
              <w:pStyle w:val="12"/>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2）施工车辆燃油废气环境保护措施</w:t>
            </w:r>
          </w:p>
          <w:p>
            <w:pPr>
              <w:pStyle w:val="12"/>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加强对施工车辆的保养，加强对施工机械施工进程的管理，提高使用效率，使用清洁能源等措施，确保施工车辆尾气达到</w:t>
            </w:r>
            <w:r>
              <w:rPr>
                <w:rFonts w:ascii="Times New Roman" w:hAnsi="Times New Roman" w:cs="Times New Roman"/>
                <w:color w:val="000000" w:themeColor="text1"/>
                <w:sz w:val="24"/>
                <w:szCs w:val="24"/>
                <w14:textFill>
                  <w14:solidFill>
                    <w14:schemeClr w14:val="tx1"/>
                  </w14:solidFill>
                </w14:textFill>
              </w:rPr>
              <w:t>《非道路移动机械用柴油机排气污染物排放限值及测量方法（中国第三、四阶段）》（GB20891-2014）的排放</w:t>
            </w:r>
            <w:r>
              <w:rPr>
                <w:rFonts w:ascii="Times New Roman" w:hAnsi="Times New Roman" w:cs="Times New Roman"/>
                <w:color w:val="000000" w:themeColor="text1"/>
                <w:sz w:val="24"/>
                <w14:textFill>
                  <w14:solidFill>
                    <w14:schemeClr w14:val="tx1"/>
                  </w14:solidFill>
                </w14:textFill>
              </w:rPr>
              <w:t>限值要求。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000000" w:themeColor="text1"/>
                <w:sz w:val="24"/>
                <w:szCs w:val="24"/>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二、</w:t>
            </w:r>
            <w:r>
              <w:rPr>
                <w:rFonts w:hint="default" w:ascii="Times New Roman" w:hAnsi="Times New Roman" w:eastAsia="宋体" w:cs="Times New Roman"/>
                <w:b w:val="0"/>
                <w:bCs w:val="0"/>
                <w:color w:val="000000" w:themeColor="text1"/>
                <w:sz w:val="24"/>
                <w:szCs w:val="24"/>
                <w14:textFill>
                  <w14:solidFill>
                    <w14:schemeClr w14:val="tx1"/>
                  </w14:solidFill>
                </w14:textFill>
              </w:rPr>
              <w:t>施工期</w:t>
            </w:r>
            <w:r>
              <w:rPr>
                <w:rFonts w:hint="eastAsia" w:cs="Times New Roman"/>
                <w:b w:val="0"/>
                <w:bCs w:val="0"/>
                <w:color w:val="000000" w:themeColor="text1"/>
                <w:sz w:val="24"/>
                <w:szCs w:val="24"/>
                <w:lang w:val="en-US" w:eastAsia="zh-CN"/>
                <w14:textFill>
                  <w14:solidFill>
                    <w14:schemeClr w14:val="tx1"/>
                  </w14:solidFill>
                </w14:textFill>
              </w:rPr>
              <w:t>废水</w:t>
            </w:r>
            <w:r>
              <w:rPr>
                <w:rFonts w:ascii="Times New Roman" w:hAnsi="Times New Roman" w:cs="Times New Roman"/>
                <w:color w:val="000000" w:themeColor="text1"/>
                <w:sz w:val="24"/>
                <w14:textFill>
                  <w14:solidFill>
                    <w14:schemeClr w14:val="tx1"/>
                  </w14:solidFill>
                </w14:textFill>
              </w:rPr>
              <w:t>环境保护措施</w:t>
            </w:r>
          </w:p>
          <w:p>
            <w:pPr>
              <w:spacing w:line="360" w:lineRule="auto"/>
              <w:ind w:firstLine="420" w:firstLineChars="200"/>
              <w:rPr>
                <w:color w:val="000000" w:themeColor="text1"/>
                <w:sz w:val="24"/>
                <w14:textFill>
                  <w14:solidFill>
                    <w14:schemeClr w14:val="tx1"/>
                  </w14:solidFill>
                </w14:textFill>
              </w:rPr>
            </w:pPr>
            <w:r>
              <w:rPr>
                <w:color w:val="000000" w:themeColor="text1"/>
                <w:szCs w:val="21"/>
                <w14:textFill>
                  <w14:solidFill>
                    <w14:schemeClr w14:val="tx1"/>
                  </w14:solidFill>
                </w14:textFill>
              </w:rPr>
              <w:t>（</w:t>
            </w:r>
            <w:r>
              <w:rPr>
                <w:color w:val="000000" w:themeColor="text1"/>
                <w:sz w:val="24"/>
                <w14:textFill>
                  <w14:solidFill>
                    <w14:schemeClr w14:val="tx1"/>
                  </w14:solidFill>
                </w14:textFill>
              </w:rPr>
              <w:t>1）施工人员生活污水环境保护措施</w:t>
            </w:r>
          </w:p>
          <w:p>
            <w:pPr>
              <w:spacing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施工人员住宿及办公采用租用当地民房的方式</w:t>
            </w:r>
            <w:r>
              <w:rPr>
                <w:rFonts w:hint="eastAsia" w:ascii="Times New Roman" w:hAnsi="Times New Roman" w:eastAsia="宋体" w:cs="Times New Roman"/>
                <w:color w:val="000000" w:themeColor="text1"/>
                <w:sz w:val="24"/>
                <w14:textFill>
                  <w14:solidFill>
                    <w14:schemeClr w14:val="tx1"/>
                  </w14:solidFill>
                </w14:textFill>
              </w:rPr>
              <w:t>，生活污水</w:t>
            </w:r>
            <w:r>
              <w:rPr>
                <w:color w:val="000000" w:themeColor="text1"/>
                <w:sz w:val="24"/>
                <w14:textFill>
                  <w14:solidFill>
                    <w14:schemeClr w14:val="tx1"/>
                  </w14:solidFill>
                </w14:textFill>
              </w:rPr>
              <w:t>依托</w:t>
            </w:r>
            <w:r>
              <w:rPr>
                <w:rFonts w:hint="eastAsia"/>
                <w:color w:val="000000" w:themeColor="text1"/>
                <w:sz w:val="24"/>
                <w14:textFill>
                  <w14:solidFill>
                    <w14:schemeClr w14:val="tx1"/>
                  </w14:solidFill>
                </w14:textFill>
              </w:rPr>
              <w:t>现有处理设施处理</w:t>
            </w:r>
            <w:r>
              <w:rPr>
                <w:rFonts w:hint="eastAsia"/>
                <w:color w:val="000000" w:themeColor="text1"/>
                <w:sz w:val="24"/>
                <w:lang w:eastAsia="zh-CN"/>
                <w14:textFill>
                  <w14:solidFill>
                    <w14:schemeClr w14:val="tx1"/>
                  </w14:solidFill>
                </w14:textFill>
              </w:rPr>
              <w:t>。</w:t>
            </w:r>
          </w:p>
          <w:p>
            <w:pPr>
              <w:spacing w:line="360" w:lineRule="auto"/>
              <w:ind w:firstLine="420" w:firstLineChars="200"/>
              <w:rPr>
                <w:color w:val="000000" w:themeColor="text1"/>
                <w:sz w:val="24"/>
                <w14:textFill>
                  <w14:solidFill>
                    <w14:schemeClr w14:val="tx1"/>
                  </w14:solidFill>
                </w14:textFill>
              </w:rPr>
            </w:pPr>
            <w:r>
              <w:rPr>
                <w:color w:val="000000" w:themeColor="text1"/>
                <w:szCs w:val="21"/>
                <w14:textFill>
                  <w14:solidFill>
                    <w14:schemeClr w14:val="tx1"/>
                  </w14:solidFill>
                </w14:textFill>
              </w:rPr>
              <w:t>（</w:t>
            </w:r>
            <w:r>
              <w:rPr>
                <w:color w:val="000000" w:themeColor="text1"/>
                <w:sz w:val="24"/>
                <w14:textFill>
                  <w14:solidFill>
                    <w14:schemeClr w14:val="tx1"/>
                  </w14:solidFill>
                </w14:textFill>
              </w:rPr>
              <w:t>2）施工生产废水、冲洗车辆废水环境保护措施</w:t>
            </w:r>
          </w:p>
          <w:p>
            <w:pPr>
              <w:spacing w:line="360" w:lineRule="auto"/>
              <w:ind w:firstLine="480" w:firstLineChars="200"/>
              <w:rPr>
                <w:rFonts w:hint="default" w:ascii="Times New Roman" w:hAnsi="Times New Roman" w:cs="Times New Roman"/>
                <w:b w:val="0"/>
                <w:bCs w:val="0"/>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1</w:t>
            </w:r>
            <w:r>
              <w:rPr>
                <w:rFonts w:ascii="Times New Roman" w:hAnsi="Times New Roman" w:cs="Times New Roman"/>
                <w:color w:val="000000" w:themeColor="text1"/>
                <w:sz w:val="24"/>
                <w14:textFill>
                  <w14:solidFill>
                    <w14:schemeClr w14:val="tx1"/>
                  </w14:solidFill>
                </w14:textFill>
              </w:rPr>
              <w:t>）</w:t>
            </w:r>
            <w:r>
              <w:rPr>
                <w:rFonts w:hint="default" w:ascii="Times New Roman" w:hAnsi="Times New Roman" w:eastAsia="宋体" w:cs="Times New Roman"/>
                <w:b w:val="0"/>
                <w:bCs w:val="0"/>
                <w:color w:val="000000" w:themeColor="text1"/>
                <w:sz w:val="24"/>
                <w:szCs w:val="24"/>
                <w14:textFill>
                  <w14:solidFill>
                    <w14:schemeClr w14:val="tx1"/>
                  </w14:solidFill>
                </w14:textFill>
              </w:rPr>
              <w:t>施工场地面灰尘量大，下游出水口处设置沉淀池，初期雨水经沉淀池初步沉淀后回用。</w:t>
            </w:r>
          </w:p>
          <w:p>
            <w:pPr>
              <w:spacing w:line="360" w:lineRule="auto"/>
              <w:ind w:firstLine="480" w:firstLineChars="200"/>
              <w:rPr>
                <w:rFonts w:hint="default" w:ascii="Times New Roman" w:hAnsi="Times New Roman" w:cs="Times New Roman"/>
                <w:b w:val="0"/>
                <w:bCs w:val="0"/>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w:t>
            </w:r>
            <w:r>
              <w:rPr>
                <w:rFonts w:hint="default" w:ascii="Times New Roman" w:hAnsi="Times New Roman" w:eastAsia="宋体" w:cs="Times New Roman"/>
                <w:b w:val="0"/>
                <w:bCs w:val="0"/>
                <w:color w:val="000000" w:themeColor="text1"/>
                <w:sz w:val="24"/>
                <w:szCs w:val="24"/>
                <w14:textFill>
                  <w14:solidFill>
                    <w14:schemeClr w14:val="tx1"/>
                  </w14:solidFill>
                </w14:textFill>
              </w:rPr>
              <w:t>冲洗废水为间歇式排放，废水量不稳定。因此，施工中往往用水量无节制、废水排放量大，若不采取措施，将会在施工现场随意流淌，对周围水环境造成一定的影响。对于施工中的冲洗废水，</w:t>
            </w:r>
            <w:r>
              <w:rPr>
                <w:rFonts w:hint="eastAsia" w:cs="Times New Roman"/>
                <w:b w:val="0"/>
                <w:bCs w:val="0"/>
                <w:color w:val="000000" w:themeColor="text1"/>
                <w:sz w:val="24"/>
                <w:szCs w:val="24"/>
                <w:lang w:val="en-US" w:eastAsia="zh-CN"/>
                <w14:textFill>
                  <w14:solidFill>
                    <w14:schemeClr w14:val="tx1"/>
                  </w14:solidFill>
                </w14:textFill>
              </w:rPr>
              <w:t>拟</w:t>
            </w:r>
            <w:r>
              <w:rPr>
                <w:rFonts w:hint="default" w:ascii="Times New Roman" w:hAnsi="Times New Roman" w:eastAsia="宋体" w:cs="Times New Roman"/>
                <w:b w:val="0"/>
                <w:bCs w:val="0"/>
                <w:color w:val="000000" w:themeColor="text1"/>
                <w:sz w:val="24"/>
                <w:szCs w:val="24"/>
                <w14:textFill>
                  <w14:solidFill>
                    <w14:schemeClr w14:val="tx1"/>
                  </w14:solidFill>
                </w14:textFill>
              </w:rPr>
              <w:t>在施工现场设置临时100m</w:t>
            </w:r>
            <w:r>
              <w:rPr>
                <w:rFonts w:hint="eastAsia" w:cs="Times New Roman"/>
                <w:b w:val="0"/>
                <w:bCs w:val="0"/>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14:textFill>
                  <w14:solidFill>
                    <w14:schemeClr w14:val="tx1"/>
                  </w14:solidFill>
                </w14:textFill>
              </w:rPr>
              <w:t>的废水沉淀池</w:t>
            </w:r>
            <w:r>
              <w:rPr>
                <w:rFonts w:hint="eastAsia" w:cs="Times New Roman"/>
                <w:b w:val="0"/>
                <w:bCs w:val="0"/>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24"/>
                <w14:textFill>
                  <w14:solidFill>
                    <w14:schemeClr w14:val="tx1"/>
                  </w14:solidFill>
                </w14:textFill>
              </w:rPr>
              <w:t>座，收集施工中所排放的各类废水，废水经沉淀后，仍可作为施工用水的一部分重复使用，这样既节约了水资源，又减轻了对地表水环境的污染。</w:t>
            </w:r>
          </w:p>
          <w:p>
            <w:pPr>
              <w:spacing w:line="360" w:lineRule="auto"/>
              <w:ind w:firstLine="480" w:firstLineChars="200"/>
              <w:rPr>
                <w:rFonts w:hint="default" w:ascii="Times New Roman" w:hAnsi="Times New Roman" w:cs="Times New Roman"/>
                <w:b w:val="0"/>
                <w:bCs w:val="0"/>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w:t>
            </w:r>
            <w:r>
              <w:rPr>
                <w:rFonts w:hint="default" w:ascii="Times New Roman" w:hAnsi="Times New Roman" w:eastAsia="宋体" w:cs="Times New Roman"/>
                <w:b w:val="0"/>
                <w:bCs w:val="0"/>
                <w:color w:val="000000" w:themeColor="text1"/>
                <w:sz w:val="24"/>
                <w:szCs w:val="24"/>
                <w14:textFill>
                  <w14:solidFill>
                    <w14:schemeClr w14:val="tx1"/>
                  </w14:solidFill>
                </w14:textFill>
              </w:rPr>
              <w:t>在施工中应合理安排施工计划、施工程序，协调好各施工步骤，雨季中尽量减少地面开挖，并争取土料随挖、随运、减少裸土的暴露时间，以避免受到降雨的直接冲刷。在项目区以及道路施工场地，争取做到土料随填随压，不留松土。</w:t>
            </w:r>
          </w:p>
          <w:p>
            <w:pPr>
              <w:spacing w:line="360" w:lineRule="auto"/>
              <w:ind w:firstLine="480" w:firstLineChars="200"/>
              <w:rPr>
                <w:rFonts w:hint="default" w:ascii="Times New Roman" w:hAnsi="Times New Roman" w:cs="Times New Roman"/>
                <w:b w:val="0"/>
                <w:bCs w:val="0"/>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4</w:t>
            </w:r>
            <w:r>
              <w:rPr>
                <w:rFonts w:ascii="Times New Roman" w:hAnsi="Times New Roman" w:cs="Times New Roman"/>
                <w:color w:val="000000" w:themeColor="text1"/>
                <w:sz w:val="24"/>
                <w14:textFill>
                  <w14:solidFill>
                    <w14:schemeClr w14:val="tx1"/>
                  </w14:solidFill>
                </w14:textFill>
              </w:rPr>
              <w:t>）</w:t>
            </w:r>
            <w:r>
              <w:rPr>
                <w:rFonts w:hint="default" w:ascii="Times New Roman" w:hAnsi="Times New Roman" w:eastAsia="宋体" w:cs="Times New Roman"/>
                <w:b w:val="0"/>
                <w:bCs w:val="0"/>
                <w:color w:val="000000" w:themeColor="text1"/>
                <w:sz w:val="24"/>
                <w:szCs w:val="24"/>
                <w14:textFill>
                  <w14:solidFill>
                    <w14:schemeClr w14:val="tx1"/>
                  </w14:solidFill>
                </w14:textFill>
              </w:rPr>
              <w:t>在施工现场需要构筑相应的集水沉沙池和排水沟，以收集地表径流和施工过程产生的泥浆水、施工废水，经过沉沙、除渣和隔油等预处理后循环使用。</w:t>
            </w:r>
          </w:p>
          <w:p>
            <w:pPr>
              <w:spacing w:line="360" w:lineRule="auto"/>
              <w:ind w:firstLine="480" w:firstLineChars="200"/>
              <w:rPr>
                <w:rFonts w:hint="default" w:ascii="Times New Roman" w:hAnsi="Times New Roman" w:cs="Times New Roman"/>
                <w:b w:val="0"/>
                <w:bCs w:val="0"/>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5</w:t>
            </w:r>
            <w:r>
              <w:rPr>
                <w:rFonts w:ascii="Times New Roman" w:hAnsi="Times New Roman" w:cs="Times New Roman"/>
                <w:color w:val="000000" w:themeColor="text1"/>
                <w:sz w:val="24"/>
                <w14:textFill>
                  <w14:solidFill>
                    <w14:schemeClr w14:val="tx1"/>
                  </w14:solidFill>
                </w14:textFill>
              </w:rPr>
              <w:t>）</w:t>
            </w:r>
            <w:r>
              <w:rPr>
                <w:rFonts w:hint="default" w:ascii="Times New Roman" w:hAnsi="Times New Roman" w:eastAsia="宋体" w:cs="Times New Roman"/>
                <w:b w:val="0"/>
                <w:bCs w:val="0"/>
                <w:color w:val="000000" w:themeColor="text1"/>
                <w:sz w:val="24"/>
                <w:szCs w:val="24"/>
                <w14:textFill>
                  <w14:solidFill>
                    <w14:schemeClr w14:val="tx1"/>
                  </w14:solidFill>
                </w14:textFill>
              </w:rPr>
              <w:t>管网施工时产生的泥浆水或钻孔桩产生的泥浆必须经浮渣池处理后方可外排，施工污水不得随意排放，不得污染现场及周围环境。在回填土堆放场、施工泥浆产生点应设置临时浮渣池，含泥砂雨水、泥浆水经浮渣池沉淀后排放。</w:t>
            </w:r>
          </w:p>
          <w:p>
            <w:pPr>
              <w:spacing w:line="360" w:lineRule="auto"/>
              <w:ind w:firstLine="480"/>
              <w:rPr>
                <w:rFonts w:hint="default" w:ascii="Times New Roman" w:hAnsi="Times New Roman" w:cs="Times New Roman"/>
                <w:b w:val="0"/>
                <w:bCs w:val="0"/>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6</w:t>
            </w:r>
            <w:r>
              <w:rPr>
                <w:rFonts w:ascii="Times New Roman" w:hAnsi="Times New Roman" w:cs="Times New Roman"/>
                <w:color w:val="000000" w:themeColor="text1"/>
                <w:sz w:val="24"/>
                <w14:textFill>
                  <w14:solidFill>
                    <w14:schemeClr w14:val="tx1"/>
                  </w14:solidFill>
                </w14:textFill>
              </w:rPr>
              <w:t>）</w:t>
            </w:r>
            <w:r>
              <w:rPr>
                <w:rFonts w:hint="default" w:ascii="Times New Roman" w:hAnsi="Times New Roman" w:eastAsia="宋体" w:cs="Times New Roman"/>
                <w:b w:val="0"/>
                <w:bCs w:val="0"/>
                <w:color w:val="000000" w:themeColor="text1"/>
                <w:sz w:val="24"/>
                <w:szCs w:val="24"/>
                <w14:textFill>
                  <w14:solidFill>
                    <w14:schemeClr w14:val="tx1"/>
                  </w14:solidFill>
                </w14:textFill>
              </w:rPr>
              <w:t>管网施工期间要注意清扫地面，清理土料、粉尘、渣土等，避免这类物质由于雨水的冲刷而淤塞排水管网和河道。</w:t>
            </w:r>
          </w:p>
          <w:p>
            <w:pPr>
              <w:spacing w:line="360" w:lineRule="auto"/>
              <w:ind w:firstLine="480" w:firstLineChars="200"/>
              <w:rPr>
                <w:rFonts w:hint="default" w:cs="Times New Roman"/>
                <w:b w:val="0"/>
                <w:bCs w:val="0"/>
                <w:color w:val="000000" w:themeColor="text1"/>
                <w:kern w:val="0"/>
                <w:sz w:val="24"/>
                <w:szCs w:val="24"/>
                <w:lang w:val="en-US" w:eastAsia="zh-CN"/>
                <w14:textFill>
                  <w14:solidFill>
                    <w14:schemeClr w14:val="tx1"/>
                  </w14:solidFill>
                </w14:textFill>
              </w:rPr>
            </w:pPr>
            <w:r>
              <w:rPr>
                <w:rFonts w:hint="eastAsia" w:cs="Times New Roman"/>
                <w:b w:val="0"/>
                <w:bCs w:val="0"/>
                <w:color w:val="000000" w:themeColor="text1"/>
                <w:kern w:val="0"/>
                <w:sz w:val="24"/>
                <w:szCs w:val="24"/>
                <w:lang w:val="en-US" w:eastAsia="zh-CN"/>
                <w14:textFill>
                  <w14:solidFill>
                    <w14:schemeClr w14:val="tx1"/>
                  </w14:solidFill>
                </w14:textFill>
              </w:rPr>
              <w:t>7）闭水试压废水</w:t>
            </w:r>
            <w:r>
              <w:rPr>
                <w:rFonts w:hint="default" w:cs="Times New Roman"/>
                <w:b w:val="0"/>
                <w:bCs w:val="0"/>
                <w:color w:val="000000" w:themeColor="text1"/>
                <w:kern w:val="0"/>
                <w:sz w:val="24"/>
                <w:szCs w:val="24"/>
                <w:lang w:val="en-US" w:eastAsia="zh-CN"/>
                <w14:textFill>
                  <w14:solidFill>
                    <w14:schemeClr w14:val="tx1"/>
                  </w14:solidFill>
                </w14:textFill>
              </w:rPr>
              <w:t>经临时沉淀池处理后回用于施工及洒水抑尘等，循环使用，不外排</w:t>
            </w:r>
            <w:r>
              <w:rPr>
                <w:rFonts w:hint="eastAsia" w:cs="Times New Roman"/>
                <w:b w:val="0"/>
                <w:bCs w:val="0"/>
                <w:color w:val="000000" w:themeColor="text1"/>
                <w:kern w:val="0"/>
                <w:sz w:val="24"/>
                <w:szCs w:val="24"/>
                <w:lang w:val="en-US" w:eastAsia="zh-CN"/>
                <w14:textFill>
                  <w14:solidFill>
                    <w14:schemeClr w14:val="tx1"/>
                  </w14:solidFill>
                </w14:textFill>
              </w:rPr>
              <w:t>。</w:t>
            </w:r>
          </w:p>
          <w:p>
            <w:pPr>
              <w:spacing w:line="360" w:lineRule="auto"/>
              <w:ind w:firstLine="480" w:firstLineChars="200"/>
              <w:rPr>
                <w:rFonts w:hint="eastAsia" w:ascii="Times New Roman" w:hAnsi="Times New Roman" w:eastAsia="宋体" w:cs="Times New Roman"/>
                <w:b w:val="0"/>
                <w:bCs w:val="0"/>
                <w:color w:val="000000" w:themeColor="text1"/>
                <w:kern w:val="0"/>
                <w:sz w:val="24"/>
                <w:szCs w:val="24"/>
                <w:lang w:val="en-US" w:eastAsia="zh-CN"/>
                <w14:textFill>
                  <w14:solidFill>
                    <w14:schemeClr w14:val="tx1"/>
                  </w14:solidFill>
                </w14:textFill>
              </w:rPr>
            </w:pPr>
            <w:r>
              <w:rPr>
                <w:rFonts w:hint="eastAsia" w:cs="Times New Roman"/>
                <w:b w:val="0"/>
                <w:bCs w:val="0"/>
                <w:color w:val="000000" w:themeColor="text1"/>
                <w:kern w:val="0"/>
                <w:sz w:val="24"/>
                <w:szCs w:val="24"/>
                <w:lang w:val="en-US" w:eastAsia="zh-CN"/>
                <w14:textFill>
                  <w14:solidFill>
                    <w14:schemeClr w14:val="tx1"/>
                  </w14:solidFill>
                </w14:textFill>
              </w:rPr>
              <w:t>8）向施工人员宣传环保措施，树立保护水体的意识。</w:t>
            </w:r>
          </w:p>
          <w:p>
            <w:pPr>
              <w:spacing w:line="360" w:lineRule="auto"/>
              <w:ind w:firstLine="480" w:firstLineChars="200"/>
              <w:rPr>
                <w:rFonts w:hint="default" w:ascii="Times New Roman" w:hAnsi="Times New Roman" w:cs="Times New Roman"/>
                <w:b w:val="0"/>
                <w:bCs w:val="0"/>
                <w:color w:val="000000" w:themeColor="text1"/>
                <w:kern w:val="0"/>
                <w:sz w:val="24"/>
                <w:szCs w:val="24"/>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综上所述，由于本项目施工的特殊性，在施工时采用人工断流的方式进行，不存在向水体排放污染物，在采取相应的环保措施后，施工期废水不会对水环境产生污染影响。施工期的环境影响是暂时的，随着基础施工的结束，这种影响将逐渐消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000000" w:themeColor="text1"/>
                <w:sz w:val="24"/>
                <w:szCs w:val="24"/>
                <w14:textFill>
                  <w14:solidFill>
                    <w14:schemeClr w14:val="tx1"/>
                  </w14:solidFill>
                </w14:textFill>
              </w:rPr>
            </w:pPr>
            <w:r>
              <w:rPr>
                <w:rFonts w:hint="eastAsia" w:eastAsia="宋体" w:cs="Times New Roman"/>
                <w:b w:val="0"/>
                <w:bCs w:val="0"/>
                <w:color w:val="000000" w:themeColor="text1"/>
                <w:kern w:val="0"/>
                <w:sz w:val="24"/>
                <w:szCs w:val="24"/>
                <w:lang w:val="en-US" w:eastAsia="zh-CN"/>
                <w14:textFill>
                  <w14:solidFill>
                    <w14:schemeClr w14:val="tx1"/>
                  </w14:solidFill>
                </w14:textFill>
              </w:rPr>
              <w:t>三、</w:t>
            </w:r>
            <w:r>
              <w:rPr>
                <w:rFonts w:hint="default" w:ascii="Times New Roman" w:hAnsi="Times New Roman" w:eastAsia="宋体" w:cs="Times New Roman"/>
                <w:b w:val="0"/>
                <w:bCs w:val="0"/>
                <w:color w:val="000000" w:themeColor="text1"/>
                <w:sz w:val="24"/>
                <w:szCs w:val="24"/>
                <w14:textFill>
                  <w14:solidFill>
                    <w14:schemeClr w14:val="tx1"/>
                  </w14:solidFill>
                </w14:textFill>
              </w:rPr>
              <w:t>施工期噪声</w:t>
            </w:r>
            <w:r>
              <w:rPr>
                <w:rFonts w:ascii="Times New Roman" w:hAnsi="Times New Roman" w:cs="Times New Roman"/>
                <w:color w:val="000000" w:themeColor="text1"/>
                <w:sz w:val="24"/>
                <w14:textFill>
                  <w14:solidFill>
                    <w14:schemeClr w14:val="tx1"/>
                  </w14:solidFill>
                </w14:textFill>
              </w:rPr>
              <w:t>环境保护措施</w:t>
            </w:r>
          </w:p>
          <w:p>
            <w:pPr>
              <w:pStyle w:val="12"/>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本项目施工过程的施工噪声对周边敏感点会产生一定影响。为减轻施工期噪声对周围环境的影响，要求建设单位在施工期采取以下相应措施：</w:t>
            </w:r>
          </w:p>
          <w:p>
            <w:pPr>
              <w:spacing w:line="360" w:lineRule="auto"/>
              <w:ind w:firstLine="480"/>
              <w:rPr>
                <w:rFonts w:hint="default" w:ascii="Times New Roman" w:hAnsi="Times New Roman" w:cs="Times New Roman"/>
                <w:b w:val="0"/>
                <w:bCs w:val="0"/>
                <w:color w:val="000000" w:themeColor="text1"/>
                <w:kern w:val="0"/>
                <w:sz w:val="24"/>
                <w:szCs w:val="24"/>
                <w14:textFill>
                  <w14:solidFill>
                    <w14:schemeClr w14:val="tx1"/>
                  </w14:solidFill>
                </w14:textFill>
              </w:rPr>
            </w:pPr>
            <w:r>
              <w:rPr>
                <w:rFonts w:hint="eastAsia" w:cs="Times New Roman"/>
                <w:b w:val="0"/>
                <w:bCs w:val="0"/>
                <w:color w:val="000000" w:themeColor="text1"/>
                <w:kern w:val="0"/>
                <w:sz w:val="24"/>
                <w:szCs w:val="24"/>
                <w:lang w:eastAsia="zh-CN"/>
                <w14:textFill>
                  <w14:solidFill>
                    <w14:schemeClr w14:val="tx1"/>
                  </w14:solidFill>
                </w14:textFill>
              </w:rPr>
              <w:t>（</w:t>
            </w:r>
            <w:r>
              <w:rPr>
                <w:rFonts w:hint="eastAsia" w:cs="Times New Roman"/>
                <w:b w:val="0"/>
                <w:bCs w:val="0"/>
                <w:color w:val="000000" w:themeColor="text1"/>
                <w:kern w:val="0"/>
                <w:sz w:val="24"/>
                <w:szCs w:val="24"/>
                <w:lang w:val="en-US" w:eastAsia="zh-CN"/>
                <w14:textFill>
                  <w14:solidFill>
                    <w14:schemeClr w14:val="tx1"/>
                  </w14:solidFill>
                </w14:textFill>
              </w:rPr>
              <w:t>1</w:t>
            </w:r>
            <w:r>
              <w:rPr>
                <w:rFonts w:hint="eastAsia" w:cs="Times New Roman"/>
                <w:b w:val="0"/>
                <w:bCs w:val="0"/>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优先采用低噪声机械，工程施工所用的施工机械设备应事先对其常规工作状态下的噪声测量，超过国家标准的机械应禁止入场施工。施工过程中还应经常对设备进行维修保养，避免因使用的设备性能差而使噪声增加的现象发生；整体设备安装应安放稳固，并与地面保持良好接触，必要时加装</w:t>
            </w:r>
            <w:r>
              <w:rPr>
                <w:rFonts w:hint="eastAsia" w:cs="Times New Roman"/>
                <w:b w:val="0"/>
                <w:bCs w:val="0"/>
                <w:color w:val="000000" w:themeColor="text1"/>
                <w:kern w:val="0"/>
                <w:sz w:val="24"/>
                <w:szCs w:val="24"/>
                <w:lang w:eastAsia="zh-CN"/>
                <w14:textFill>
                  <w14:solidFill>
                    <w14:schemeClr w14:val="tx1"/>
                  </w14:solidFill>
                </w14:textFill>
              </w:rPr>
              <w:t>减振</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底座。</w:t>
            </w:r>
          </w:p>
          <w:p>
            <w:pPr>
              <w:spacing w:line="360" w:lineRule="auto"/>
              <w:ind w:firstLine="480"/>
              <w:rPr>
                <w:rFonts w:hint="default" w:ascii="Times New Roman" w:hAnsi="Times New Roman" w:cs="Times New Roman"/>
                <w:b w:val="0"/>
                <w:bCs w:val="0"/>
                <w:color w:val="000000" w:themeColor="text1"/>
                <w:kern w:val="0"/>
                <w:sz w:val="24"/>
                <w:szCs w:val="24"/>
                <w14:textFill>
                  <w14:solidFill>
                    <w14:schemeClr w14:val="tx1"/>
                  </w14:solidFill>
                </w14:textFill>
              </w:rPr>
            </w:pPr>
            <w:r>
              <w:rPr>
                <w:rFonts w:hint="eastAsia" w:cs="Times New Roman"/>
                <w:b w:val="0"/>
                <w:bCs w:val="0"/>
                <w:color w:val="000000" w:themeColor="text1"/>
                <w:kern w:val="0"/>
                <w:sz w:val="24"/>
                <w:szCs w:val="24"/>
                <w:lang w:eastAsia="zh-CN"/>
                <w14:textFill>
                  <w14:solidFill>
                    <w14:schemeClr w14:val="tx1"/>
                  </w14:solidFill>
                </w14:textFill>
              </w:rPr>
              <w:t>（</w:t>
            </w:r>
            <w:r>
              <w:rPr>
                <w:rFonts w:hint="eastAsia" w:cs="Times New Roman"/>
                <w:b w:val="0"/>
                <w:bCs w:val="0"/>
                <w:color w:val="000000" w:themeColor="text1"/>
                <w:kern w:val="0"/>
                <w:sz w:val="24"/>
                <w:szCs w:val="24"/>
                <w:lang w:val="en-US" w:eastAsia="zh-CN"/>
                <w14:textFill>
                  <w14:solidFill>
                    <w14:schemeClr w14:val="tx1"/>
                  </w14:solidFill>
                </w14:textFill>
              </w:rPr>
              <w:t>2</w:t>
            </w:r>
            <w:r>
              <w:rPr>
                <w:rFonts w:hint="eastAsia" w:cs="Times New Roman"/>
                <w:b w:val="0"/>
                <w:bCs w:val="0"/>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合理安排施工时间和布局和施工现场。严禁夜间22:00</w:t>
            </w:r>
            <w:r>
              <w:rPr>
                <w:rFonts w:hint="eastAsia" w:cs="Times New Roman"/>
                <w:b w:val="0"/>
                <w:bCs w:val="0"/>
                <w:color w:val="000000" w:themeColor="text1"/>
                <w:kern w:val="0"/>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6:00以及中午12:00</w:t>
            </w:r>
            <w:r>
              <w:rPr>
                <w:rFonts w:hint="eastAsia" w:cs="Times New Roman"/>
                <w:b w:val="0"/>
                <w:bCs w:val="0"/>
                <w:color w:val="000000" w:themeColor="text1"/>
                <w:kern w:val="0"/>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13:00进行可能产生噪声扰民问题的高噪声施工活动，尽可能避免大量高噪声设备同时施工，以避免局部声级过高。高噪声设备施工时间尽量安排在日间。同时应尽量缩短敏感点附近的高强度噪声设备的施工时间。若施工段经过学校周边时，尽量将施工安排在周末进行，以减轻对学校的影响。</w:t>
            </w:r>
          </w:p>
          <w:p>
            <w:pPr>
              <w:spacing w:line="360" w:lineRule="auto"/>
              <w:ind w:firstLine="480"/>
              <w:rPr>
                <w:rFonts w:hint="default" w:ascii="Times New Roman" w:hAnsi="Times New Roman" w:cs="Times New Roman"/>
                <w:b w:val="0"/>
                <w:bCs w:val="0"/>
                <w:color w:val="000000" w:themeColor="text1"/>
                <w:kern w:val="0"/>
                <w:sz w:val="24"/>
                <w:szCs w:val="24"/>
                <w14:textFill>
                  <w14:solidFill>
                    <w14:schemeClr w14:val="tx1"/>
                  </w14:solidFill>
                </w14:textFill>
              </w:rPr>
            </w:pPr>
            <w:r>
              <w:rPr>
                <w:rFonts w:hint="eastAsia" w:cs="Times New Roman"/>
                <w:b w:val="0"/>
                <w:bCs w:val="0"/>
                <w:color w:val="000000" w:themeColor="text1"/>
                <w:kern w:val="0"/>
                <w:sz w:val="24"/>
                <w:szCs w:val="24"/>
                <w:lang w:eastAsia="zh-CN"/>
                <w14:textFill>
                  <w14:solidFill>
                    <w14:schemeClr w14:val="tx1"/>
                  </w14:solidFill>
                </w14:textFill>
              </w:rPr>
              <w:t>（</w:t>
            </w:r>
            <w:r>
              <w:rPr>
                <w:rFonts w:hint="eastAsia" w:cs="Times New Roman"/>
                <w:b w:val="0"/>
                <w:bCs w:val="0"/>
                <w:color w:val="000000" w:themeColor="text1"/>
                <w:kern w:val="0"/>
                <w:sz w:val="24"/>
                <w:szCs w:val="24"/>
                <w:lang w:val="en-US" w:eastAsia="zh-CN"/>
                <w14:textFill>
                  <w14:solidFill>
                    <w14:schemeClr w14:val="tx1"/>
                  </w14:solidFill>
                </w14:textFill>
              </w:rPr>
              <w:t>3</w:t>
            </w:r>
            <w:r>
              <w:rPr>
                <w:rFonts w:hint="eastAsia" w:cs="Times New Roman"/>
                <w:b w:val="0"/>
                <w:bCs w:val="0"/>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在靠近居民区等附近地段的施工应调整施工时间，要求施工单位通过文明施工、加强有效管理加以缓解敲击等作为施工活动的声源。同时采用临时性降噪措施，如采取隔声板等。施工方应该合理有效的制定施工计划，提高工作效率，把施工时间控制在最短范围内，并提起发布公告，最大限度的争取民众支持。</w:t>
            </w:r>
          </w:p>
          <w:p>
            <w:pPr>
              <w:spacing w:line="360" w:lineRule="auto"/>
              <w:ind w:firstLine="480"/>
              <w:rPr>
                <w:rFonts w:hint="default" w:ascii="Times New Roman" w:hAnsi="Times New Roman" w:cs="Times New Roman"/>
                <w:b w:val="0"/>
                <w:bCs w:val="0"/>
                <w:color w:val="000000" w:themeColor="text1"/>
                <w:kern w:val="0"/>
                <w:sz w:val="24"/>
                <w:szCs w:val="24"/>
                <w14:textFill>
                  <w14:solidFill>
                    <w14:schemeClr w14:val="tx1"/>
                  </w14:solidFill>
                </w14:textFill>
              </w:rPr>
            </w:pPr>
            <w:r>
              <w:rPr>
                <w:rFonts w:hint="eastAsia" w:cs="Times New Roman"/>
                <w:b w:val="0"/>
                <w:bCs w:val="0"/>
                <w:color w:val="000000" w:themeColor="text1"/>
                <w:kern w:val="0"/>
                <w:sz w:val="24"/>
                <w:szCs w:val="24"/>
                <w:lang w:eastAsia="zh-CN"/>
                <w14:textFill>
                  <w14:solidFill>
                    <w14:schemeClr w14:val="tx1"/>
                  </w14:solidFill>
                </w14:textFill>
              </w:rPr>
              <w:t>（</w:t>
            </w:r>
            <w:r>
              <w:rPr>
                <w:rFonts w:hint="eastAsia" w:cs="Times New Roman"/>
                <w:b w:val="0"/>
                <w:bCs w:val="0"/>
                <w:color w:val="000000" w:themeColor="text1"/>
                <w:kern w:val="0"/>
                <w:sz w:val="24"/>
                <w:szCs w:val="24"/>
                <w:lang w:val="en-US" w:eastAsia="zh-CN"/>
                <w14:textFill>
                  <w14:solidFill>
                    <w14:schemeClr w14:val="tx1"/>
                  </w14:solidFill>
                </w14:textFill>
              </w:rPr>
              <w:t>4</w:t>
            </w:r>
            <w:r>
              <w:rPr>
                <w:rFonts w:hint="eastAsia" w:cs="Times New Roman"/>
                <w:b w:val="0"/>
                <w:bCs w:val="0"/>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建设单位应要求施工单位在现场张贴通告和投诉电话，建设单位在接到投诉电话后及时与当地环保部门联系，以便及时处理各种环境纠纷。</w:t>
            </w:r>
          </w:p>
          <w:p>
            <w:pPr>
              <w:spacing w:line="360" w:lineRule="auto"/>
              <w:ind w:firstLine="480"/>
              <w:rPr>
                <w:rFonts w:hint="default" w:ascii="Times New Roman" w:hAnsi="Times New Roman" w:cs="Times New Roman"/>
                <w:b w:val="0"/>
                <w:bCs w:val="0"/>
                <w:color w:val="000000" w:themeColor="text1"/>
                <w:kern w:val="0"/>
                <w:sz w:val="24"/>
                <w:szCs w:val="24"/>
                <w14:textFill>
                  <w14:solidFill>
                    <w14:schemeClr w14:val="tx1"/>
                  </w14:solidFill>
                </w14:textFill>
              </w:rPr>
            </w:pPr>
            <w:r>
              <w:rPr>
                <w:rFonts w:hint="eastAsia" w:cs="Times New Roman"/>
                <w:b w:val="0"/>
                <w:bCs w:val="0"/>
                <w:color w:val="000000" w:themeColor="text1"/>
                <w:kern w:val="0"/>
                <w:sz w:val="24"/>
                <w:szCs w:val="24"/>
                <w:lang w:eastAsia="zh-CN"/>
                <w14:textFill>
                  <w14:solidFill>
                    <w14:schemeClr w14:val="tx1"/>
                  </w14:solidFill>
                </w14:textFill>
              </w:rPr>
              <w:t>（</w:t>
            </w:r>
            <w:r>
              <w:rPr>
                <w:rFonts w:hint="eastAsia" w:cs="Times New Roman"/>
                <w:b w:val="0"/>
                <w:bCs w:val="0"/>
                <w:color w:val="000000" w:themeColor="text1"/>
                <w:kern w:val="0"/>
                <w:sz w:val="24"/>
                <w:szCs w:val="24"/>
                <w:lang w:val="en-US" w:eastAsia="zh-CN"/>
                <w14:textFill>
                  <w14:solidFill>
                    <w14:schemeClr w14:val="tx1"/>
                  </w14:solidFill>
                </w14:textFill>
              </w:rPr>
              <w:t>5</w:t>
            </w:r>
            <w:r>
              <w:rPr>
                <w:rFonts w:hint="eastAsia" w:cs="Times New Roman"/>
                <w:b w:val="0"/>
                <w:bCs w:val="0"/>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加强对集中居民点等路段的施工管理，合理制定施工计划。监理单位做好监理工作，配备一定数量的简易噪声测量仪器，随时对施工噪声进行监测。</w:t>
            </w:r>
          </w:p>
          <w:p>
            <w:pPr>
              <w:spacing w:line="360" w:lineRule="auto"/>
              <w:ind w:firstLine="480"/>
              <w:rPr>
                <w:rFonts w:hint="default" w:ascii="Times New Roman" w:hAnsi="Times New Roman" w:cs="Times New Roman"/>
                <w:b w:val="0"/>
                <w:bCs w:val="0"/>
                <w:color w:val="000000" w:themeColor="text1"/>
                <w:kern w:val="0"/>
                <w:sz w:val="24"/>
                <w:szCs w:val="24"/>
                <w14:textFill>
                  <w14:solidFill>
                    <w14:schemeClr w14:val="tx1"/>
                  </w14:solidFill>
                </w14:textFill>
              </w:rPr>
            </w:pPr>
            <w:r>
              <w:rPr>
                <w:rFonts w:hint="eastAsia" w:cs="Times New Roman"/>
                <w:b w:val="0"/>
                <w:bCs w:val="0"/>
                <w:color w:val="000000" w:themeColor="text1"/>
                <w:kern w:val="0"/>
                <w:sz w:val="24"/>
                <w:szCs w:val="24"/>
                <w:lang w:eastAsia="zh-CN"/>
                <w14:textFill>
                  <w14:solidFill>
                    <w14:schemeClr w14:val="tx1"/>
                  </w14:solidFill>
                </w14:textFill>
              </w:rPr>
              <w:t>（</w:t>
            </w:r>
            <w:r>
              <w:rPr>
                <w:rFonts w:hint="eastAsia" w:cs="Times New Roman"/>
                <w:b w:val="0"/>
                <w:bCs w:val="0"/>
                <w:color w:val="000000" w:themeColor="text1"/>
                <w:kern w:val="0"/>
                <w:sz w:val="24"/>
                <w:szCs w:val="24"/>
                <w:lang w:val="en-US" w:eastAsia="zh-CN"/>
                <w14:textFill>
                  <w14:solidFill>
                    <w14:schemeClr w14:val="tx1"/>
                  </w14:solidFill>
                </w14:textFill>
              </w:rPr>
              <w:t>6</w:t>
            </w:r>
            <w:r>
              <w:rPr>
                <w:rFonts w:hint="eastAsia" w:cs="Times New Roman"/>
                <w:b w:val="0"/>
                <w:bCs w:val="0"/>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合理选择运输路线，尽量避免运输路线经过居住集中区附近。</w:t>
            </w:r>
          </w:p>
          <w:p>
            <w:pPr>
              <w:spacing w:line="360" w:lineRule="auto"/>
              <w:ind w:firstLine="480"/>
              <w:rPr>
                <w:rFonts w:hint="default" w:ascii="Times New Roman" w:hAnsi="Times New Roman" w:cs="Times New Roman"/>
                <w:b w:val="0"/>
                <w:bCs w:val="0"/>
                <w:color w:val="000000" w:themeColor="text1"/>
                <w:kern w:val="0"/>
                <w:sz w:val="24"/>
                <w:szCs w:val="24"/>
                <w14:textFill>
                  <w14:solidFill>
                    <w14:schemeClr w14:val="tx1"/>
                  </w14:solidFill>
                </w14:textFill>
              </w:rPr>
            </w:pPr>
            <w:r>
              <w:rPr>
                <w:rFonts w:hint="eastAsia" w:cs="Times New Roman"/>
                <w:b w:val="0"/>
                <w:bCs w:val="0"/>
                <w:color w:val="000000" w:themeColor="text1"/>
                <w:kern w:val="0"/>
                <w:sz w:val="24"/>
                <w:szCs w:val="24"/>
                <w:lang w:eastAsia="zh-CN"/>
                <w14:textFill>
                  <w14:solidFill>
                    <w14:schemeClr w14:val="tx1"/>
                  </w14:solidFill>
                </w14:textFill>
              </w:rPr>
              <w:t>（</w:t>
            </w:r>
            <w:r>
              <w:rPr>
                <w:rFonts w:hint="eastAsia" w:cs="Times New Roman"/>
                <w:b w:val="0"/>
                <w:bCs w:val="0"/>
                <w:color w:val="000000" w:themeColor="text1"/>
                <w:kern w:val="0"/>
                <w:sz w:val="24"/>
                <w:szCs w:val="24"/>
                <w:lang w:val="en-US" w:eastAsia="zh-CN"/>
                <w14:textFill>
                  <w14:solidFill>
                    <w14:schemeClr w14:val="tx1"/>
                  </w14:solidFill>
                </w14:textFill>
              </w:rPr>
              <w:t>7</w:t>
            </w:r>
            <w:r>
              <w:rPr>
                <w:rFonts w:hint="eastAsia" w:cs="Times New Roman"/>
                <w:b w:val="0"/>
                <w:bCs w:val="0"/>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材料运输等汽车进场安排专人指挥，场内禁止运输车辆鸣笛。</w:t>
            </w:r>
          </w:p>
          <w:p>
            <w:pPr>
              <w:spacing w:line="360" w:lineRule="auto"/>
              <w:ind w:firstLine="480"/>
              <w:rPr>
                <w:rFonts w:hint="default" w:ascii="Times New Roman" w:hAnsi="Times New Roman" w:cs="Times New Roman"/>
                <w:b w:val="0"/>
                <w:bCs w:val="0"/>
                <w:color w:val="000000" w:themeColor="text1"/>
                <w:kern w:val="0"/>
                <w:sz w:val="24"/>
                <w:szCs w:val="24"/>
                <w14:textFill>
                  <w14:solidFill>
                    <w14:schemeClr w14:val="tx1"/>
                  </w14:solidFill>
                </w14:textFill>
              </w:rPr>
            </w:pPr>
            <w:r>
              <w:rPr>
                <w:rFonts w:hint="eastAsia" w:cs="Times New Roman"/>
                <w:b w:val="0"/>
                <w:bCs w:val="0"/>
                <w:color w:val="000000" w:themeColor="text1"/>
                <w:kern w:val="0"/>
                <w:sz w:val="24"/>
                <w:szCs w:val="24"/>
                <w:lang w:eastAsia="zh-CN"/>
                <w14:textFill>
                  <w14:solidFill>
                    <w14:schemeClr w14:val="tx1"/>
                  </w14:solidFill>
                </w14:textFill>
              </w:rPr>
              <w:t>（</w:t>
            </w:r>
            <w:r>
              <w:rPr>
                <w:rFonts w:hint="eastAsia" w:cs="Times New Roman"/>
                <w:b w:val="0"/>
                <w:bCs w:val="0"/>
                <w:color w:val="000000" w:themeColor="text1"/>
                <w:kern w:val="0"/>
                <w:sz w:val="24"/>
                <w:szCs w:val="24"/>
                <w:lang w:val="en-US" w:eastAsia="zh-CN"/>
                <w14:textFill>
                  <w14:solidFill>
                    <w14:schemeClr w14:val="tx1"/>
                  </w14:solidFill>
                </w14:textFill>
              </w:rPr>
              <w:t>8</w:t>
            </w:r>
            <w:r>
              <w:rPr>
                <w:rFonts w:hint="eastAsia" w:cs="Times New Roman"/>
                <w:b w:val="0"/>
                <w:bCs w:val="0"/>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建设施工单位在施工前应向地方环保部门申请登记。除抢修、抢险作业和因生产工艺上要求或者特殊要求必须连续作业外，禁止夜间进行产生环境噪声污染的建筑施工作业，“因特殊要求必须连续作业的，必须有县级以上人民政府或者有关主管部门的证明”</w:t>
            </w:r>
            <w:r>
              <w:rPr>
                <w:rFonts w:hint="eastAsia" w:cs="Times New Roman"/>
                <w:b w:val="0"/>
                <w:bCs w:val="0"/>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《中华人民共和国环境噪声污染防治法》第三十条</w:t>
            </w:r>
            <w:r>
              <w:rPr>
                <w:rFonts w:hint="eastAsia" w:cs="Times New Roman"/>
                <w:b w:val="0"/>
                <w:bCs w:val="0"/>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，并且必须公告附近居民。</w:t>
            </w:r>
          </w:p>
          <w:p>
            <w:pPr>
              <w:spacing w:line="360" w:lineRule="auto"/>
              <w:ind w:firstLine="480"/>
              <w:rPr>
                <w:rFonts w:hint="default" w:ascii="Times New Roman" w:hAnsi="Times New Roman" w:cs="Times New Roman"/>
                <w:b w:val="0"/>
                <w:bCs w:val="0"/>
                <w:color w:val="000000" w:themeColor="text1"/>
                <w:sz w:val="24"/>
                <w:szCs w:val="24"/>
                <w14:textFill>
                  <w14:solidFill>
                    <w14:schemeClr w14:val="tx1"/>
                  </w14:solidFill>
                </w14:textFill>
              </w:rPr>
            </w:pPr>
            <w:r>
              <w:rPr>
                <w:rFonts w:hint="eastAsia" w:cs="Times New Roman"/>
                <w:b w:val="0"/>
                <w:bCs w:val="0"/>
                <w:color w:val="000000" w:themeColor="text1"/>
                <w:kern w:val="0"/>
                <w:sz w:val="24"/>
                <w:szCs w:val="24"/>
                <w:lang w:eastAsia="zh-CN"/>
                <w14:textFill>
                  <w14:solidFill>
                    <w14:schemeClr w14:val="tx1"/>
                  </w14:solidFill>
                </w14:textFill>
              </w:rPr>
              <w:t>（</w:t>
            </w:r>
            <w:r>
              <w:rPr>
                <w:rFonts w:hint="eastAsia" w:cs="Times New Roman"/>
                <w:b w:val="0"/>
                <w:bCs w:val="0"/>
                <w:color w:val="000000" w:themeColor="text1"/>
                <w:kern w:val="0"/>
                <w:sz w:val="24"/>
                <w:szCs w:val="24"/>
                <w:lang w:val="en-US" w:eastAsia="zh-CN"/>
                <w14:textFill>
                  <w14:solidFill>
                    <w14:schemeClr w14:val="tx1"/>
                  </w14:solidFill>
                </w14:textFill>
              </w:rPr>
              <w:t>9</w:t>
            </w:r>
            <w:r>
              <w:rPr>
                <w:rFonts w:hint="eastAsia" w:cs="Times New Roman"/>
                <w:b w:val="0"/>
                <w:bCs w:val="0"/>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14:textFill>
                  <w14:solidFill>
                    <w14:schemeClr w14:val="tx1"/>
                  </w14:solidFill>
                </w14:textFill>
              </w:rPr>
              <w:t>在施工边界，特别是敏感点附近设置临时隔声屏障；尽量选用低噪声机械设备或带隔声、消音的设备，对设备定期保养，严格操作规范；以减少噪声的影响。</w:t>
            </w:r>
          </w:p>
          <w:p>
            <w:pPr>
              <w:spacing w:line="360" w:lineRule="auto"/>
              <w:ind w:firstLine="480"/>
              <w:rPr>
                <w:rFonts w:hint="default" w:ascii="Times New Roman" w:hAnsi="Times New Roman" w:cs="Times New Roman"/>
                <w:b w:val="0"/>
                <w:bCs w:val="0"/>
                <w:color w:val="000000" w:themeColor="text1"/>
                <w:kern w:val="0"/>
                <w:sz w:val="24"/>
                <w:szCs w:val="24"/>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施工期噪声会对居民造成一定的影响，但是施工噪声影响是暂时的，将随着施工期的结束而消失，在采取上述噪声防治措施后，项目施工不会对评价范围内声环境产生严重不利影响。</w:t>
            </w:r>
          </w:p>
          <w:p>
            <w:pPr>
              <w:spacing w:line="360" w:lineRule="auto"/>
              <w:ind w:firstLine="480"/>
              <w:rPr>
                <w:rFonts w:hint="default" w:ascii="Times New Roman" w:hAnsi="Times New Roman" w:eastAsia="宋体" w:cs="Times New Roman"/>
                <w:b w:val="0"/>
                <w:bCs w:val="0"/>
                <w:color w:val="000000" w:themeColor="text1"/>
                <w:kern w:val="0"/>
                <w:sz w:val="24"/>
                <w:szCs w:val="24"/>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四、</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施工期固体废物</w:t>
            </w:r>
            <w:r>
              <w:rPr>
                <w:rFonts w:ascii="Times New Roman" w:hAnsi="Times New Roman" w:cs="Times New Roman"/>
                <w:color w:val="000000" w:themeColor="text1"/>
                <w:sz w:val="24"/>
                <w14:textFill>
                  <w14:solidFill>
                    <w14:schemeClr w14:val="tx1"/>
                  </w14:solidFill>
                </w14:textFill>
              </w:rPr>
              <w:t>环境保护措施</w:t>
            </w:r>
          </w:p>
          <w:p>
            <w:pPr>
              <w:spacing w:line="360" w:lineRule="auto"/>
              <w:ind w:firstLine="480"/>
              <w:rPr>
                <w:rFonts w:hint="default" w:ascii="Times New Roman" w:hAnsi="Times New Roman" w:eastAsia="宋体" w:cs="Times New Roman"/>
                <w:b w:val="0"/>
                <w:bCs w:val="0"/>
                <w:color w:val="000000" w:themeColor="text1"/>
                <w:kern w:val="0"/>
                <w:sz w:val="24"/>
                <w:szCs w:val="24"/>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本</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项目施工期固体废物环境保护措施如下：</w:t>
            </w:r>
          </w:p>
          <w:p>
            <w:pPr>
              <w:spacing w:line="360" w:lineRule="auto"/>
              <w:ind w:firstLine="480"/>
              <w:rPr>
                <w:rFonts w:hint="default" w:ascii="Times New Roman" w:hAnsi="Times New Roman" w:eastAsia="宋体" w:cs="Times New Roman"/>
                <w:b w:val="0"/>
                <w:bCs w:val="0"/>
                <w:color w:val="000000" w:themeColor="text1"/>
                <w:kern w:val="0"/>
                <w:sz w:val="24"/>
                <w:szCs w:val="24"/>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lang w:eastAsia="zh-CN"/>
                <w14:textFill>
                  <w14:solidFill>
                    <w14:schemeClr w14:val="tx1"/>
                  </w14:solidFill>
                </w14:textFill>
              </w:rPr>
              <w:t>（</w:t>
            </w:r>
            <w:r>
              <w:rPr>
                <w:rFonts w:hint="eastAsia"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1</w:t>
            </w:r>
            <w:r>
              <w:rPr>
                <w:rFonts w:hint="eastAsia" w:ascii="Times New Roman" w:hAnsi="Times New Roman" w:eastAsia="宋体" w:cs="Times New Roman"/>
                <w:b w:val="0"/>
                <w:bCs w:val="0"/>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施工期间施工人员的生活垃圾要收集到指定的</w:t>
            </w:r>
            <w:r>
              <w:rPr>
                <w:rFonts w:hint="eastAsia"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加盖</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垃圾箱（筒）内，由环卫部门统一及时处理。</w:t>
            </w:r>
          </w:p>
          <w:p>
            <w:pPr>
              <w:spacing w:line="360" w:lineRule="auto"/>
              <w:ind w:firstLine="480"/>
              <w:rPr>
                <w:rFonts w:hint="default" w:ascii="Times New Roman" w:hAnsi="Times New Roman" w:eastAsia="宋体" w:cs="Times New Roman"/>
                <w:b w:val="0"/>
                <w:bCs w:val="0"/>
                <w:color w:val="000000" w:themeColor="text1"/>
                <w:kern w:val="0"/>
                <w:sz w:val="24"/>
                <w:szCs w:val="24"/>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lang w:eastAsia="zh-CN"/>
                <w14:textFill>
                  <w14:solidFill>
                    <w14:schemeClr w14:val="tx1"/>
                  </w14:solidFill>
                </w14:textFill>
              </w:rPr>
              <w:t>（</w:t>
            </w:r>
            <w:r>
              <w:rPr>
                <w:rFonts w:hint="eastAsia"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开挖出的土石方应加强围栏，表面用塑胶薄膜覆盖，不能随意倾倒土方；弃土及时清运出场，控制废弃土石和回填土临时堆放场占地面积和堆放量；渣土运输车辆必须密闭运输，水平运输，不得撒漏；渣土必须倾倒在合法倒场，不得乱倒。弃渣场堆放完成后对弃渣场采取防护措施与复耕，避免造成水土流失、影响环境。</w:t>
            </w:r>
          </w:p>
          <w:p>
            <w:pPr>
              <w:spacing w:line="360" w:lineRule="auto"/>
              <w:ind w:firstLine="480"/>
              <w:rPr>
                <w:rFonts w:hint="default" w:ascii="Times New Roman" w:hAnsi="Times New Roman" w:eastAsia="宋体" w:cs="Times New Roman"/>
                <w:b w:val="0"/>
                <w:bCs w:val="0"/>
                <w:color w:val="000000" w:themeColor="text1"/>
                <w:kern w:val="0"/>
                <w:sz w:val="24"/>
                <w:szCs w:val="24"/>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lang w:eastAsia="zh-CN"/>
                <w14:textFill>
                  <w14:solidFill>
                    <w14:schemeClr w14:val="tx1"/>
                  </w14:solidFill>
                </w14:textFill>
              </w:rPr>
              <w:t>（</w:t>
            </w:r>
            <w:r>
              <w:rPr>
                <w:rFonts w:hint="eastAsia"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kern w:val="0"/>
                <w:sz w:val="24"/>
                <w:szCs w:val="24"/>
                <w:lang w:eastAsia="zh-CN"/>
                <w14:textFill>
                  <w14:solidFill>
                    <w14:schemeClr w14:val="tx1"/>
                  </w14:solidFill>
                </w14:textFill>
              </w:rPr>
              <w:t>）本</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项目施工期间产生废机油，需要使用专用容器存放，并委托有</w:t>
            </w:r>
            <w:r>
              <w:rPr>
                <w:rFonts w:hint="eastAsia"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相应处理</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资质单位</w:t>
            </w:r>
            <w:r>
              <w:rPr>
                <w:rFonts w:hint="eastAsia"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集中</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处置。严禁将施工现场废机油倾倒在施工现场或排入沉淀池与施工废水混合排放，杜绝废机油随意排放污染水塘、鱼塘等周边水体和附近农田耕地等土壤环境的事件发生。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综上，只要严格落实上述处理措施，</w:t>
            </w:r>
            <w:r>
              <w:rPr>
                <w:rFonts w:hint="default" w:ascii="Times New Roman" w:hAnsi="Times New Roman" w:cs="Times New Roman"/>
                <w:color w:val="000000" w:themeColor="text1"/>
                <w:sz w:val="24"/>
                <w14:textFill>
                  <w14:solidFill>
                    <w14:schemeClr w14:val="tx1"/>
                  </w14:solidFill>
                </w14:textFill>
              </w:rPr>
              <w:t>本项目施工期产生的固废均能得到妥善处置，不会对周边环境造成影响</w:t>
            </w:r>
            <w:r>
              <w:rPr>
                <w:rFonts w:hint="eastAsia" w:ascii="Times New Roman" w:hAnsi="Times New Roman" w:eastAsia="宋体" w:cs="Times New Roman"/>
                <w:b w:val="0"/>
                <w:bCs w:val="0"/>
                <w:color w:val="000000" w:themeColor="text1"/>
                <w:kern w:val="0"/>
                <w:sz w:val="24"/>
                <w:szCs w:val="24"/>
                <w:lang w:eastAsia="zh-CN"/>
                <w14:textFill>
                  <w14:solidFill>
                    <w14:schemeClr w14:val="tx1"/>
                  </w14:solidFill>
                </w14:textFill>
              </w:rPr>
              <w:t>，</w:t>
            </w:r>
            <w:r>
              <w:rPr>
                <w:rFonts w:hint="eastAsia"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本</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项目施工固体废物对周边环境影响</w:t>
            </w:r>
            <w:r>
              <w:rPr>
                <w:rFonts w:hint="eastAsia"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可接受</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五、</w:t>
            </w:r>
            <w:r>
              <w:rPr>
                <w:rFonts w:hint="default" w:ascii="Times New Roman" w:hAnsi="Times New Roman" w:eastAsia="宋体" w:cs="Times New Roman"/>
                <w:b w:val="0"/>
                <w:bCs w:val="0"/>
                <w:color w:val="000000" w:themeColor="text1"/>
                <w:sz w:val="24"/>
                <w:szCs w:val="24"/>
                <w14:textFill>
                  <w14:solidFill>
                    <w14:schemeClr w14:val="tx1"/>
                  </w14:solidFill>
                </w14:textFill>
              </w:rPr>
              <w:t>施工期生态环境环境保护措施</w:t>
            </w:r>
          </w:p>
          <w:p>
            <w:pPr>
              <w:spacing w:line="360" w:lineRule="auto"/>
              <w:ind w:firstLine="480"/>
              <w:rPr>
                <w:rFonts w:hint="default" w:ascii="Times New Roman" w:hAnsi="Times New Roman" w:eastAsia="宋体" w:cs="Times New Roman"/>
                <w:b w:val="0"/>
                <w:bCs w:val="0"/>
                <w:color w:val="000000" w:themeColor="text1"/>
                <w:kern w:val="0"/>
                <w:sz w:val="24"/>
                <w:szCs w:val="24"/>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本</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项目</w:t>
            </w:r>
            <w:r>
              <w:rPr>
                <w:rFonts w:hint="default" w:ascii="Times New Roman" w:hAnsi="Times New Roman" w:eastAsia="宋体" w:cs="Times New Roman"/>
                <w:b w:val="0"/>
                <w:bCs w:val="0"/>
                <w:color w:val="000000" w:themeColor="text1"/>
                <w:sz w:val="24"/>
                <w:szCs w:val="24"/>
                <w14:textFill>
                  <w14:solidFill>
                    <w14:schemeClr w14:val="tx1"/>
                  </w14:solidFill>
                </w14:textFill>
              </w:rPr>
              <w:t>施工期生态环境环境保护措施</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如下：</w:t>
            </w:r>
          </w:p>
          <w:p>
            <w:pPr>
              <w:widowControl/>
              <w:spacing w:line="360" w:lineRule="auto"/>
              <w:ind w:firstLine="480" w:firstLineChars="200"/>
              <w:rPr>
                <w:rFonts w:hint="default" w:ascii="Times New Roman" w:hAnsi="Times New Roman" w:cs="Times New Roman"/>
                <w:b w:val="0"/>
                <w:bCs w:val="0"/>
                <w:color w:val="000000" w:themeColor="text1"/>
                <w:kern w:val="0"/>
                <w:sz w:val="24"/>
                <w:szCs w:val="24"/>
                <w14:textFill>
                  <w14:solidFill>
                    <w14:schemeClr w14:val="tx1"/>
                  </w14:solidFill>
                </w14:textFill>
              </w:rPr>
            </w:pPr>
            <w:r>
              <w:rPr>
                <w:rFonts w:hint="eastAsia" w:cs="Times New Roman"/>
                <w:b w:val="0"/>
                <w:bCs w:val="0"/>
                <w:color w:val="000000" w:themeColor="text1"/>
                <w:kern w:val="0"/>
                <w:sz w:val="24"/>
                <w:szCs w:val="24"/>
                <w:lang w:eastAsia="zh-CN"/>
                <w14:textFill>
                  <w14:solidFill>
                    <w14:schemeClr w14:val="tx1"/>
                  </w14:solidFill>
                </w14:textFill>
              </w:rPr>
              <w:t>（</w:t>
            </w:r>
            <w:r>
              <w:rPr>
                <w:rFonts w:hint="eastAsia" w:cs="Times New Roman"/>
                <w:b w:val="0"/>
                <w:bCs w:val="0"/>
                <w:color w:val="000000" w:themeColor="text1"/>
                <w:kern w:val="0"/>
                <w:sz w:val="24"/>
                <w:szCs w:val="24"/>
                <w:lang w:val="en-US" w:eastAsia="zh-CN"/>
                <w14:textFill>
                  <w14:solidFill>
                    <w14:schemeClr w14:val="tx1"/>
                  </w14:solidFill>
                </w14:textFill>
              </w:rPr>
              <w:t>1</w:t>
            </w:r>
            <w:r>
              <w:rPr>
                <w:rFonts w:hint="eastAsia" w:cs="Times New Roman"/>
                <w:b w:val="0"/>
                <w:bCs w:val="0"/>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施工前，建设单位应根据相关法律法规规定，认真落实有关占地手续及土地复垦和植被重建恢复费用。</w:t>
            </w:r>
          </w:p>
          <w:p>
            <w:pPr>
              <w:widowControl/>
              <w:spacing w:line="360" w:lineRule="auto"/>
              <w:ind w:firstLine="480" w:firstLineChars="200"/>
              <w:jc w:val="left"/>
              <w:rPr>
                <w:rFonts w:hint="default" w:ascii="Times New Roman" w:hAnsi="Times New Roman" w:eastAsia="宋体" w:cs="Times New Roman"/>
                <w:b w:val="0"/>
                <w:bCs w:val="0"/>
                <w:color w:val="000000" w:themeColor="text1"/>
                <w:kern w:val="0"/>
                <w:sz w:val="24"/>
                <w:szCs w:val="24"/>
                <w14:textFill>
                  <w14:solidFill>
                    <w14:schemeClr w14:val="tx1"/>
                  </w14:solidFill>
                </w14:textFill>
              </w:rPr>
            </w:pPr>
            <w:r>
              <w:rPr>
                <w:rFonts w:hint="eastAsia" w:cs="Times New Roman"/>
                <w:b w:val="0"/>
                <w:bCs w:val="0"/>
                <w:color w:val="000000" w:themeColor="text1"/>
                <w:kern w:val="0"/>
                <w:sz w:val="24"/>
                <w:szCs w:val="24"/>
                <w:lang w:eastAsia="zh-CN"/>
                <w14:textFill>
                  <w14:solidFill>
                    <w14:schemeClr w14:val="tx1"/>
                  </w14:solidFill>
                </w14:textFill>
              </w:rPr>
              <w:t>（</w:t>
            </w:r>
            <w:r>
              <w:rPr>
                <w:rFonts w:hint="eastAsia" w:cs="Times New Roman"/>
                <w:b w:val="0"/>
                <w:bCs w:val="0"/>
                <w:color w:val="000000" w:themeColor="text1"/>
                <w:kern w:val="0"/>
                <w:sz w:val="24"/>
                <w:szCs w:val="24"/>
                <w:lang w:val="en-US" w:eastAsia="zh-CN"/>
                <w14:textFill>
                  <w14:solidFill>
                    <w14:schemeClr w14:val="tx1"/>
                  </w14:solidFill>
                </w14:textFill>
              </w:rPr>
              <w:t>2</w:t>
            </w:r>
            <w:r>
              <w:rPr>
                <w:rFonts w:hint="eastAsia" w:cs="Times New Roman"/>
                <w:b w:val="0"/>
                <w:bCs w:val="0"/>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施工期间应加强对施工人员的教育，施工结束后临时占地及时</w:t>
            </w:r>
            <w:r>
              <w:rPr>
                <w:rFonts w:hint="eastAsia" w:cs="Times New Roman"/>
                <w:b w:val="0"/>
                <w:bCs w:val="0"/>
                <w:color w:val="000000" w:themeColor="text1"/>
                <w:kern w:val="0"/>
                <w:sz w:val="24"/>
                <w:szCs w:val="24"/>
                <w:lang w:val="en-US" w:eastAsia="zh-CN"/>
                <w14:textFill>
                  <w14:solidFill>
                    <w14:schemeClr w14:val="tx1"/>
                  </w14:solidFill>
                </w14:textFill>
              </w:rPr>
              <w:t>恢复</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植被。</w:t>
            </w:r>
          </w:p>
          <w:p>
            <w:pPr>
              <w:widowControl/>
              <w:spacing w:line="360" w:lineRule="auto"/>
              <w:ind w:firstLine="480" w:firstLineChars="200"/>
              <w:jc w:val="left"/>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eastAsia" w:cs="Times New Roman"/>
                <w:b w:val="0"/>
                <w:bCs w:val="0"/>
                <w:color w:val="000000" w:themeColor="text1"/>
                <w:kern w:val="0"/>
                <w:sz w:val="24"/>
                <w:szCs w:val="24"/>
                <w:lang w:eastAsia="zh-CN"/>
                <w14:textFill>
                  <w14:solidFill>
                    <w14:schemeClr w14:val="tx1"/>
                  </w14:solidFill>
                </w14:textFill>
              </w:rPr>
              <w:t>（</w:t>
            </w:r>
            <w:r>
              <w:rPr>
                <w:rFonts w:hint="eastAsia" w:cs="Times New Roman"/>
                <w:b w:val="0"/>
                <w:bCs w:val="0"/>
                <w:color w:val="000000" w:themeColor="text1"/>
                <w:kern w:val="0"/>
                <w:sz w:val="24"/>
                <w:szCs w:val="24"/>
                <w:lang w:val="en-US" w:eastAsia="zh-CN"/>
                <w14:textFill>
                  <w14:solidFill>
                    <w14:schemeClr w14:val="tx1"/>
                  </w14:solidFill>
                </w14:textFill>
              </w:rPr>
              <w:t>3</w:t>
            </w:r>
            <w:r>
              <w:rPr>
                <w:rFonts w:hint="eastAsia" w:cs="Times New Roman"/>
                <w:b w:val="0"/>
                <w:bCs w:val="0"/>
                <w:color w:val="000000" w:themeColor="text1"/>
                <w:kern w:val="0"/>
                <w:sz w:val="24"/>
                <w:szCs w:val="24"/>
                <w:lang w:eastAsia="zh-CN"/>
                <w14:textFill>
                  <w14:solidFill>
                    <w14:schemeClr w14:val="tx1"/>
                  </w14:solidFill>
                </w14:textFill>
              </w:rPr>
              <w:t>）</w:t>
            </w:r>
            <w:r>
              <w:rPr>
                <w:rFonts w:hint="eastAsia" w:cs="Times New Roman"/>
                <w:b w:val="0"/>
                <w:bCs w:val="0"/>
                <w:color w:val="000000" w:themeColor="text1"/>
                <w:kern w:val="0"/>
                <w:sz w:val="24"/>
                <w:szCs w:val="24"/>
                <w:lang w:val="en-US" w:eastAsia="zh-CN"/>
                <w14:textFill>
                  <w14:solidFill>
                    <w14:schemeClr w14:val="tx1"/>
                  </w14:solidFill>
                </w14:textFill>
              </w:rPr>
              <w:t>预防</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水土流失</w:t>
            </w:r>
            <w:r>
              <w:rPr>
                <w:rFonts w:hint="default" w:ascii="Times New Roman" w:hAnsi="Times New Roman" w:eastAsia="宋体" w:cs="Times New Roman"/>
                <w:b w:val="0"/>
                <w:bCs w:val="0"/>
                <w:color w:val="000000" w:themeColor="text1"/>
                <w:sz w:val="24"/>
                <w:szCs w:val="24"/>
                <w14:textFill>
                  <w14:solidFill>
                    <w14:schemeClr w14:val="tx1"/>
                  </w14:solidFill>
                </w14:textFill>
              </w:rPr>
              <w:t>环境保护措施</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14:textFill>
                  <w14:solidFill>
                    <w14:schemeClr w14:val="tx1"/>
                  </w14:solidFill>
                </w14:textFill>
              </w:rPr>
              <w:t>①工程施工过程中做到尽量减少破坏地表植被，尽量减少对原生地貌的扰动；②在工程设计上力求做到“挖填平衡”，产生的弃土、弃渣应首先利用作为填方，使竣工后的弃土量达最小值，弃土可原地进行回填整平并覆土，恢复植被；③严格按照工程设计及施工进度计划进行施工，并按工程关键部位、施工工艺、施工方法分步骤进行施工。工程开工后，应严格按照施工规范及组织计划所确定的顺序进行施工，边坡开挖后，应立即进行坡度处理，减少地表裸露时间，从而减少水土流失，减小或避免工程施工对周围环境的影响；④对大面积的开挖面和填筑面在施工过程中应采用洒水压尘，以减少尘土的飞扬；⑤尽量避开在大风和雨天条件下施工。减少施工过程中的水土流失。</w:t>
            </w:r>
          </w:p>
          <w:p>
            <w:pPr>
              <w:spacing w:line="360" w:lineRule="auto"/>
              <w:ind w:firstLine="480" w:firstLineChars="200"/>
              <w:rPr>
                <w:rFonts w:hint="default" w:ascii="Times New Roman" w:hAnsi="Times New Roman" w:cs="Times New Roman"/>
                <w:b w:val="0"/>
                <w:bCs w:val="0"/>
                <w:color w:val="000000" w:themeColor="text1"/>
                <w:kern w:val="0"/>
                <w:sz w:val="24"/>
                <w:szCs w:val="24"/>
                <w14:textFill>
                  <w14:solidFill>
                    <w14:schemeClr w14:val="tx1"/>
                  </w14:solidFill>
                </w14:textFill>
              </w:rPr>
            </w:pPr>
            <w:r>
              <w:rPr>
                <w:rFonts w:hint="eastAsia" w:cs="Times New Roman"/>
                <w:b w:val="0"/>
                <w:bCs w:val="0"/>
                <w:color w:val="000000" w:themeColor="text1"/>
                <w:kern w:val="0"/>
                <w:sz w:val="24"/>
                <w:szCs w:val="24"/>
                <w:lang w:eastAsia="zh-CN"/>
                <w14:textFill>
                  <w14:solidFill>
                    <w14:schemeClr w14:val="tx1"/>
                  </w14:solidFill>
                </w14:textFill>
              </w:rPr>
              <w:t>（</w:t>
            </w:r>
            <w:r>
              <w:rPr>
                <w:rFonts w:hint="eastAsia" w:cs="Times New Roman"/>
                <w:b w:val="0"/>
                <w:bCs w:val="0"/>
                <w:color w:val="000000" w:themeColor="text1"/>
                <w:kern w:val="0"/>
                <w:sz w:val="24"/>
                <w:szCs w:val="24"/>
                <w:lang w:val="en-US" w:eastAsia="zh-CN"/>
                <w14:textFill>
                  <w14:solidFill>
                    <w14:schemeClr w14:val="tx1"/>
                  </w14:solidFill>
                </w14:textFill>
              </w:rPr>
              <w:t>4</w:t>
            </w:r>
            <w:r>
              <w:rPr>
                <w:rFonts w:hint="eastAsia" w:cs="Times New Roman"/>
                <w:b w:val="0"/>
                <w:bCs w:val="0"/>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管线施工采取即挖即填的方式，产生及时外运，并对挖填场地进行及时清理、以及生态恢复。</w:t>
            </w:r>
          </w:p>
          <w:p>
            <w:pPr>
              <w:tabs>
                <w:tab w:val="right" w:pos="8698"/>
              </w:tabs>
              <w:spacing w:line="360" w:lineRule="auto"/>
              <w:ind w:firstLine="480" w:firstLineChars="200"/>
              <w:rPr>
                <w:rFonts w:hint="default" w:ascii="Times New Roman" w:hAnsi="Times New Roman" w:cs="Times New Roman"/>
                <w:b w:val="0"/>
                <w:bCs w:val="0"/>
                <w:color w:val="000000" w:themeColor="text1"/>
                <w:kern w:val="0"/>
                <w:sz w:val="24"/>
                <w:szCs w:val="24"/>
                <w14:textFill>
                  <w14:solidFill>
                    <w14:schemeClr w14:val="tx1"/>
                  </w14:solidFill>
                </w14:textFill>
              </w:rPr>
            </w:pPr>
            <w:r>
              <w:rPr>
                <w:rFonts w:hint="eastAsia" w:cs="Times New Roman"/>
                <w:b w:val="0"/>
                <w:bCs w:val="0"/>
                <w:color w:val="000000" w:themeColor="text1"/>
                <w:kern w:val="0"/>
                <w:sz w:val="24"/>
                <w:szCs w:val="24"/>
                <w:lang w:eastAsia="zh-CN"/>
                <w14:textFill>
                  <w14:solidFill>
                    <w14:schemeClr w14:val="tx1"/>
                  </w14:solidFill>
                </w14:textFill>
              </w:rPr>
              <w:t>（</w:t>
            </w:r>
            <w:r>
              <w:rPr>
                <w:rFonts w:hint="eastAsia" w:cs="Times New Roman"/>
                <w:b w:val="0"/>
                <w:bCs w:val="0"/>
                <w:color w:val="000000" w:themeColor="text1"/>
                <w:kern w:val="0"/>
                <w:sz w:val="24"/>
                <w:szCs w:val="24"/>
                <w:lang w:val="en-US" w:eastAsia="zh-CN"/>
                <w14:textFill>
                  <w14:solidFill>
                    <w14:schemeClr w14:val="tx1"/>
                  </w14:solidFill>
                </w14:textFill>
              </w:rPr>
              <w:t>5</w:t>
            </w:r>
            <w:r>
              <w:rPr>
                <w:rFonts w:hint="eastAsia" w:cs="Times New Roman"/>
                <w:b w:val="0"/>
                <w:bCs w:val="0"/>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加强工程环境管理，防止污染事故的发生；加强对水源地水质的实时监控，掌握水质动态，及时采取相应的保护措施和应急措施；建立事故应急预案，一旦发生事故进行应急处理，对事故污水进行必要处置。</w:t>
            </w:r>
          </w:p>
          <w:p>
            <w:pPr>
              <w:tabs>
                <w:tab w:val="right" w:pos="8698"/>
              </w:tabs>
              <w:spacing w:line="360" w:lineRule="auto"/>
              <w:ind w:firstLine="480" w:firstLineChars="200"/>
              <w:rPr>
                <w:rFonts w:hint="default" w:ascii="Times New Roman" w:hAnsi="Times New Roman" w:cs="Times New Roman"/>
                <w:b w:val="0"/>
                <w:bCs w:val="0"/>
                <w:color w:val="000000" w:themeColor="text1"/>
                <w:kern w:val="0"/>
                <w:sz w:val="24"/>
                <w:szCs w:val="24"/>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对违反规定造成重大水源污染事故，一旦发生，要求立即启动水污染防治预案，并采取紧急防护措施，防止扩大污染，消除对人、畜、水产资源的危害，并于</w:t>
            </w:r>
            <w:r>
              <w:rPr>
                <w:rFonts w:hint="eastAsia" w:cs="Times New Roman"/>
                <w:b w:val="0"/>
                <w:bCs w:val="0"/>
                <w:color w:val="000000" w:themeColor="text1"/>
                <w:kern w:val="0"/>
                <w:sz w:val="24"/>
                <w:szCs w:val="24"/>
                <w:lang w:val="en-US" w:eastAsia="zh-CN"/>
                <w14:textFill>
                  <w14:solidFill>
                    <w14:schemeClr w14:val="tx1"/>
                  </w14:solidFill>
                </w14:textFill>
              </w:rPr>
              <w:t>24h</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内上报当地环境保护部门和有关部门。若水源污染事故导致公私财产重大损失或者人身伤亡等严重后果的，按照《中华人民共和国水污染防治法》第四十三条的规定，由公安、司法部门追究刑事责任。</w:t>
            </w:r>
          </w:p>
          <w:p>
            <w:pPr>
              <w:numPr>
                <w:ilvl w:val="0"/>
                <w:numId w:val="2"/>
              </w:numPr>
              <w:tabs>
                <w:tab w:val="right" w:pos="8698"/>
              </w:tabs>
              <w:spacing w:line="360" w:lineRule="auto"/>
              <w:ind w:firstLine="480" w:firstLineChars="200"/>
              <w:rPr>
                <w:rFonts w:hint="eastAsia" w:cs="Times New Roman"/>
                <w:b w:val="0"/>
                <w:bCs w:val="0"/>
                <w:color w:val="000000" w:themeColor="text1"/>
                <w:kern w:val="0"/>
                <w:sz w:val="24"/>
                <w:szCs w:val="24"/>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建立水质预警系统及机制，一旦发生重大污染事故，导致水质严重恶化，应采取紧急应对措施，以保证水厂的正常供水</w:t>
            </w:r>
            <w:r>
              <w:rPr>
                <w:rFonts w:hint="eastAsia" w:cs="Times New Roman"/>
                <w:b w:val="0"/>
                <w:bCs w:val="0"/>
                <w:color w:val="000000" w:themeColor="text1"/>
                <w:kern w:val="0"/>
                <w:sz w:val="24"/>
                <w:szCs w:val="24"/>
                <w:lang w:eastAsia="zh-CN"/>
                <w14:textFill>
                  <w14:solidFill>
                    <w14:schemeClr w14:val="tx1"/>
                  </w14:solidFill>
                </w14:textFill>
              </w:rPr>
              <w:t>。</w:t>
            </w:r>
          </w:p>
          <w:p>
            <w:pPr>
              <w:keepNext w:val="0"/>
              <w:keepLines w:val="0"/>
              <w:pageBreakBefore w:val="0"/>
              <w:widowControl w:val="0"/>
              <w:numPr>
                <w:ilvl w:val="0"/>
                <w:numId w:val="0"/>
              </w:numPr>
              <w:tabs>
                <w:tab w:val="right" w:pos="8698"/>
              </w:tabs>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000000" w:themeColor="text1"/>
                <w:kern w:val="0"/>
                <w:sz w:val="24"/>
                <w:szCs w:val="24"/>
                <w:lang w:val="en-US" w:eastAsia="zh-CN"/>
                <w14:textFill>
                  <w14:solidFill>
                    <w14:schemeClr w14:val="tx1"/>
                  </w14:solidFill>
                </w14:textFill>
              </w:rPr>
            </w:pPr>
            <w:r>
              <w:rPr>
                <w:rFonts w:hint="eastAsia" w:cs="Times New Roman"/>
                <w:b w:val="0"/>
                <w:bCs w:val="0"/>
                <w:color w:val="000000" w:themeColor="text1"/>
                <w:kern w:val="0"/>
                <w:sz w:val="24"/>
                <w:szCs w:val="24"/>
                <w:lang w:val="en-US" w:eastAsia="zh-CN"/>
                <w14:textFill>
                  <w14:solidFill>
                    <w14:schemeClr w14:val="tx1"/>
                  </w14:solidFill>
                </w14:textFill>
              </w:rPr>
              <w:t>六、水厂周围环境保护措施</w:t>
            </w:r>
          </w:p>
          <w:p>
            <w:pPr>
              <w:keepNext w:val="0"/>
              <w:keepLines w:val="0"/>
              <w:pageBreakBefore w:val="0"/>
              <w:widowControl w:val="0"/>
              <w:numPr>
                <w:ilvl w:val="0"/>
                <w:numId w:val="0"/>
              </w:numPr>
              <w:tabs>
                <w:tab w:val="right" w:pos="8698"/>
              </w:tabs>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000000" w:themeColor="text1"/>
                <w:kern w:val="0"/>
                <w:sz w:val="24"/>
                <w:szCs w:val="24"/>
                <w:lang w:val="en-US" w:eastAsia="zh-CN"/>
                <w14:textFill>
                  <w14:solidFill>
                    <w14:schemeClr w14:val="tx1"/>
                  </w14:solidFill>
                </w14:textFill>
              </w:rPr>
            </w:pPr>
            <w:r>
              <w:rPr>
                <w:rFonts w:hint="eastAsia" w:cs="Times New Roman"/>
                <w:b w:val="0"/>
                <w:bCs w:val="0"/>
                <w:color w:val="000000" w:themeColor="text1"/>
                <w:kern w:val="0"/>
                <w:sz w:val="24"/>
                <w:szCs w:val="24"/>
                <w:lang w:val="en-US" w:eastAsia="zh-CN"/>
                <w14:textFill>
                  <w14:solidFill>
                    <w14:schemeClr w14:val="tx1"/>
                  </w14:solidFill>
                </w14:textFill>
              </w:rPr>
              <w:t>根据《生活饮用水集中式供水单位卫生规范》的规定，集中式供水单位应明确划定生产区的范围。生产区的范围应设立明显标志，并组织专业人员负责管理。在生产区外围30m的范围内应保持良好的卫生状况，不得设置生活居住区和修建禽畜饲养场、厕所、渗水坑，不得堆放垃圾、粪便、废渣或设立废水管道以及其他可能影响水质的设施。并广泛宣传发动进行环境保护，防止生产区内饮用水污染，同时建立水质监测网、定期对各供配水点水质进行监测，保证饮用水安全和质量。</w:t>
            </w:r>
          </w:p>
          <w:p>
            <w:pPr>
              <w:keepNext w:val="0"/>
              <w:keepLines w:val="0"/>
              <w:pageBreakBefore w:val="0"/>
              <w:widowControl w:val="0"/>
              <w:numPr>
                <w:ilvl w:val="0"/>
                <w:numId w:val="0"/>
              </w:numPr>
              <w:tabs>
                <w:tab w:val="right" w:pos="8698"/>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kern w:val="0"/>
                <w:sz w:val="24"/>
                <w14:textFill>
                  <w14:solidFill>
                    <w14:schemeClr w14:val="tx1"/>
                  </w14:solidFill>
                </w14:textFill>
              </w:rPr>
            </w:pPr>
            <w:r>
              <w:rPr>
                <w:rFonts w:hint="eastAsia" w:cs="Times New Roman"/>
                <w:b w:val="0"/>
                <w:bCs w:val="0"/>
                <w:color w:val="000000" w:themeColor="text1"/>
                <w:kern w:val="0"/>
                <w:sz w:val="24"/>
                <w:szCs w:val="24"/>
                <w:lang w:val="en-US" w:eastAsia="zh-CN"/>
                <w14:textFill>
                  <w14:solidFill>
                    <w14:schemeClr w14:val="tx1"/>
                  </w14:solidFill>
                </w14:textFill>
              </w:rPr>
              <w:t>供水单位应针对取水、输水、净水、配水等可能发生污染的环节，制订和落实防范措施、加强检查、严防污染事件发生。遇到生活饮用水水质污染或不明原因水质突然恶化及水源性疾病暴发事件时，供水单位须在发现上述情况后立即采取应急措施以最快的方式报告当地卫生行政部门、建设行政部门。并及时进行水质检测，报送处理报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3" w:type="dxa"/>
            <w:tcMar>
              <w:left w:w="28" w:type="dxa"/>
              <w:right w:w="28" w:type="dxa"/>
            </w:tcMar>
            <w:vAlign w:val="center"/>
          </w:tcPr>
          <w:p>
            <w:pPr>
              <w:adjustRightInd w:val="0"/>
              <w:snapToGrid w:val="0"/>
              <w:jc w:val="center"/>
              <w:rPr>
                <w:rFonts w:hint="default" w:ascii="Times New Roman" w:hAnsi="Times New Roman" w:cs="Times New Roman"/>
                <w:bCs/>
                <w:color w:val="000000" w:themeColor="text1"/>
                <w:spacing w:val="10"/>
                <w:szCs w:val="21"/>
                <w14:textFill>
                  <w14:solidFill>
                    <w14:schemeClr w14:val="tx1"/>
                  </w14:solidFill>
                </w14:textFill>
              </w:rPr>
            </w:pPr>
            <w:r>
              <w:rPr>
                <w:rFonts w:hint="default" w:ascii="Times New Roman" w:hAnsi="Times New Roman" w:eastAsia="宋体" w:cs="Times New Roman"/>
                <w:bCs/>
                <w:color w:val="000000" w:themeColor="text1"/>
                <w:spacing w:val="10"/>
                <w:szCs w:val="21"/>
                <w14:textFill>
                  <w14:solidFill>
                    <w14:schemeClr w14:val="tx1"/>
                  </w14:solidFill>
                </w14:textFill>
              </w:rPr>
              <w:t>运营期生态环境保护措施</w:t>
            </w:r>
          </w:p>
        </w:tc>
        <w:tc>
          <w:tcPr>
            <w:tcW w:w="845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color w:val="000000" w:themeColor="text1"/>
                <w:sz w:val="24"/>
                <w:szCs w:val="24"/>
                <w14:textFill>
                  <w14:solidFill>
                    <w14:schemeClr w14:val="tx1"/>
                  </w14:solidFill>
                </w14:textFill>
              </w:rPr>
            </w:pPr>
            <w:r>
              <w:rPr>
                <w:rFonts w:hint="eastAsia"/>
                <w:color w:val="000000" w:themeColor="text1"/>
                <w:kern w:val="0"/>
                <w:sz w:val="24"/>
                <w:szCs w:val="24"/>
                <w:lang w:eastAsia="zh-CN"/>
                <w14:textFill>
                  <w14:solidFill>
                    <w14:schemeClr w14:val="tx1"/>
                  </w14:solidFill>
                </w14:textFill>
              </w:rPr>
              <w:t>（</w:t>
            </w:r>
            <w:r>
              <w:rPr>
                <w:rFonts w:hint="eastAsia"/>
                <w:color w:val="000000" w:themeColor="text1"/>
                <w:kern w:val="0"/>
                <w:sz w:val="24"/>
                <w:szCs w:val="24"/>
                <w:lang w:val="en-US" w:eastAsia="zh-CN"/>
                <w14:textFill>
                  <w14:solidFill>
                    <w14:schemeClr w14:val="tx1"/>
                  </w14:solidFill>
                </w14:textFill>
              </w:rPr>
              <w:t>1</w:t>
            </w:r>
            <w:r>
              <w:rPr>
                <w:rFonts w:hint="eastAsia"/>
                <w:color w:val="000000" w:themeColor="text1"/>
                <w:kern w:val="0"/>
                <w:sz w:val="24"/>
                <w:szCs w:val="24"/>
                <w:lang w:eastAsia="zh-CN"/>
                <w14:textFill>
                  <w14:solidFill>
                    <w14:schemeClr w14:val="tx1"/>
                  </w14:solidFill>
                </w14:textFill>
              </w:rPr>
              <w:t>）</w:t>
            </w:r>
            <w:r>
              <w:rPr>
                <w:rFonts w:hint="eastAsia" w:eastAsia="宋体"/>
                <w:color w:val="000000" w:themeColor="text1"/>
                <w:sz w:val="24"/>
                <w:szCs w:val="24"/>
                <w14:textFill>
                  <w14:solidFill>
                    <w14:schemeClr w14:val="tx1"/>
                  </w14:solidFill>
                </w14:textFill>
              </w:rPr>
              <w:t>废水污</w:t>
            </w:r>
            <w:r>
              <w:rPr>
                <w:rFonts w:hint="eastAsia" w:ascii="Times New Roman" w:hAnsi="Times New Roman" w:eastAsia="宋体" w:cs="Times New Roman"/>
                <w:color w:val="000000" w:themeColor="text1"/>
                <w:spacing w:val="-7"/>
                <w:sz w:val="24"/>
                <w:szCs w:val="24"/>
                <w:highlight w:val="none"/>
                <w:lang w:val="en-US" w:eastAsia="zh-CN"/>
                <w14:textFill>
                  <w14:solidFill>
                    <w14:schemeClr w14:val="tx1"/>
                  </w14:solidFill>
                </w14:textFill>
              </w:rPr>
              <w:t>环境保护措施</w:t>
            </w:r>
          </w:p>
          <w:p>
            <w:pPr>
              <w:keepNext w:val="0"/>
              <w:keepLines w:val="0"/>
              <w:pageBreakBefore w:val="0"/>
              <w:widowControl w:val="0"/>
              <w:kinsoku/>
              <w:wordWrap/>
              <w:overflowPunct/>
              <w:topLinePunct w:val="0"/>
              <w:autoSpaceDE/>
              <w:autoSpaceDN/>
              <w:bidi w:val="0"/>
              <w:adjustRightInd/>
              <w:snapToGrid/>
              <w:spacing w:line="360" w:lineRule="auto"/>
              <w:ind w:firstLine="452" w:firstLineChars="200"/>
              <w:textAlignment w:val="auto"/>
              <w:rPr>
                <w:rFonts w:hint="eastAsia" w:ascii="Times New Roman" w:hAnsi="Times New Roman" w:eastAsia="宋体" w:cs="Times New Roman"/>
                <w:color w:val="000000" w:themeColor="text1"/>
                <w:spacing w:val="-7"/>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4"/>
                <w:szCs w:val="24"/>
                <w:highlight w:val="none"/>
                <w:lang w:val="en-US" w:eastAsia="zh-CN"/>
                <w14:textFill>
                  <w14:solidFill>
                    <w14:schemeClr w14:val="tx1"/>
                  </w14:solidFill>
                </w14:textFill>
              </w:rPr>
              <w:t>本项目采取</w:t>
            </w:r>
            <w:r>
              <w:rPr>
                <w:rFonts w:hint="default" w:ascii="Times New Roman" w:hAnsi="Times New Roman" w:eastAsia="宋体" w:cs="Times New Roman"/>
                <w:color w:val="000000" w:themeColor="text1"/>
                <w:spacing w:val="-7"/>
                <w:sz w:val="24"/>
                <w:szCs w:val="24"/>
                <w:highlight w:val="none"/>
                <w:lang w:val="en-US" w:eastAsia="zh-CN"/>
                <w14:textFill>
                  <w14:solidFill>
                    <w14:schemeClr w14:val="tx1"/>
                  </w14:solidFill>
                </w14:textFill>
              </w:rPr>
              <w:t>雨污分流制，雨水经雨水管沟排出厂外；V型滤池的反洗废水、污泥脱水过程产生的废水经重力排入回收水池，经泵提升至配水井，重新进入系统回收利用；污泥脱水过程产生的废水返回沉淀、过滤工序处理再利用，不外排；生活污水</w:t>
            </w:r>
            <w:r>
              <w:rPr>
                <w:rFonts w:hint="eastAsia" w:ascii="Times New Roman" w:hAnsi="Times New Roman" w:eastAsia="宋体" w:cs="Times New Roman"/>
                <w:color w:val="000000" w:themeColor="text1"/>
                <w:spacing w:val="-7"/>
                <w:sz w:val="24"/>
                <w:szCs w:val="24"/>
                <w:highlight w:val="none"/>
                <w:lang w:val="en-US" w:eastAsia="zh-CN"/>
                <w14:textFill>
                  <w14:solidFill>
                    <w14:schemeClr w14:val="tx1"/>
                  </w14:solidFill>
                </w14:textFill>
              </w:rPr>
              <w:t>中食堂含油废水经隔油池处理，与其他生活污水均经</w:t>
            </w:r>
            <w:r>
              <w:rPr>
                <w:rFonts w:hint="default" w:ascii="Times New Roman" w:hAnsi="Times New Roman" w:eastAsia="宋体" w:cs="Times New Roman"/>
                <w:color w:val="000000" w:themeColor="text1"/>
                <w:spacing w:val="-7"/>
                <w:sz w:val="24"/>
                <w:szCs w:val="24"/>
                <w:highlight w:val="none"/>
                <w:lang w:val="en-US" w:eastAsia="zh-CN"/>
                <w14:textFill>
                  <w14:solidFill>
                    <w14:schemeClr w14:val="tx1"/>
                  </w14:solidFill>
                </w14:textFill>
              </w:rPr>
              <w:t>化粪池</w:t>
            </w:r>
            <w:r>
              <w:rPr>
                <w:rFonts w:hint="eastAsia" w:ascii="Times New Roman" w:hAnsi="Times New Roman" w:eastAsia="宋体" w:cs="Times New Roman"/>
                <w:color w:val="000000" w:themeColor="text1"/>
                <w:spacing w:val="-7"/>
                <w:sz w:val="24"/>
                <w:szCs w:val="24"/>
                <w:highlight w:val="none"/>
                <w:lang w:val="en-US" w:eastAsia="zh-CN"/>
                <w14:textFill>
                  <w14:solidFill>
                    <w14:schemeClr w14:val="tx1"/>
                  </w14:solidFill>
                </w14:textFill>
              </w:rPr>
              <w:t>收集后，定期由周边农户清运肥田，不外排</w:t>
            </w:r>
            <w:r>
              <w:rPr>
                <w:rFonts w:hint="default" w:ascii="Times New Roman" w:hAnsi="Times New Roman" w:eastAsia="宋体" w:cs="Times New Roman"/>
                <w:color w:val="000000" w:themeColor="text1"/>
                <w:spacing w:val="-7"/>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pacing w:val="-7"/>
                <w:sz w:val="24"/>
                <w:szCs w:val="24"/>
                <w:highlight w:val="none"/>
                <w:lang w:val="en-US" w:eastAsia="zh-CN"/>
                <w14:textFill>
                  <w14:solidFill>
                    <w14:schemeClr w14:val="tx1"/>
                  </w14:solidFill>
                </w14:textFill>
              </w:rPr>
              <w:t>锅炉排污水</w:t>
            </w:r>
            <w:r>
              <w:rPr>
                <w:rFonts w:hint="default" w:ascii="Times New Roman" w:hAnsi="Times New Roman" w:eastAsia="宋体" w:cs="Times New Roman"/>
                <w:color w:val="000000" w:themeColor="text1"/>
                <w:spacing w:val="-7"/>
                <w:sz w:val="24"/>
                <w:szCs w:val="24"/>
                <w:highlight w:val="none"/>
                <w:lang w:val="en-US" w:eastAsia="zh-CN"/>
                <w14:textFill>
                  <w14:solidFill>
                    <w14:schemeClr w14:val="tx1"/>
                  </w14:solidFill>
                </w14:textFill>
              </w:rPr>
              <w:t>经</w:t>
            </w:r>
            <w:r>
              <w:rPr>
                <w:rFonts w:hint="eastAsia" w:ascii="Times New Roman" w:hAnsi="Times New Roman" w:eastAsia="宋体" w:cs="Times New Roman"/>
                <w:color w:val="000000" w:themeColor="text1"/>
                <w:spacing w:val="-7"/>
                <w:sz w:val="24"/>
                <w:szCs w:val="24"/>
                <w:highlight w:val="none"/>
                <w:lang w:val="en-US" w:eastAsia="zh-CN"/>
                <w14:textFill>
                  <w14:solidFill>
                    <w14:schemeClr w14:val="tx1"/>
                  </w14:solidFill>
                </w14:textFill>
              </w:rPr>
              <w:t>沉淀池处理</w:t>
            </w:r>
            <w:r>
              <w:rPr>
                <w:rFonts w:hint="default" w:ascii="Times New Roman" w:hAnsi="Times New Roman" w:eastAsia="宋体" w:cs="Times New Roman"/>
                <w:color w:val="000000" w:themeColor="text1"/>
                <w:spacing w:val="-7"/>
                <w:sz w:val="24"/>
                <w:szCs w:val="24"/>
                <w:highlight w:val="none"/>
                <w:lang w:val="en-US" w:eastAsia="zh-CN"/>
                <w14:textFill>
                  <w14:solidFill>
                    <w14:schemeClr w14:val="tx1"/>
                  </w14:solidFill>
                </w14:textFill>
              </w:rPr>
              <w:t>达标后</w:t>
            </w:r>
            <w:r>
              <w:rPr>
                <w:rFonts w:hint="eastAsia" w:ascii="Times New Roman" w:hAnsi="Times New Roman" w:eastAsia="宋体" w:cs="Times New Roman"/>
                <w:color w:val="000000" w:themeColor="text1"/>
                <w:spacing w:val="-7"/>
                <w:sz w:val="24"/>
                <w:szCs w:val="24"/>
                <w:highlight w:val="none"/>
                <w:lang w:val="en-US" w:eastAsia="zh-CN"/>
                <w14:textFill>
                  <w14:solidFill>
                    <w14:schemeClr w14:val="tx1"/>
                  </w14:solidFill>
                </w14:textFill>
              </w:rPr>
              <w:t>用于厂区绿化。</w:t>
            </w:r>
          </w:p>
          <w:p>
            <w:pPr>
              <w:keepNext w:val="0"/>
              <w:keepLines w:val="0"/>
              <w:pageBreakBefore w:val="0"/>
              <w:widowControl w:val="0"/>
              <w:kinsoku/>
              <w:wordWrap/>
              <w:overflowPunct/>
              <w:topLinePunct w:val="0"/>
              <w:autoSpaceDE/>
              <w:autoSpaceDN/>
              <w:bidi w:val="0"/>
              <w:adjustRightInd/>
              <w:snapToGrid/>
              <w:spacing w:line="360" w:lineRule="auto"/>
              <w:ind w:firstLine="452" w:firstLineChars="200"/>
              <w:textAlignment w:val="auto"/>
              <w:rPr>
                <w:rFonts w:hint="eastAsia" w:ascii="Times New Roman" w:hAnsi="Times New Roman" w:eastAsia="宋体" w:cs="Times New Roman"/>
                <w:color w:val="000000" w:themeColor="text1"/>
                <w:spacing w:val="-7"/>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4"/>
                <w:szCs w:val="24"/>
                <w:highlight w:val="none"/>
                <w:lang w:val="en-US" w:eastAsia="zh-CN"/>
                <w14:textFill>
                  <w14:solidFill>
                    <w14:schemeClr w14:val="tx1"/>
                  </w14:solidFill>
                </w14:textFill>
              </w:rPr>
              <w:t>（2）大气环境保护措施</w:t>
            </w:r>
          </w:p>
          <w:p>
            <w:pPr>
              <w:keepNext w:val="0"/>
              <w:keepLines w:val="0"/>
              <w:pageBreakBefore w:val="0"/>
              <w:widowControl w:val="0"/>
              <w:kinsoku/>
              <w:wordWrap/>
              <w:overflowPunct/>
              <w:topLinePunct w:val="0"/>
              <w:autoSpaceDE/>
              <w:autoSpaceDN/>
              <w:bidi w:val="0"/>
              <w:adjustRightInd/>
              <w:snapToGrid/>
              <w:spacing w:line="360" w:lineRule="auto"/>
              <w:ind w:firstLine="452" w:firstLineChars="200"/>
              <w:textAlignment w:val="auto"/>
              <w:rPr>
                <w:rFonts w:hint="eastAsia" w:ascii="Times New Roman" w:hAnsi="Times New Roman" w:eastAsia="宋体" w:cs="Times New Roman"/>
                <w:color w:val="000000" w:themeColor="text1"/>
                <w:spacing w:val="-7"/>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4"/>
                <w:szCs w:val="24"/>
                <w:highlight w:val="none"/>
                <w:lang w:val="en-US" w:eastAsia="zh-CN"/>
                <w14:textFill>
                  <w14:solidFill>
                    <w14:schemeClr w14:val="tx1"/>
                  </w14:solidFill>
                </w14:textFill>
              </w:rPr>
              <w:t>本项目锅炉燃气废气</w:t>
            </w:r>
            <w:r>
              <w:rPr>
                <w:rFonts w:hint="default" w:ascii="Times New Roman" w:hAnsi="Times New Roman" w:eastAsia="宋体" w:cs="Times New Roman"/>
                <w:color w:val="000000" w:themeColor="text1"/>
                <w:spacing w:val="-7"/>
                <w:sz w:val="24"/>
                <w:szCs w:val="24"/>
                <w:highlight w:val="none"/>
                <w:lang w:val="en-US" w:eastAsia="zh-CN"/>
                <w14:textFill>
                  <w14:solidFill>
                    <w14:schemeClr w14:val="tx1"/>
                  </w14:solidFill>
                </w14:textFill>
              </w:rPr>
              <w:t>经</w:t>
            </w:r>
            <w:r>
              <w:rPr>
                <w:rFonts w:hint="eastAsia" w:ascii="Times New Roman" w:hAnsi="Times New Roman" w:eastAsia="宋体" w:cs="Times New Roman"/>
                <w:color w:val="000000" w:themeColor="text1"/>
                <w:spacing w:val="-7"/>
                <w:sz w:val="24"/>
                <w:szCs w:val="24"/>
                <w:highlight w:val="none"/>
                <w:lang w:val="en-US" w:eastAsia="zh-CN"/>
                <w14:textFill>
                  <w14:solidFill>
                    <w14:schemeClr w14:val="tx1"/>
                  </w14:solidFill>
                </w14:textFill>
              </w:rPr>
              <w:t>低氮燃烧器</w:t>
            </w:r>
            <w:r>
              <w:rPr>
                <w:rFonts w:hint="default" w:ascii="Times New Roman" w:hAnsi="Times New Roman" w:eastAsia="宋体" w:cs="Times New Roman"/>
                <w:color w:val="000000" w:themeColor="text1"/>
                <w:spacing w:val="-7"/>
                <w:sz w:val="24"/>
                <w:szCs w:val="24"/>
                <w:highlight w:val="none"/>
                <w:lang w:val="en-US" w:eastAsia="zh-CN"/>
                <w14:textFill>
                  <w14:solidFill>
                    <w14:schemeClr w14:val="tx1"/>
                  </w14:solidFill>
                </w14:textFill>
              </w:rPr>
              <w:t>进行</w:t>
            </w:r>
            <w:r>
              <w:rPr>
                <w:rFonts w:hint="eastAsia" w:ascii="Times New Roman" w:hAnsi="Times New Roman" w:eastAsia="宋体" w:cs="Times New Roman"/>
                <w:color w:val="000000" w:themeColor="text1"/>
                <w:spacing w:val="-7"/>
                <w:sz w:val="24"/>
                <w:szCs w:val="24"/>
                <w:highlight w:val="none"/>
                <w:lang w:val="en-US" w:eastAsia="zh-CN"/>
                <w14:textFill>
                  <w14:solidFill>
                    <w14:schemeClr w14:val="tx1"/>
                  </w14:solidFill>
                </w14:textFill>
              </w:rPr>
              <w:t>处理后通过锅炉顶部管道由1根8m高排气筒（排气筒编号：DA001）高空排放；食堂油烟废气</w:t>
            </w:r>
            <w:r>
              <w:rPr>
                <w:rFonts w:hint="default" w:ascii="Times New Roman" w:hAnsi="Times New Roman" w:eastAsia="宋体" w:cs="Times New Roman"/>
                <w:color w:val="000000" w:themeColor="text1"/>
                <w:spacing w:val="-7"/>
                <w:sz w:val="24"/>
                <w:szCs w:val="24"/>
                <w:highlight w:val="none"/>
                <w:lang w:val="en-US" w:eastAsia="zh-CN"/>
                <w14:textFill>
                  <w14:solidFill>
                    <w14:schemeClr w14:val="tx1"/>
                  </w14:solidFill>
                </w14:textFill>
              </w:rPr>
              <w:t>经风机引至油烟净化器处理后至</w:t>
            </w:r>
            <w:r>
              <w:rPr>
                <w:rFonts w:hint="eastAsia" w:ascii="Times New Roman" w:hAnsi="Times New Roman" w:eastAsia="宋体" w:cs="Times New Roman"/>
                <w:color w:val="000000" w:themeColor="text1"/>
                <w:spacing w:val="-7"/>
                <w:sz w:val="24"/>
                <w:szCs w:val="24"/>
                <w:highlight w:val="none"/>
                <w:lang w:val="en-US" w:eastAsia="zh-CN"/>
                <w14:textFill>
                  <w14:solidFill>
                    <w14:schemeClr w14:val="tx1"/>
                  </w14:solidFill>
                </w14:textFill>
              </w:rPr>
              <w:t>食堂</w:t>
            </w:r>
            <w:r>
              <w:rPr>
                <w:rFonts w:hint="default" w:ascii="Times New Roman" w:hAnsi="Times New Roman" w:eastAsia="宋体" w:cs="Times New Roman"/>
                <w:color w:val="000000" w:themeColor="text1"/>
                <w:spacing w:val="-7"/>
                <w:sz w:val="24"/>
                <w:szCs w:val="24"/>
                <w:highlight w:val="none"/>
                <w:lang w:val="en-US" w:eastAsia="zh-CN"/>
                <w14:textFill>
                  <w14:solidFill>
                    <w14:schemeClr w14:val="tx1"/>
                  </w14:solidFill>
                </w14:textFill>
              </w:rPr>
              <w:t>屋顶排放</w:t>
            </w:r>
            <w:r>
              <w:rPr>
                <w:rFonts w:hint="eastAsia" w:ascii="Times New Roman" w:hAnsi="Times New Roman" w:eastAsia="宋体" w:cs="Times New Roman"/>
                <w:color w:val="000000" w:themeColor="text1"/>
                <w:spacing w:val="-7"/>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52" w:firstLineChars="200"/>
              <w:textAlignment w:val="auto"/>
              <w:rPr>
                <w:rFonts w:hint="eastAsia" w:ascii="Times New Roman" w:hAnsi="Times New Roman" w:eastAsia="宋体" w:cs="Times New Roman"/>
                <w:color w:val="000000" w:themeColor="text1"/>
                <w:spacing w:val="-7"/>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4"/>
                <w:szCs w:val="24"/>
                <w:highlight w:val="none"/>
                <w:lang w:val="en-US" w:eastAsia="zh-CN"/>
                <w14:textFill>
                  <w14:solidFill>
                    <w14:schemeClr w14:val="tx1"/>
                  </w14:solidFill>
                </w14:textFill>
              </w:rPr>
              <w:t>（3）噪声环境保护措施</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b w:val="0"/>
                <w:bCs w:val="0"/>
                <w:color w:val="000000" w:themeColor="text1"/>
                <w:sz w:val="24"/>
                <w14:textFill>
                  <w14:solidFill>
                    <w14:schemeClr w14:val="tx1"/>
                  </w14:solidFill>
                </w14:textFill>
              </w:rPr>
            </w:pPr>
            <w:r>
              <w:rPr>
                <w:rFonts w:hint="eastAsia" w:cs="Times New Roman"/>
                <w:b w:val="0"/>
                <w:bCs w:val="0"/>
                <w:color w:val="000000" w:themeColor="text1"/>
                <w:sz w:val="24"/>
                <w:lang w:val="en-US" w:eastAsia="zh-CN"/>
                <w14:textFill>
                  <w14:solidFill>
                    <w14:schemeClr w14:val="tx1"/>
                  </w14:solidFill>
                </w14:textFill>
              </w:rPr>
              <w:t>1</w:t>
            </w:r>
            <w:r>
              <w:rPr>
                <w:rFonts w:hint="eastAsia"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尽量选用低噪声设备，安装</w:t>
            </w:r>
            <w:r>
              <w:rPr>
                <w:rFonts w:hint="eastAsia" w:cs="Times New Roman"/>
                <w:b w:val="0"/>
                <w:bCs w:val="0"/>
                <w:color w:val="000000" w:themeColor="text1"/>
                <w:sz w:val="24"/>
                <w:lang w:eastAsia="zh-CN"/>
                <w14:textFill>
                  <w14:solidFill>
                    <w14:schemeClr w14:val="tx1"/>
                  </w14:solidFill>
                </w14:textFill>
              </w:rPr>
              <w:t>减振</w:t>
            </w:r>
            <w:r>
              <w:rPr>
                <w:rFonts w:hint="default" w:ascii="Times New Roman" w:hAnsi="Times New Roman" w:eastAsia="宋体" w:cs="Times New Roman"/>
                <w:b w:val="0"/>
                <w:bCs w:val="0"/>
                <w:color w:val="000000" w:themeColor="text1"/>
                <w:sz w:val="24"/>
                <w14:textFill>
                  <w14:solidFill>
                    <w14:schemeClr w14:val="tx1"/>
                  </w14:solidFill>
                </w14:textFill>
              </w:rPr>
              <w:t>座垫。</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b w:val="0"/>
                <w:bCs w:val="0"/>
                <w:color w:val="000000" w:themeColor="text1"/>
                <w:sz w:val="24"/>
                <w14:textFill>
                  <w14:solidFill>
                    <w14:schemeClr w14:val="tx1"/>
                  </w14:solidFill>
                </w14:textFill>
              </w:rPr>
            </w:pPr>
            <w:r>
              <w:rPr>
                <w:rFonts w:hint="eastAsia" w:cs="Times New Roman"/>
                <w:b w:val="0"/>
                <w:bCs w:val="0"/>
                <w:color w:val="000000" w:themeColor="text1"/>
                <w:sz w:val="24"/>
                <w:lang w:val="en-US" w:eastAsia="zh-CN"/>
                <w14:textFill>
                  <w14:solidFill>
                    <w14:schemeClr w14:val="tx1"/>
                  </w14:solidFill>
                </w14:textFill>
              </w:rPr>
              <w:t>2</w:t>
            </w:r>
            <w:r>
              <w:rPr>
                <w:rFonts w:hint="eastAsia"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采用“闹静分开”和“合理布置”的设计原则，使高噪声设备尽可能远离噪声敏感区。把水厂原水加压泵站设备运行的噪声影响限制在厂区范围内，降低噪声对外界的影响，确保厂界噪声符合标准要求。</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b w:val="0"/>
                <w:bCs w:val="0"/>
                <w:color w:val="000000" w:themeColor="text1"/>
                <w:sz w:val="24"/>
                <w14:textFill>
                  <w14:solidFill>
                    <w14:schemeClr w14:val="tx1"/>
                  </w14:solidFill>
                </w14:textFill>
              </w:rPr>
            </w:pPr>
            <w:r>
              <w:rPr>
                <w:rFonts w:hint="eastAsia" w:cs="Times New Roman"/>
                <w:b w:val="0"/>
                <w:bCs w:val="0"/>
                <w:color w:val="000000" w:themeColor="text1"/>
                <w:sz w:val="24"/>
                <w:lang w:val="en-US" w:eastAsia="zh-CN"/>
                <w14:textFill>
                  <w14:solidFill>
                    <w14:schemeClr w14:val="tx1"/>
                  </w14:solidFill>
                </w14:textFill>
              </w:rPr>
              <w:t>3</w:t>
            </w:r>
            <w:r>
              <w:rPr>
                <w:rFonts w:hint="eastAsia"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设备用房采取减振、隔音等措施。</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b w:val="0"/>
                <w:bCs w:val="0"/>
                <w:color w:val="000000" w:themeColor="text1"/>
                <w:sz w:val="24"/>
                <w14:textFill>
                  <w14:solidFill>
                    <w14:schemeClr w14:val="tx1"/>
                  </w14:solidFill>
                </w14:textFill>
              </w:rPr>
            </w:pPr>
            <w:r>
              <w:rPr>
                <w:rFonts w:hint="eastAsia" w:cs="Times New Roman"/>
                <w:b w:val="0"/>
                <w:bCs w:val="0"/>
                <w:color w:val="000000" w:themeColor="text1"/>
                <w:sz w:val="24"/>
                <w:lang w:val="en-US" w:eastAsia="zh-CN"/>
                <w14:textFill>
                  <w14:solidFill>
                    <w14:schemeClr w14:val="tx1"/>
                  </w14:solidFill>
                </w14:textFill>
              </w:rPr>
              <w:t>4</w:t>
            </w:r>
            <w:r>
              <w:rPr>
                <w:rFonts w:hint="eastAsia"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风机的进、出气口设阻抗复合式消声器。风机安装减振底座，管道、阀门界面采用缓动及减振的挠性接头（口）。挠性接头（口）可有效地阻断噪音并防止震动的传播。</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b w:val="0"/>
                <w:bCs w:val="0"/>
                <w:color w:val="000000" w:themeColor="text1"/>
                <w:sz w:val="24"/>
                <w14:textFill>
                  <w14:solidFill>
                    <w14:schemeClr w14:val="tx1"/>
                  </w14:solidFill>
                </w14:textFill>
              </w:rPr>
            </w:pPr>
            <w:r>
              <w:rPr>
                <w:rFonts w:hint="eastAsia" w:cs="Times New Roman"/>
                <w:b w:val="0"/>
                <w:bCs w:val="0"/>
                <w:color w:val="000000" w:themeColor="text1"/>
                <w:sz w:val="24"/>
                <w:lang w:val="en-US" w:eastAsia="zh-CN"/>
                <w14:textFill>
                  <w14:solidFill>
                    <w14:schemeClr w14:val="tx1"/>
                  </w14:solidFill>
                </w14:textFill>
              </w:rPr>
              <w:t>5</w:t>
            </w:r>
            <w:r>
              <w:rPr>
                <w:rFonts w:hint="eastAsia"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泵房工作时应关闭门窗，泵房内采用隔音、吸引材料装饰墙体，确保厂界噪声满足标准要求。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6</w:t>
            </w:r>
            <w:r>
              <w:rPr>
                <w:rFonts w:hint="eastAsia"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在厂区周围种植绿化树种，增减噪声衰减量</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（4）固体废弃物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000000" w:themeColor="text1"/>
                <w:spacing w:val="10"/>
                <w:szCs w:val="21"/>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废机油、废油桶、废含油抹布、手套、</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废弃化学品容器</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分类集中收集后</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贮存于净水厂内的危险废物暂存间，定期交由有相应资质的危险废物处置单位处置</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生活垃圾</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分类集中收集后定期由</w:t>
            </w:r>
            <w:r>
              <w:rPr>
                <w:rFonts w:hint="default" w:ascii="Times New Roman" w:hAnsi="Times New Roman" w:eastAsia="宋体" w:cs="Times New Roman"/>
                <w:b w:val="0"/>
                <w:bCs w:val="0"/>
                <w:color w:val="000000" w:themeColor="text1"/>
                <w:sz w:val="24"/>
                <w14:textFill>
                  <w14:solidFill>
                    <w14:schemeClr w14:val="tx1"/>
                  </w14:solidFill>
                </w14:textFill>
              </w:rPr>
              <w:t>环卫部门清运</w:t>
            </w:r>
            <w:r>
              <w:rPr>
                <w:rFonts w:hint="eastAsia"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净水厂污泥</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暂存于污泥储池内，定期清理</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经</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污泥脱水装置脱水后委托污泥处置中心处置</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废包装材料收集后暂存于一般固体废物暂存间，定期出售废品收购站</w:t>
            </w:r>
            <w:r>
              <w:rPr>
                <w:rFonts w:hint="eastAsia"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废滤料由滤料供应商回收处置</w:t>
            </w:r>
            <w:r>
              <w:rPr>
                <w:rFonts w:hint="eastAsia"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废次氯酸钠包装物收集后，由生产厂家直接用于周转</w:t>
            </w:r>
            <w:r>
              <w:rPr>
                <w:rFonts w:hint="eastAsia"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隔油系统泔水油和废油脂定期委托有资质单位统一回收处理</w:t>
            </w:r>
            <w:r>
              <w:rPr>
                <w:rFonts w:hint="eastAsia" w:ascii="Times New Roman" w:hAnsi="Times New Roman" w:eastAsia="宋体" w:cs="Times New Roman"/>
                <w:b w:val="0"/>
                <w:bCs w:val="0"/>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53" w:type="dxa"/>
            <w:vAlign w:val="center"/>
          </w:tcPr>
          <w:p>
            <w:pPr>
              <w:adjustRightInd w:val="0"/>
              <w:snapToGrid w:val="0"/>
              <w:jc w:val="center"/>
              <w:rPr>
                <w:rFonts w:hint="default" w:ascii="Times New Roman" w:hAnsi="Times New Roman" w:eastAsia="宋体" w:cs="Times New Roman"/>
                <w:bCs/>
                <w:color w:val="000000" w:themeColor="text1"/>
                <w:spacing w:val="10"/>
                <w:szCs w:val="21"/>
                <w14:textFill>
                  <w14:solidFill>
                    <w14:schemeClr w14:val="tx1"/>
                  </w14:solidFill>
                </w14:textFill>
              </w:rPr>
            </w:pPr>
            <w:r>
              <w:rPr>
                <w:rFonts w:hint="default" w:ascii="Times New Roman" w:hAnsi="Times New Roman" w:eastAsia="宋体" w:cs="Times New Roman"/>
                <w:bCs/>
                <w:color w:val="000000" w:themeColor="text1"/>
                <w:spacing w:val="10"/>
                <w:szCs w:val="21"/>
                <w14:textFill>
                  <w14:solidFill>
                    <w14:schemeClr w14:val="tx1"/>
                  </w14:solidFill>
                </w14:textFill>
              </w:rPr>
              <w:t>其他</w:t>
            </w:r>
          </w:p>
        </w:tc>
        <w:tc>
          <w:tcPr>
            <w:tcW w:w="8457" w:type="dxa"/>
            <w:vAlign w:val="center"/>
          </w:tcPr>
          <w:p>
            <w:pPr>
              <w:adjustRightInd w:val="0"/>
              <w:snapToGrid w:val="0"/>
              <w:jc w:val="center"/>
              <w:rPr>
                <w:rFonts w:hint="default" w:ascii="Times New Roman" w:hAnsi="Times New Roman" w:eastAsia="宋体" w:cs="Times New Roman"/>
                <w:bCs/>
                <w:color w:val="000000" w:themeColor="text1"/>
                <w:spacing w:val="10"/>
                <w:szCs w:val="21"/>
                <w14:textFill>
                  <w14:solidFill>
                    <w14:schemeClr w14:val="tx1"/>
                  </w14:solidFill>
                </w14:textFill>
              </w:rPr>
            </w:pPr>
            <w:r>
              <w:rPr>
                <w:rFonts w:hint="default" w:ascii="Times New Roman" w:hAnsi="Times New Roman" w:eastAsia="宋体" w:cs="Times New Roman"/>
                <w:bCs/>
                <w:color w:val="000000" w:themeColor="text1"/>
                <w:spacing w:val="10"/>
                <w:szCs w:val="21"/>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753" w:type="dxa"/>
            <w:vAlign w:val="center"/>
          </w:tcPr>
          <w:p>
            <w:pPr>
              <w:adjustRightInd w:val="0"/>
              <w:snapToGrid w:val="0"/>
              <w:jc w:val="center"/>
              <w:rPr>
                <w:rFonts w:hint="default" w:ascii="Times New Roman" w:hAnsi="Times New Roman" w:cs="Times New Roman"/>
                <w:bCs/>
                <w:color w:val="000000" w:themeColor="text1"/>
                <w:spacing w:val="10"/>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环保投资</w:t>
            </w:r>
          </w:p>
        </w:tc>
        <w:tc>
          <w:tcPr>
            <w:tcW w:w="8457" w:type="dxa"/>
          </w:tcPr>
          <w:p>
            <w:pPr>
              <w:snapToGrid w:val="0"/>
              <w:spacing w:line="360" w:lineRule="auto"/>
              <w:ind w:firstLine="480"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为减缓本项目施工期对环境的影响，在生态保护、废气治理、废水治理、噪声治理及固体废物污染防治等方面提出各项环保措施，工程环保投资估算见表</w:t>
            </w:r>
            <w:r>
              <w:rPr>
                <w:rFonts w:hint="eastAsia" w:eastAsia="宋体" w:cs="Times New Roman"/>
                <w:color w:val="000000" w:themeColor="text1"/>
                <w:sz w:val="24"/>
                <w:lang w:val="en-US" w:eastAsia="zh-CN"/>
                <w14:textFill>
                  <w14:solidFill>
                    <w14:schemeClr w14:val="tx1"/>
                  </w14:solidFill>
                </w14:textFill>
              </w:rPr>
              <w:t>5-1</w:t>
            </w:r>
            <w:r>
              <w:rPr>
                <w:rFonts w:hint="default" w:ascii="Times New Roman" w:hAnsi="Times New Roman" w:eastAsia="宋体" w:cs="Times New Roman"/>
                <w:color w:val="000000" w:themeColor="text1"/>
                <w:sz w:val="24"/>
                <w14:textFill>
                  <w14:solidFill>
                    <w14:schemeClr w14:val="tx1"/>
                  </w14:solidFill>
                </w14:textFill>
              </w:rPr>
              <w:t>，项目总投资</w:t>
            </w:r>
            <w:r>
              <w:rPr>
                <w:rFonts w:hint="eastAsia"/>
                <w:color w:val="000000" w:themeColor="text1"/>
                <w:sz w:val="24"/>
                <w:lang w:val="en-US" w:eastAsia="zh-CN"/>
                <w14:textFill>
                  <w14:solidFill>
                    <w14:schemeClr w14:val="tx1"/>
                  </w14:solidFill>
                </w14:textFill>
              </w:rPr>
              <w:t>12000</w:t>
            </w:r>
            <w:r>
              <w:rPr>
                <w:rFonts w:hint="default" w:ascii="Times New Roman" w:hAnsi="Times New Roman" w:eastAsia="宋体" w:cs="Times New Roman"/>
                <w:color w:val="000000" w:themeColor="text1"/>
                <w:sz w:val="24"/>
                <w14:textFill>
                  <w14:solidFill>
                    <w14:schemeClr w14:val="tx1"/>
                  </w14:solidFill>
                </w14:textFill>
              </w:rPr>
              <w:t>万元，环保总投资</w:t>
            </w:r>
            <w:r>
              <w:rPr>
                <w:rFonts w:hint="eastAsia" w:cs="Times New Roman"/>
                <w:color w:val="000000" w:themeColor="text1"/>
                <w:sz w:val="24"/>
                <w:lang w:val="en-US" w:eastAsia="zh-CN"/>
                <w14:textFill>
                  <w14:solidFill>
                    <w14:schemeClr w14:val="tx1"/>
                  </w14:solidFill>
                </w14:textFill>
              </w:rPr>
              <w:t>91.5</w:t>
            </w:r>
            <w:r>
              <w:rPr>
                <w:rFonts w:hint="default" w:ascii="Times New Roman" w:hAnsi="Times New Roman" w:eastAsia="宋体" w:cs="Times New Roman"/>
                <w:color w:val="000000" w:themeColor="text1"/>
                <w:sz w:val="24"/>
                <w14:textFill>
                  <w14:solidFill>
                    <w14:schemeClr w14:val="tx1"/>
                  </w14:solidFill>
                </w14:textFill>
              </w:rPr>
              <w:t>万元，占总投资的</w:t>
            </w:r>
            <w:r>
              <w:rPr>
                <w:rFonts w:hint="eastAsia" w:eastAsia="宋体" w:cs="Times New Roman"/>
                <w:color w:val="000000" w:themeColor="text1"/>
                <w:sz w:val="24"/>
                <w:lang w:val="en-US" w:eastAsia="zh-CN"/>
                <w14:textFill>
                  <w14:solidFill>
                    <w14:schemeClr w14:val="tx1"/>
                  </w14:solidFill>
                </w14:textFill>
              </w:rPr>
              <w:t>0.</w:t>
            </w:r>
            <w:r>
              <w:rPr>
                <w:rFonts w:hint="eastAsia" w:cs="Times New Roman"/>
                <w:color w:val="000000" w:themeColor="text1"/>
                <w:sz w:val="24"/>
                <w:lang w:val="en-US" w:eastAsia="zh-CN"/>
                <w14:textFill>
                  <w14:solidFill>
                    <w14:schemeClr w14:val="tx1"/>
                  </w14:solidFill>
                </w14:textFill>
              </w:rPr>
              <w:t>76</w:t>
            </w:r>
            <w:r>
              <w:rPr>
                <w:rFonts w:hint="default" w:ascii="Times New Roman" w:hAnsi="Times New Roman" w:eastAsia="宋体" w:cs="Times New Roman"/>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表</w:t>
            </w:r>
            <w:r>
              <w:rPr>
                <w:rFonts w:hint="eastAsia" w:eastAsia="宋体" w:cs="Times New Roman"/>
                <w:b/>
                <w:bCs/>
                <w:color w:val="000000" w:themeColor="text1"/>
                <w:sz w:val="24"/>
                <w:lang w:val="en-US" w:eastAsia="zh-CN"/>
                <w14:textFill>
                  <w14:solidFill>
                    <w14:schemeClr w14:val="tx1"/>
                  </w14:solidFill>
                </w14:textFill>
              </w:rPr>
              <w:t>5-1</w:t>
            </w:r>
            <w:r>
              <w:rPr>
                <w:rFonts w:hint="default" w:ascii="Times New Roman" w:hAnsi="Times New Roman" w:eastAsia="宋体" w:cs="Times New Roman"/>
                <w:b/>
                <w:bCs/>
                <w:color w:val="000000" w:themeColor="text1"/>
                <w:sz w:val="24"/>
                <w14:textFill>
                  <w14:solidFill>
                    <w14:schemeClr w14:val="tx1"/>
                  </w14:solidFill>
                </w14:textFill>
              </w:rPr>
              <w:t xml:space="preserve">  工程环保设施投资估算表</w:t>
            </w:r>
          </w:p>
          <w:tbl>
            <w:tblPr>
              <w:tblStyle w:val="22"/>
              <w:tblW w:w="498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907"/>
              <w:gridCol w:w="1337"/>
              <w:gridCol w:w="4368"/>
              <w:gridCol w:w="16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55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GB"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GB" w:eastAsia="zh-CN"/>
                      <w14:textFill>
                        <w14:solidFill>
                          <w14:schemeClr w14:val="tx1"/>
                        </w14:solidFill>
                      </w14:textFill>
                    </w:rPr>
                    <w:t>项目</w:t>
                  </w:r>
                </w:p>
              </w:tc>
              <w:tc>
                <w:tcPr>
                  <w:tcW w:w="81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GB"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GB" w:eastAsia="zh-CN"/>
                      <w14:textFill>
                        <w14:solidFill>
                          <w14:schemeClr w14:val="tx1"/>
                        </w14:solidFill>
                      </w14:textFill>
                    </w:rPr>
                    <w:t>污染物</w:t>
                  </w:r>
                </w:p>
              </w:tc>
              <w:tc>
                <w:tcPr>
                  <w:tcW w:w="265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GB"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GB" w:eastAsia="zh-CN"/>
                      <w14:textFill>
                        <w14:solidFill>
                          <w14:schemeClr w14:val="tx1"/>
                        </w14:solidFill>
                      </w14:textFill>
                    </w:rPr>
                    <w:t>环保措施</w:t>
                  </w:r>
                </w:p>
              </w:tc>
              <w:tc>
                <w:tcPr>
                  <w:tcW w:w="97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GB"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GB"/>
                      <w14:textFill>
                        <w14:solidFill>
                          <w14:schemeClr w14:val="tx1"/>
                        </w14:solidFill>
                      </w14:textFill>
                    </w:rPr>
                    <w:t>投资</w:t>
                  </w:r>
                  <w:r>
                    <w:rPr>
                      <w:rFonts w:hint="default" w:ascii="Times New Roman" w:hAnsi="Times New Roman" w:eastAsia="宋体" w:cs="Times New Roman"/>
                      <w:b w:val="0"/>
                      <w:bCs w:val="0"/>
                      <w:color w:val="000000" w:themeColor="text1"/>
                      <w:sz w:val="21"/>
                      <w:szCs w:val="21"/>
                      <w:lang w:val="en-GB" w:eastAsia="zh-CN"/>
                      <w14:textFill>
                        <w14:solidFill>
                          <w14:schemeClr w14:val="tx1"/>
                        </w14:solidFill>
                      </w14:textFill>
                    </w:rPr>
                    <w:t>（万元）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551"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lang w:val="en-GB"/>
                      <w14:textFill>
                        <w14:solidFill>
                          <w14:schemeClr w14:val="tx1"/>
                        </w14:solidFill>
                      </w14:textFill>
                    </w:rPr>
                  </w:pPr>
                  <w:bookmarkStart w:id="5" w:name="OLE_LINK2" w:colFirst="3" w:colLast="3"/>
                  <w:r>
                    <w:rPr>
                      <w:rFonts w:hint="default" w:ascii="Times New Roman" w:hAnsi="Times New Roman" w:eastAsia="宋体" w:cs="Times New Roman"/>
                      <w:b w:val="0"/>
                      <w:bCs w:val="0"/>
                      <w:color w:val="000000" w:themeColor="text1"/>
                      <w:sz w:val="21"/>
                      <w:szCs w:val="21"/>
                      <w:lang w:val="en-GB"/>
                      <w14:textFill>
                        <w14:solidFill>
                          <w14:schemeClr w14:val="tx1"/>
                        </w14:solidFill>
                      </w14:textFill>
                    </w:rPr>
                    <w:t>施工期</w:t>
                  </w:r>
                </w:p>
              </w:tc>
              <w:tc>
                <w:tcPr>
                  <w:tcW w:w="81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GB"/>
                      <w14:textFill>
                        <w14:solidFill>
                          <w14:schemeClr w14:val="tx1"/>
                        </w14:solidFill>
                      </w14:textFill>
                    </w:rPr>
                    <w:t>废气</w:t>
                  </w:r>
                </w:p>
              </w:tc>
              <w:tc>
                <w:tcPr>
                  <w:tcW w:w="265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lang w:val="en-GB"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GB" w:eastAsia="zh-CN"/>
                      <w14:textFill>
                        <w14:solidFill>
                          <w14:schemeClr w14:val="tx1"/>
                        </w14:solidFill>
                      </w14:textFill>
                    </w:rPr>
                    <w:t>设置硬质材料</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的连续</w:t>
                  </w:r>
                  <w:r>
                    <w:rPr>
                      <w:rFonts w:hint="default" w:ascii="Times New Roman" w:hAnsi="Times New Roman" w:eastAsia="宋体" w:cs="Times New Roman"/>
                      <w:b w:val="0"/>
                      <w:bCs w:val="0"/>
                      <w:color w:val="000000" w:themeColor="text1"/>
                      <w:sz w:val="21"/>
                      <w:szCs w:val="21"/>
                      <w:lang w:val="en-GB" w:eastAsia="zh-CN"/>
                      <w14:textFill>
                        <w14:solidFill>
                          <w14:schemeClr w14:val="tx1"/>
                        </w14:solidFill>
                      </w14:textFill>
                    </w:rPr>
                    <w:t>密闭围挡；设置车辆清洗设备及配套的排水、泥浆沉淀设施</w:t>
                  </w:r>
                  <w:r>
                    <w:rPr>
                      <w:rFonts w:hint="eastAsia" w:ascii="Times New Roman" w:hAnsi="Times New Roman" w:eastAsia="宋体" w:cs="Times New Roman"/>
                      <w:b w:val="0"/>
                      <w:bCs w:val="0"/>
                      <w:color w:val="000000" w:themeColor="text1"/>
                      <w:sz w:val="21"/>
                      <w:szCs w:val="21"/>
                      <w:lang w:val="en-GB"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GB" w:eastAsia="zh-CN"/>
                      <w14:textFill>
                        <w14:solidFill>
                          <w14:schemeClr w14:val="tx1"/>
                        </w14:solidFill>
                      </w14:textFill>
                    </w:rPr>
                    <w:t>施工工地路面、出入口、车行道路应当采取硬化、洒水等降尘</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等</w:t>
                  </w:r>
                  <w:r>
                    <w:rPr>
                      <w:rFonts w:hint="default" w:ascii="Times New Roman" w:hAnsi="Times New Roman" w:eastAsia="宋体" w:cs="Times New Roman"/>
                      <w:b w:val="0"/>
                      <w:bCs w:val="0"/>
                      <w:color w:val="000000" w:themeColor="text1"/>
                      <w:sz w:val="21"/>
                      <w:szCs w:val="21"/>
                      <w:lang w:val="en-GB" w:eastAsia="zh-CN"/>
                      <w14:textFill>
                        <w14:solidFill>
                          <w14:schemeClr w14:val="tx1"/>
                        </w14:solidFill>
                      </w14:textFill>
                    </w:rPr>
                    <w:t>措施</w:t>
                  </w:r>
                  <w:r>
                    <w:rPr>
                      <w:rFonts w:hint="eastAsia" w:ascii="Times New Roman" w:hAnsi="Times New Roman" w:eastAsia="宋体" w:cs="Times New Roman"/>
                      <w:b w:val="0"/>
                      <w:bCs w:val="0"/>
                      <w:color w:val="000000" w:themeColor="text1"/>
                      <w:sz w:val="21"/>
                      <w:szCs w:val="21"/>
                      <w:lang w:val="en-GB" w:eastAsia="zh-CN"/>
                      <w14:textFill>
                        <w14:solidFill>
                          <w14:schemeClr w14:val="tx1"/>
                        </w14:solidFill>
                      </w14:textFill>
                    </w:rPr>
                    <w:t>。</w:t>
                  </w:r>
                </w:p>
              </w:tc>
              <w:tc>
                <w:tcPr>
                  <w:tcW w:w="975"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55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lang w:val="en-GB"/>
                      <w14:textFill>
                        <w14:solidFill>
                          <w14:schemeClr w14:val="tx1"/>
                        </w14:solidFill>
                      </w14:textFill>
                    </w:rPr>
                  </w:pPr>
                </w:p>
              </w:tc>
              <w:tc>
                <w:tcPr>
                  <w:tcW w:w="81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lang w:val="en-GB"/>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GB"/>
                      <w14:textFill>
                        <w14:solidFill>
                          <w14:schemeClr w14:val="tx1"/>
                        </w14:solidFill>
                      </w14:textFill>
                    </w:rPr>
                    <w:t>废水</w:t>
                  </w:r>
                </w:p>
              </w:tc>
              <w:tc>
                <w:tcPr>
                  <w:tcW w:w="265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lang w:val="en-GB"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GB" w:eastAsia="zh-CN"/>
                      <w14:textFill>
                        <w14:solidFill>
                          <w14:schemeClr w14:val="tx1"/>
                        </w14:solidFill>
                      </w14:textFill>
                    </w:rPr>
                    <w:t>施工人员住宿及办公采用租用当地民房</w:t>
                  </w:r>
                  <w:r>
                    <w:rPr>
                      <w:rFonts w:hint="eastAsia" w:ascii="Times New Roman" w:hAnsi="Times New Roman" w:eastAsia="宋体" w:cs="Times New Roman"/>
                      <w:b w:val="0"/>
                      <w:bCs w:val="0"/>
                      <w:color w:val="000000" w:themeColor="text1"/>
                      <w:sz w:val="21"/>
                      <w:szCs w:val="21"/>
                      <w:lang w:val="en-GB"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GB" w:eastAsia="zh-CN"/>
                      <w14:textFill>
                        <w14:solidFill>
                          <w14:schemeClr w14:val="tx1"/>
                        </w14:solidFill>
                      </w14:textFill>
                    </w:rPr>
                    <w:t>下游出水口处设置沉淀池</w:t>
                  </w:r>
                  <w:r>
                    <w:rPr>
                      <w:rFonts w:hint="eastAsia" w:ascii="Times New Roman" w:hAnsi="Times New Roman" w:eastAsia="宋体" w:cs="Times New Roman"/>
                      <w:b w:val="0"/>
                      <w:bCs w:val="0"/>
                      <w:color w:val="000000" w:themeColor="text1"/>
                      <w:sz w:val="21"/>
                      <w:szCs w:val="21"/>
                      <w:lang w:val="en-GB"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GB" w:eastAsia="zh-CN"/>
                      <w14:textFill>
                        <w14:solidFill>
                          <w14:schemeClr w14:val="tx1"/>
                        </w14:solidFill>
                      </w14:textFill>
                    </w:rPr>
                    <w:t>在施工现场设置临时100m</w:t>
                  </w:r>
                  <w:r>
                    <w:rPr>
                      <w:rFonts w:hint="eastAsia"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lang w:val="en-GB" w:eastAsia="zh-CN"/>
                      <w14:textFill>
                        <w14:solidFill>
                          <w14:schemeClr w14:val="tx1"/>
                        </w14:solidFill>
                      </w14:textFill>
                    </w:rPr>
                    <w:t>的废水沉淀池</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lang w:val="en-GB" w:eastAsia="zh-CN"/>
                      <w14:textFill>
                        <w14:solidFill>
                          <w14:schemeClr w14:val="tx1"/>
                        </w14:solidFill>
                      </w14:textFill>
                    </w:rPr>
                    <w:t>座</w:t>
                  </w:r>
                  <w:r>
                    <w:rPr>
                      <w:rFonts w:hint="eastAsia" w:ascii="Times New Roman" w:hAnsi="Times New Roman" w:eastAsia="宋体" w:cs="Times New Roman"/>
                      <w:b w:val="0"/>
                      <w:bCs w:val="0"/>
                      <w:color w:val="000000" w:themeColor="text1"/>
                      <w:sz w:val="21"/>
                      <w:szCs w:val="21"/>
                      <w:lang w:val="en-GB"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GB" w:eastAsia="zh-CN"/>
                      <w14:textFill>
                        <w14:solidFill>
                          <w14:schemeClr w14:val="tx1"/>
                        </w14:solidFill>
                      </w14:textFill>
                    </w:rPr>
                    <w:t>在施工现场构筑相应的集水沉沙池和排水沟</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等措施</w:t>
                  </w:r>
                  <w:r>
                    <w:rPr>
                      <w:rFonts w:hint="eastAsia" w:ascii="Times New Roman" w:hAnsi="Times New Roman" w:eastAsia="宋体" w:cs="Times New Roman"/>
                      <w:b w:val="0"/>
                      <w:bCs w:val="0"/>
                      <w:color w:val="000000" w:themeColor="text1"/>
                      <w:sz w:val="21"/>
                      <w:szCs w:val="21"/>
                      <w:lang w:val="en-GB" w:eastAsia="zh-CN"/>
                      <w14:textFill>
                        <w14:solidFill>
                          <w14:schemeClr w14:val="tx1"/>
                        </w14:solidFill>
                      </w14:textFill>
                    </w:rPr>
                    <w:t>。</w:t>
                  </w:r>
                </w:p>
              </w:tc>
              <w:tc>
                <w:tcPr>
                  <w:tcW w:w="975"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55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lang w:val="en-GB"/>
                      <w14:textFill>
                        <w14:solidFill>
                          <w14:schemeClr w14:val="tx1"/>
                        </w14:solidFill>
                      </w14:textFill>
                    </w:rPr>
                  </w:pPr>
                </w:p>
              </w:tc>
              <w:tc>
                <w:tcPr>
                  <w:tcW w:w="81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lang w:val="en-GB"/>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GB"/>
                      <w14:textFill>
                        <w14:solidFill>
                          <w14:schemeClr w14:val="tx1"/>
                        </w14:solidFill>
                      </w14:textFill>
                    </w:rPr>
                    <w:t>噪声</w:t>
                  </w:r>
                </w:p>
              </w:tc>
              <w:tc>
                <w:tcPr>
                  <w:tcW w:w="265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GB" w:eastAsia="zh-CN"/>
                      <w14:textFill>
                        <w14:solidFill>
                          <w14:schemeClr w14:val="tx1"/>
                        </w14:solidFill>
                      </w14:textFill>
                    </w:rPr>
                    <w:t>优先采用低噪声机械</w:t>
                  </w:r>
                  <w:r>
                    <w:rPr>
                      <w:rFonts w:hint="eastAsia" w:ascii="Times New Roman" w:hAnsi="Times New Roman" w:eastAsia="宋体" w:cs="Times New Roman"/>
                      <w:b w:val="0"/>
                      <w:bCs w:val="0"/>
                      <w:color w:val="000000" w:themeColor="text1"/>
                      <w:sz w:val="21"/>
                      <w:szCs w:val="21"/>
                      <w:lang w:val="en-GB"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GB" w:eastAsia="zh-CN"/>
                      <w14:textFill>
                        <w14:solidFill>
                          <w14:schemeClr w14:val="tx1"/>
                        </w14:solidFill>
                      </w14:textFill>
                    </w:rPr>
                    <w:t>对设备进行维修保养</w:t>
                  </w:r>
                  <w:r>
                    <w:rPr>
                      <w:rFonts w:hint="eastAsia" w:ascii="Times New Roman" w:hAnsi="Times New Roman" w:eastAsia="宋体" w:cs="Times New Roman"/>
                      <w:b w:val="0"/>
                      <w:bCs w:val="0"/>
                      <w:color w:val="000000" w:themeColor="text1"/>
                      <w:sz w:val="21"/>
                      <w:szCs w:val="21"/>
                      <w:lang w:val="en-GB"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GB" w:eastAsia="zh-CN"/>
                      <w14:textFill>
                        <w14:solidFill>
                          <w14:schemeClr w14:val="tx1"/>
                        </w14:solidFill>
                      </w14:textFill>
                    </w:rPr>
                    <w:t>在现场张贴通告和投诉电话</w:t>
                  </w:r>
                  <w:r>
                    <w:rPr>
                      <w:rFonts w:hint="eastAsia" w:ascii="Times New Roman" w:hAnsi="Times New Roman" w:eastAsia="宋体" w:cs="Times New Roman"/>
                      <w:b w:val="0"/>
                      <w:bCs w:val="0"/>
                      <w:color w:val="000000" w:themeColor="text1"/>
                      <w:sz w:val="21"/>
                      <w:szCs w:val="21"/>
                      <w:lang w:val="en-GB"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GB" w:eastAsia="zh-CN"/>
                      <w14:textFill>
                        <w14:solidFill>
                          <w14:schemeClr w14:val="tx1"/>
                        </w14:solidFill>
                      </w14:textFill>
                    </w:rPr>
                    <w:t>配备一定数量的简易噪声测量仪器</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等措施。</w:t>
                  </w:r>
                </w:p>
              </w:tc>
              <w:tc>
                <w:tcPr>
                  <w:tcW w:w="975"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55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lang w:val="en-GB"/>
                      <w14:textFill>
                        <w14:solidFill>
                          <w14:schemeClr w14:val="tx1"/>
                        </w14:solidFill>
                      </w14:textFill>
                    </w:rPr>
                  </w:pPr>
                </w:p>
              </w:tc>
              <w:tc>
                <w:tcPr>
                  <w:tcW w:w="81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lang w:val="en-GB"/>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GB"/>
                      <w14:textFill>
                        <w14:solidFill>
                          <w14:schemeClr w14:val="tx1"/>
                        </w14:solidFill>
                      </w14:textFill>
                    </w:rPr>
                    <w:t>固废</w:t>
                  </w:r>
                </w:p>
              </w:tc>
              <w:tc>
                <w:tcPr>
                  <w:tcW w:w="265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设置加盖</w:t>
                  </w:r>
                  <w:r>
                    <w:rPr>
                      <w:rFonts w:hint="default" w:ascii="Times New Roman" w:hAnsi="Times New Roman" w:eastAsia="宋体" w:cs="Times New Roman"/>
                      <w:b w:val="0"/>
                      <w:bCs w:val="0"/>
                      <w:color w:val="000000" w:themeColor="text1"/>
                      <w:sz w:val="21"/>
                      <w:szCs w:val="21"/>
                      <w:lang w:val="en-GB" w:eastAsia="zh-CN"/>
                      <w14:textFill>
                        <w14:solidFill>
                          <w14:schemeClr w14:val="tx1"/>
                        </w14:solidFill>
                      </w14:textFill>
                    </w:rPr>
                    <w:t>垃圾箱（筒）</w:t>
                  </w:r>
                  <w:r>
                    <w:rPr>
                      <w:rFonts w:hint="eastAsia" w:ascii="Times New Roman" w:hAnsi="Times New Roman" w:eastAsia="宋体" w:cs="Times New Roman"/>
                      <w:b w:val="0"/>
                      <w:bCs w:val="0"/>
                      <w:color w:val="000000" w:themeColor="text1"/>
                      <w:sz w:val="21"/>
                      <w:szCs w:val="21"/>
                      <w:lang w:val="en-GB"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GB" w:eastAsia="zh-CN"/>
                      <w14:textFill>
                        <w14:solidFill>
                          <w14:schemeClr w14:val="tx1"/>
                        </w14:solidFill>
                      </w14:textFill>
                    </w:rPr>
                    <w:t>土石方加强围栏，表面用塑胶薄膜覆盖</w:t>
                  </w:r>
                  <w:r>
                    <w:rPr>
                      <w:rFonts w:hint="eastAsia" w:ascii="Times New Roman" w:hAnsi="Times New Roman" w:eastAsia="宋体" w:cs="Times New Roman"/>
                      <w:b w:val="0"/>
                      <w:bCs w:val="0"/>
                      <w:color w:val="000000" w:themeColor="text1"/>
                      <w:sz w:val="21"/>
                      <w:szCs w:val="21"/>
                      <w:lang w:val="en-GB"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GB" w:eastAsia="zh-CN"/>
                      <w14:textFill>
                        <w14:solidFill>
                          <w14:schemeClr w14:val="tx1"/>
                        </w14:solidFill>
                      </w14:textFill>
                    </w:rPr>
                    <w:t>密闭运输</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等措施。</w:t>
                  </w:r>
                </w:p>
              </w:tc>
              <w:tc>
                <w:tcPr>
                  <w:tcW w:w="975"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kern w:val="2"/>
                      <w:sz w:val="21"/>
                      <w:szCs w:val="21"/>
                      <w:lang w:val="en-US" w:eastAsia="zh-CN" w:bidi="ar-SA"/>
                      <w14:textFill>
                        <w14:solidFill>
                          <w14:schemeClr w14:val="tx1"/>
                        </w14:solidFill>
                      </w14:textFill>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55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lang w:val="en-GB"/>
                      <w14:textFill>
                        <w14:solidFill>
                          <w14:schemeClr w14:val="tx1"/>
                        </w14:solidFill>
                      </w14:textFill>
                    </w:rPr>
                  </w:pPr>
                </w:p>
              </w:tc>
              <w:tc>
                <w:tcPr>
                  <w:tcW w:w="81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lang w:val="en-GB"/>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GB"/>
                      <w14:textFill>
                        <w14:solidFill>
                          <w14:schemeClr w14:val="tx1"/>
                        </w14:solidFill>
                      </w14:textFill>
                    </w:rPr>
                    <w:t>生态</w:t>
                  </w:r>
                </w:p>
              </w:tc>
              <w:tc>
                <w:tcPr>
                  <w:tcW w:w="265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GB" w:eastAsia="zh-CN"/>
                      <w14:textFill>
                        <w14:solidFill>
                          <w14:schemeClr w14:val="tx1"/>
                        </w14:solidFill>
                      </w14:textFill>
                    </w:rPr>
                    <w:t>土地复垦和植被重建</w:t>
                  </w:r>
                  <w:r>
                    <w:rPr>
                      <w:rFonts w:hint="eastAsia" w:ascii="Times New Roman" w:hAnsi="Times New Roman" w:eastAsia="宋体" w:cs="Times New Roman"/>
                      <w:b w:val="0"/>
                      <w:bCs w:val="0"/>
                      <w:color w:val="000000" w:themeColor="text1"/>
                      <w:sz w:val="21"/>
                      <w:szCs w:val="21"/>
                      <w:lang w:val="en-GB"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GB" w:eastAsia="zh-CN"/>
                      <w14:textFill>
                        <w14:solidFill>
                          <w14:schemeClr w14:val="tx1"/>
                        </w14:solidFill>
                      </w14:textFill>
                    </w:rPr>
                    <w:t>临时占地及时</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恢复</w:t>
                  </w:r>
                  <w:r>
                    <w:rPr>
                      <w:rFonts w:hint="default" w:ascii="Times New Roman" w:hAnsi="Times New Roman" w:eastAsia="宋体" w:cs="Times New Roman"/>
                      <w:b w:val="0"/>
                      <w:bCs w:val="0"/>
                      <w:color w:val="000000" w:themeColor="text1"/>
                      <w:sz w:val="21"/>
                      <w:szCs w:val="21"/>
                      <w:lang w:val="en-GB" w:eastAsia="zh-CN"/>
                      <w14:textFill>
                        <w14:solidFill>
                          <w14:schemeClr w14:val="tx1"/>
                        </w14:solidFill>
                      </w14:textFill>
                    </w:rPr>
                    <w:t>植被</w:t>
                  </w:r>
                  <w:r>
                    <w:rPr>
                      <w:rFonts w:hint="eastAsia" w:ascii="Times New Roman" w:hAnsi="Times New Roman" w:eastAsia="宋体" w:cs="Times New Roman"/>
                      <w:b w:val="0"/>
                      <w:bCs w:val="0"/>
                      <w:color w:val="000000" w:themeColor="text1"/>
                      <w:sz w:val="21"/>
                      <w:szCs w:val="21"/>
                      <w:lang w:val="en-GB"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GB" w:eastAsia="zh-CN"/>
                      <w14:textFill>
                        <w14:solidFill>
                          <w14:schemeClr w14:val="tx1"/>
                        </w14:solidFill>
                      </w14:textFill>
                    </w:rPr>
                    <w:t>洒水压尘</w:t>
                  </w:r>
                  <w:r>
                    <w:rPr>
                      <w:rFonts w:hint="eastAsia" w:ascii="Times New Roman" w:hAnsi="Times New Roman" w:eastAsia="宋体" w:cs="Times New Roman"/>
                      <w:b w:val="0"/>
                      <w:bCs w:val="0"/>
                      <w:color w:val="000000" w:themeColor="text1"/>
                      <w:sz w:val="21"/>
                      <w:szCs w:val="21"/>
                      <w:lang w:val="en-GB"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净水厂生产区的范围应设立明显标志等措施。</w:t>
                  </w:r>
                </w:p>
              </w:tc>
              <w:tc>
                <w:tcPr>
                  <w:tcW w:w="975"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551"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GB"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GB" w:eastAsia="zh-CN"/>
                      <w14:textFill>
                        <w14:solidFill>
                          <w14:schemeClr w14:val="tx1"/>
                        </w14:solidFill>
                      </w14:textFill>
                    </w:rPr>
                    <w:t>运营期</w:t>
                  </w:r>
                </w:p>
              </w:tc>
              <w:tc>
                <w:tcPr>
                  <w:tcW w:w="81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GB"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GB" w:eastAsia="zh-CN"/>
                      <w14:textFill>
                        <w14:solidFill>
                          <w14:schemeClr w14:val="tx1"/>
                        </w14:solidFill>
                      </w14:textFill>
                    </w:rPr>
                    <w:t>废气</w:t>
                  </w:r>
                </w:p>
              </w:tc>
              <w:tc>
                <w:tcPr>
                  <w:tcW w:w="265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eastAsia="宋体"/>
                      <w:color w:val="000000" w:themeColor="text1"/>
                      <w:szCs w:val="21"/>
                      <w14:textFill>
                        <w14:solidFill>
                          <w14:schemeClr w14:val="tx1"/>
                        </w14:solidFill>
                      </w14:textFill>
                    </w:rPr>
                    <w:t>油烟净化器</w:t>
                  </w:r>
                  <w:r>
                    <w:rPr>
                      <w:rFonts w:hint="eastAsia" w:eastAsia="宋体"/>
                      <w:color w:val="000000" w:themeColor="text1"/>
                      <w:szCs w:val="21"/>
                      <w:lang w:eastAsia="zh-CN"/>
                      <w14:textFill>
                        <w14:solidFill>
                          <w14:schemeClr w14:val="tx1"/>
                        </w14:solidFill>
                      </w14:textFill>
                    </w:rPr>
                    <w:t>；</w:t>
                  </w:r>
                  <w:r>
                    <w:rPr>
                      <w:rFonts w:hint="eastAsia" w:eastAsia="宋体"/>
                      <w:color w:val="000000" w:themeColor="text1"/>
                      <w:szCs w:val="21"/>
                      <w14:textFill>
                        <w14:solidFill>
                          <w14:schemeClr w14:val="tx1"/>
                        </w14:solidFill>
                      </w14:textFill>
                    </w:rPr>
                    <w:t>低氮燃烧器</w:t>
                  </w:r>
                </w:p>
              </w:tc>
              <w:tc>
                <w:tcPr>
                  <w:tcW w:w="975"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i w:val="0"/>
                      <w:color w:val="000000" w:themeColor="text1"/>
                      <w:kern w:val="0"/>
                      <w:sz w:val="21"/>
                      <w:szCs w:val="21"/>
                      <w:u w:val="none"/>
                      <w:lang w:val="en-US" w:eastAsia="zh-CN" w:bidi="ar"/>
                      <w14:textFill>
                        <w14:solidFill>
                          <w14:schemeClr w14:val="tx1"/>
                        </w14:solidFill>
                      </w14:textFill>
                    </w:rPr>
                  </w:pPr>
                  <w:r>
                    <w:rPr>
                      <w:rFonts w:hint="eastAsia" w:cs="Times New Roman"/>
                      <w:b w:val="0"/>
                      <w:bCs w:val="0"/>
                      <w:i w:val="0"/>
                      <w:color w:val="000000" w:themeColor="text1"/>
                      <w:kern w:val="0"/>
                      <w:sz w:val="21"/>
                      <w:szCs w:val="21"/>
                      <w:u w:val="none"/>
                      <w:lang w:val="en-US" w:eastAsia="zh-CN" w:bidi="ar"/>
                      <w14:textFill>
                        <w14:solidFill>
                          <w14:schemeClr w14:val="tx1"/>
                        </w14:solidFill>
                      </w14:textFill>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55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lang w:val="en-GB" w:eastAsia="zh-CN"/>
                      <w14:textFill>
                        <w14:solidFill>
                          <w14:schemeClr w14:val="tx1"/>
                        </w14:solidFill>
                      </w14:textFill>
                    </w:rPr>
                  </w:pPr>
                </w:p>
              </w:tc>
              <w:tc>
                <w:tcPr>
                  <w:tcW w:w="81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lang w:val="en-GB"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GB" w:eastAsia="zh-CN"/>
                      <w14:textFill>
                        <w14:solidFill>
                          <w14:schemeClr w14:val="tx1"/>
                        </w14:solidFill>
                      </w14:textFill>
                    </w:rPr>
                    <w:t>废水</w:t>
                  </w:r>
                </w:p>
              </w:tc>
              <w:tc>
                <w:tcPr>
                  <w:tcW w:w="265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eastAsia="宋体"/>
                      <w:color w:val="000000" w:themeColor="text1"/>
                      <w:szCs w:val="21"/>
                      <w14:textFill>
                        <w14:solidFill>
                          <w14:schemeClr w14:val="tx1"/>
                        </w14:solidFill>
                      </w14:textFill>
                    </w:rPr>
                    <w:t>隔油池、化粪池</w:t>
                  </w:r>
                  <w:r>
                    <w:rPr>
                      <w:rFonts w:hint="eastAsia"/>
                      <w:color w:val="000000" w:themeColor="text1"/>
                      <w:szCs w:val="21"/>
                      <w:lang w:eastAsia="zh-CN"/>
                      <w14:textFill>
                        <w14:solidFill>
                          <w14:schemeClr w14:val="tx1"/>
                        </w14:solidFill>
                      </w14:textFill>
                    </w:rPr>
                    <w:t>。</w:t>
                  </w:r>
                </w:p>
              </w:tc>
              <w:tc>
                <w:tcPr>
                  <w:tcW w:w="975"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eastAsia" w:ascii="Times New Roman" w:hAnsi="Times New Roman" w:eastAsia="宋体" w:cs="Times New Roman"/>
                      <w:b w:val="0"/>
                      <w:bCs w:val="0"/>
                      <w:i w:val="0"/>
                      <w:color w:val="000000" w:themeColor="text1"/>
                      <w:kern w:val="0"/>
                      <w:sz w:val="21"/>
                      <w:szCs w:val="21"/>
                      <w:u w:val="none"/>
                      <w:lang w:val="en-US" w:eastAsia="zh-CN" w:bidi="ar"/>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55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lang w:val="en-GB" w:eastAsia="zh-CN"/>
                      <w14:textFill>
                        <w14:solidFill>
                          <w14:schemeClr w14:val="tx1"/>
                        </w14:solidFill>
                      </w14:textFill>
                    </w:rPr>
                  </w:pPr>
                </w:p>
              </w:tc>
              <w:tc>
                <w:tcPr>
                  <w:tcW w:w="81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lang w:val="en-GB"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GB" w:eastAsia="zh-CN"/>
                      <w14:textFill>
                        <w14:solidFill>
                          <w14:schemeClr w14:val="tx1"/>
                        </w14:solidFill>
                      </w14:textFill>
                    </w:rPr>
                    <w:t>噪声</w:t>
                  </w:r>
                </w:p>
              </w:tc>
              <w:tc>
                <w:tcPr>
                  <w:tcW w:w="265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低噪声设备；对设备定期维护；对高噪声设备设基础减振设施</w:t>
                  </w:r>
                  <w:r>
                    <w:rPr>
                      <w:rFonts w:hint="eastAsia" w:cs="Times New Roman"/>
                      <w:b w:val="0"/>
                      <w:bCs w:val="0"/>
                      <w:color w:val="000000" w:themeColor="text1"/>
                      <w:sz w:val="21"/>
                      <w:szCs w:val="21"/>
                      <w:lang w:eastAsia="zh-CN"/>
                      <w14:textFill>
                        <w14:solidFill>
                          <w14:schemeClr w14:val="tx1"/>
                        </w14:solidFill>
                      </w14:textFill>
                    </w:rPr>
                    <w:t>。</w:t>
                  </w:r>
                </w:p>
              </w:tc>
              <w:tc>
                <w:tcPr>
                  <w:tcW w:w="975"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i w:val="0"/>
                      <w:color w:val="000000" w:themeColor="text1"/>
                      <w:kern w:val="0"/>
                      <w:sz w:val="21"/>
                      <w:szCs w:val="21"/>
                      <w:u w:val="none"/>
                      <w:lang w:val="en-US" w:eastAsia="zh-CN" w:bidi="ar"/>
                      <w14:textFill>
                        <w14:solidFill>
                          <w14:schemeClr w14:val="tx1"/>
                        </w14:solidFill>
                      </w14:textFill>
                    </w:rPr>
                  </w:pPr>
                  <w:r>
                    <w:rPr>
                      <w:rFonts w:hint="eastAsia" w:cs="Times New Roman"/>
                      <w:b w:val="0"/>
                      <w:bCs w:val="0"/>
                      <w:i w:val="0"/>
                      <w:color w:val="000000" w:themeColor="text1"/>
                      <w:kern w:val="0"/>
                      <w:sz w:val="21"/>
                      <w:szCs w:val="21"/>
                      <w:u w:val="none"/>
                      <w:lang w:val="en-US" w:eastAsia="zh-CN" w:bidi="ar"/>
                      <w14:textFill>
                        <w14:solidFill>
                          <w14:schemeClr w14:val="tx1"/>
                        </w14:solidFill>
                      </w14:textFill>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55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lang w:val="en-GB" w:eastAsia="zh-CN"/>
                      <w14:textFill>
                        <w14:solidFill>
                          <w14:schemeClr w14:val="tx1"/>
                        </w14:solidFill>
                      </w14:textFill>
                    </w:rPr>
                  </w:pPr>
                </w:p>
              </w:tc>
              <w:tc>
                <w:tcPr>
                  <w:tcW w:w="81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lang w:val="en-GB"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GB" w:eastAsia="zh-CN"/>
                      <w14:textFill>
                        <w14:solidFill>
                          <w14:schemeClr w14:val="tx1"/>
                        </w14:solidFill>
                      </w14:textFill>
                    </w:rPr>
                    <w:t>固废</w:t>
                  </w:r>
                </w:p>
              </w:tc>
              <w:tc>
                <w:tcPr>
                  <w:tcW w:w="265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危险废物</w:t>
                  </w:r>
                  <w:r>
                    <w:rPr>
                      <w:rFonts w:eastAsia="宋体"/>
                      <w:color w:val="000000" w:themeColor="text1"/>
                      <w:szCs w:val="21"/>
                      <w14:textFill>
                        <w14:solidFill>
                          <w14:schemeClr w14:val="tx1"/>
                        </w14:solidFill>
                      </w14:textFill>
                    </w:rPr>
                    <w:t>暂存</w:t>
                  </w:r>
                  <w:r>
                    <w:rPr>
                      <w:rFonts w:hint="eastAsia" w:eastAsia="宋体"/>
                      <w:color w:val="000000" w:themeColor="text1"/>
                      <w:szCs w:val="21"/>
                      <w14:textFill>
                        <w14:solidFill>
                          <w14:schemeClr w14:val="tx1"/>
                        </w14:solidFill>
                      </w14:textFill>
                    </w:rPr>
                    <w:t>间</w:t>
                  </w:r>
                  <w:r>
                    <w:rPr>
                      <w:rFonts w:hint="eastAsia"/>
                      <w:color w:val="000000" w:themeColor="text1"/>
                      <w:szCs w:val="21"/>
                      <w:lang w:eastAsia="zh-CN"/>
                      <w14:textFill>
                        <w14:solidFill>
                          <w14:schemeClr w14:val="tx1"/>
                        </w14:solidFill>
                      </w14:textFill>
                    </w:rPr>
                    <w:t>。</w:t>
                  </w:r>
                </w:p>
              </w:tc>
              <w:tc>
                <w:tcPr>
                  <w:tcW w:w="975"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i w:val="0"/>
                      <w:color w:val="000000" w:themeColor="text1"/>
                      <w:kern w:val="0"/>
                      <w:sz w:val="21"/>
                      <w:szCs w:val="21"/>
                      <w:u w:val="none"/>
                      <w:lang w:val="en-US" w:eastAsia="zh-CN" w:bidi="ar"/>
                      <w14:textFill>
                        <w14:solidFill>
                          <w14:schemeClr w14:val="tx1"/>
                        </w14:solidFill>
                      </w14:textFill>
                    </w:rPr>
                  </w:pPr>
                  <w:r>
                    <w:rPr>
                      <w:rFonts w:hint="eastAsia" w:eastAsia="宋体" w:cs="Times New Roman"/>
                      <w:b w:val="0"/>
                      <w:bCs w:val="0"/>
                      <w:i w:val="0"/>
                      <w:color w:val="000000" w:themeColor="text1"/>
                      <w:kern w:val="0"/>
                      <w:sz w:val="21"/>
                      <w:szCs w:val="21"/>
                      <w:u w:val="none"/>
                      <w:lang w:val="en-US" w:eastAsia="zh-CN" w:bidi="ar"/>
                      <w14:textFill>
                        <w14:solidFill>
                          <w14:schemeClr w14:val="tx1"/>
                        </w14:solidFill>
                      </w14:textFill>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55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lang w:val="en-GB" w:eastAsia="zh-CN"/>
                      <w14:textFill>
                        <w14:solidFill>
                          <w14:schemeClr w14:val="tx1"/>
                        </w14:solidFill>
                      </w14:textFill>
                    </w:rPr>
                  </w:pPr>
                </w:p>
              </w:tc>
              <w:tc>
                <w:tcPr>
                  <w:tcW w:w="3472"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其他管理要求</w:t>
                  </w:r>
                </w:p>
              </w:tc>
              <w:tc>
                <w:tcPr>
                  <w:tcW w:w="975"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i w:val="0"/>
                      <w:color w:val="000000" w:themeColor="text1"/>
                      <w:kern w:val="0"/>
                      <w:sz w:val="21"/>
                      <w:szCs w:val="21"/>
                      <w:u w:val="none"/>
                      <w:lang w:val="en-US" w:eastAsia="zh-CN" w:bidi="ar"/>
                      <w14:textFill>
                        <w14:solidFill>
                          <w14:schemeClr w14:val="tx1"/>
                        </w14:solidFill>
                      </w14:textFill>
                    </w:rPr>
                  </w:pPr>
                  <w:r>
                    <w:rPr>
                      <w:rFonts w:hint="eastAsia" w:cs="Times New Roman"/>
                      <w:b w:val="0"/>
                      <w:bCs w:val="0"/>
                      <w:i w:val="0"/>
                      <w:color w:val="000000" w:themeColor="text1"/>
                      <w:kern w:val="0"/>
                      <w:sz w:val="21"/>
                      <w:szCs w:val="21"/>
                      <w:u w:val="none"/>
                      <w:lang w:val="en-US" w:eastAsia="zh-CN" w:bidi="ar"/>
                      <w14:textFill>
                        <w14:solidFill>
                          <w14:schemeClr w14:val="tx1"/>
                        </w14:solidFill>
                      </w14:textFill>
                    </w:rPr>
                    <w:t>2.5</w:t>
                  </w:r>
                </w:p>
              </w:tc>
            </w:tr>
            <w:bookmarkEnd w:id="5"/>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4024"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lang w:val="en-GB"/>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GB"/>
                      <w14:textFill>
                        <w14:solidFill>
                          <w14:schemeClr w14:val="tx1"/>
                        </w14:solidFill>
                      </w14:textFill>
                    </w:rPr>
                    <w:t>合计</w:t>
                  </w:r>
                </w:p>
              </w:tc>
              <w:tc>
                <w:tcPr>
                  <w:tcW w:w="97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91.5</w:t>
                  </w:r>
                </w:p>
              </w:tc>
            </w:tr>
          </w:tbl>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cs="Times New Roman"/>
                <w:bCs/>
                <w:color w:val="000000" w:themeColor="text1"/>
                <w:spacing w:val="10"/>
                <w:szCs w:val="21"/>
                <w:lang w:eastAsia="zh-CN"/>
                <w14:textFill>
                  <w14:solidFill>
                    <w14:schemeClr w14:val="tx1"/>
                  </w14:solidFill>
                </w14:textFill>
              </w:rPr>
            </w:pPr>
          </w:p>
          <w:p>
            <w:pPr>
              <w:adjustRightInd w:val="0"/>
              <w:snapToGrid w:val="0"/>
              <w:rPr>
                <w:rFonts w:hint="eastAsia" w:ascii="Times New Roman" w:hAnsi="Times New Roman" w:eastAsia="宋体" w:cs="Times New Roman"/>
                <w:bCs/>
                <w:color w:val="000000" w:themeColor="text1"/>
                <w:spacing w:val="10"/>
                <w:szCs w:val="21"/>
                <w:lang w:eastAsia="zh-CN"/>
                <w14:textFill>
                  <w14:solidFill>
                    <w14:schemeClr w14:val="tx1"/>
                  </w14:solidFill>
                </w14:textFill>
              </w:rPr>
            </w:pPr>
          </w:p>
        </w:tc>
      </w:tr>
    </w:tbl>
    <w:p>
      <w:pPr>
        <w:rPr>
          <w:color w:val="000000" w:themeColor="text1"/>
          <w14:textFill>
            <w14:solidFill>
              <w14:schemeClr w14:val="tx1"/>
            </w14:solidFill>
          </w14:textFill>
        </w:rPr>
        <w:sectPr>
          <w:pgSz w:w="11907" w:h="16840"/>
          <w:pgMar w:top="1440" w:right="1797" w:bottom="1440" w:left="1797" w:header="851" w:footer="1077" w:gutter="0"/>
          <w:pgBorders>
            <w:top w:val="none" w:sz="0" w:space="0"/>
            <w:left w:val="none" w:sz="0" w:space="0"/>
            <w:bottom w:val="none" w:sz="0" w:space="0"/>
            <w:right w:val="none" w:sz="0" w:space="0"/>
          </w:pgBorders>
          <w:pgNumType w:fmt="numberInDash"/>
          <w:cols w:space="425" w:num="1"/>
          <w:docGrid w:linePitch="312" w:charSpace="0"/>
        </w:sectPr>
      </w:pPr>
    </w:p>
    <w:p>
      <w:pPr>
        <w:pStyle w:val="19"/>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宋体"/>
          <w:snapToGrid w:val="0"/>
          <w:color w:val="000000" w:themeColor="text1"/>
          <w:sz w:val="30"/>
          <w:szCs w:val="30"/>
          <w14:textFill>
            <w14:solidFill>
              <w14:schemeClr w14:val="tx1"/>
            </w14:solidFill>
          </w14:textFill>
        </w:rPr>
        <w:t>六、生态环境保护措施监督检查清单</w:t>
      </w:r>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4245"/>
        <w:gridCol w:w="1686"/>
        <w:gridCol w:w="808"/>
        <w:gridCol w:w="7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22" w:type="pct"/>
            <w:vMerge w:val="restart"/>
            <w:tcBorders>
              <w:top w:val="single" w:color="auto" w:sz="4" w:space="0"/>
              <w:left w:val="single" w:color="auto" w:sz="4" w:space="0"/>
              <w:bottom w:val="single" w:color="auto" w:sz="4" w:space="0"/>
              <w:right w:val="single" w:color="auto" w:sz="4" w:space="0"/>
              <w:tl2br w:val="single" w:color="auto" w:sz="4" w:space="0"/>
            </w:tcBorders>
          </w:tcPr>
          <w:p>
            <w:pPr>
              <w:pStyle w:val="19"/>
              <w:adjustRightInd w:val="0"/>
              <w:snapToGrid w:val="0"/>
              <w:spacing w:beforeLines="30" w:beforeAutospacing="0" w:after="0" w:afterAutospacing="0"/>
              <w:jc w:val="center"/>
              <w:outlineLvl w:val="0"/>
              <w:rPr>
                <w:rFonts w:hint="default" w:ascii="Times New Roman" w:hAnsi="Times New Roman" w:eastAsia="黑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 xml:space="preserve">    内容</w:t>
            </w:r>
          </w:p>
          <w:p>
            <w:pPr>
              <w:pStyle w:val="19"/>
              <w:adjustRightInd w:val="0"/>
              <w:snapToGrid w:val="0"/>
              <w:spacing w:before="0" w:beforeAutospacing="0" w:after="0" w:afterAutospacing="0" w:line="14" w:lineRule="auto"/>
              <w:outlineLvl w:val="0"/>
              <w:rPr>
                <w:rFonts w:hint="default" w:ascii="Times New Roman" w:hAnsi="Times New Roman" w:eastAsia="黑体" w:cs="Times New Roman"/>
                <w:color w:val="000000" w:themeColor="text1"/>
                <w:kern w:val="2"/>
                <w:sz w:val="135"/>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 xml:space="preserve"> </w:t>
            </w:r>
            <w:r>
              <w:rPr>
                <w:rFonts w:hint="default" w:ascii="Times New Roman" w:hAnsi="Times New Roman" w:eastAsia="宋体" w:cs="Times New Roman"/>
                <w:color w:val="000000" w:themeColor="text1"/>
                <w:kern w:val="2"/>
                <w:sz w:val="135"/>
                <w:szCs w:val="21"/>
                <w14:textFill>
                  <w14:solidFill>
                    <w14:schemeClr w14:val="tx1"/>
                  </w14:solidFill>
                </w14:textFill>
              </w:rPr>
              <w:t xml:space="preserve"> </w:t>
            </w:r>
          </w:p>
          <w:p>
            <w:pPr>
              <w:pStyle w:val="19"/>
              <w:adjustRightInd w:val="0"/>
              <w:snapToGrid w:val="0"/>
              <w:spacing w:before="0" w:beforeAutospacing="0" w:after="0" w:afterAutospacing="0"/>
              <w:outlineLvl w:val="0"/>
              <w:rPr>
                <w:rFonts w:hint="default" w:ascii="Times New Roman" w:hAnsi="Times New Roman" w:eastAsia="黑体" w:cs="Times New Roman"/>
                <w:color w:val="000000" w:themeColor="text1"/>
                <w:kern w:val="2"/>
                <w:sz w:val="21"/>
                <w:szCs w:val="21"/>
                <w14:textFill>
                  <w14:solidFill>
                    <w14:schemeClr w14:val="tx1"/>
                  </w14:solidFill>
                </w14:textFill>
              </w:rPr>
            </w:pPr>
          </w:p>
          <w:p>
            <w:pPr>
              <w:pStyle w:val="19"/>
              <w:adjustRightInd w:val="0"/>
              <w:snapToGrid w:val="0"/>
              <w:spacing w:before="0" w:beforeAutospacing="0" w:after="0" w:afterAutospacing="0"/>
              <w:outlineLvl w:val="0"/>
              <w:rPr>
                <w:rFonts w:hint="default" w:ascii="Times New Roman" w:hAnsi="Times New Roman" w:eastAsia="黑体" w:cs="Times New Roman"/>
                <w:color w:val="000000" w:themeColor="text1"/>
                <w:kern w:val="2"/>
                <w:sz w:val="21"/>
                <w:szCs w:val="21"/>
                <w14:textFill>
                  <w14:solidFill>
                    <w14:schemeClr w14:val="tx1"/>
                  </w14:solidFill>
                </w14:textFill>
              </w:rPr>
            </w:pPr>
          </w:p>
          <w:p>
            <w:pPr>
              <w:pStyle w:val="19"/>
              <w:adjustRightInd w:val="0"/>
              <w:snapToGrid w:val="0"/>
              <w:spacing w:before="0" w:beforeAutospacing="0" w:after="0" w:afterAutospacing="0"/>
              <w:outlineLvl w:val="0"/>
              <w:rPr>
                <w:rFonts w:hint="default" w:ascii="Times New Roman" w:hAnsi="Times New Roman" w:eastAsia="黑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要素</w:t>
            </w:r>
          </w:p>
        </w:tc>
        <w:tc>
          <w:tcPr>
            <w:tcW w:w="3479" w:type="pct"/>
            <w:gridSpan w:val="2"/>
            <w:tcBorders>
              <w:left w:val="single" w:color="auto" w:sz="4" w:space="0"/>
            </w:tcBorders>
            <w:vAlign w:val="center"/>
          </w:tcPr>
          <w:p>
            <w:pPr>
              <w:pStyle w:val="19"/>
              <w:adjustRightInd w:val="0"/>
              <w:snapToGrid w:val="0"/>
              <w:spacing w:before="0" w:beforeAutospacing="0" w:after="0" w:afterAutospacing="0"/>
              <w:jc w:val="center"/>
              <w:outlineLvl w:val="0"/>
              <w:rPr>
                <w:rFonts w:hint="default" w:ascii="Times New Roman" w:hAnsi="Times New Roman" w:eastAsia="黑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施工期</w:t>
            </w:r>
          </w:p>
        </w:tc>
        <w:tc>
          <w:tcPr>
            <w:tcW w:w="897" w:type="pct"/>
            <w:gridSpan w:val="2"/>
            <w:vAlign w:val="center"/>
          </w:tcPr>
          <w:p>
            <w:pPr>
              <w:pStyle w:val="19"/>
              <w:adjustRightInd w:val="0"/>
              <w:snapToGrid w:val="0"/>
              <w:spacing w:before="0" w:beforeAutospacing="0" w:after="0" w:afterAutospacing="0"/>
              <w:jc w:val="center"/>
              <w:outlineLvl w:val="0"/>
              <w:rPr>
                <w:rFonts w:hint="default" w:ascii="Times New Roman" w:hAnsi="Times New Roman" w:eastAsia="黑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22" w:type="pct"/>
            <w:vMerge w:val="continue"/>
            <w:tcBorders>
              <w:top w:val="single" w:color="auto" w:sz="4" w:space="0"/>
              <w:left w:val="single" w:color="auto" w:sz="4" w:space="0"/>
              <w:bottom w:val="single" w:color="auto" w:sz="4" w:space="0"/>
              <w:right w:val="single" w:color="auto" w:sz="4" w:space="0"/>
            </w:tcBorders>
          </w:tcPr>
          <w:p>
            <w:pPr>
              <w:pStyle w:val="19"/>
              <w:adjustRightInd w:val="0"/>
              <w:snapToGrid w:val="0"/>
              <w:spacing w:before="0" w:beforeAutospacing="0" w:after="0" w:afterAutospacing="0"/>
              <w:ind w:firstLine="840"/>
              <w:jc w:val="center"/>
              <w:outlineLvl w:val="0"/>
              <w:rPr>
                <w:rFonts w:hint="default" w:ascii="Times New Roman" w:hAnsi="Times New Roman" w:eastAsia="黑体" w:cs="Times New Roman"/>
                <w:color w:val="000000" w:themeColor="text1"/>
                <w:kern w:val="2"/>
                <w:sz w:val="21"/>
                <w:szCs w:val="21"/>
                <w14:textFill>
                  <w14:solidFill>
                    <w14:schemeClr w14:val="tx1"/>
                  </w14:solidFill>
                </w14:textFill>
              </w:rPr>
            </w:pPr>
          </w:p>
        </w:tc>
        <w:tc>
          <w:tcPr>
            <w:tcW w:w="2490" w:type="pct"/>
            <w:tcBorders>
              <w:left w:val="single" w:color="auto" w:sz="4" w:space="0"/>
            </w:tcBorders>
            <w:vAlign w:val="center"/>
          </w:tcPr>
          <w:p>
            <w:pPr>
              <w:pStyle w:val="19"/>
              <w:adjustRightInd w:val="0"/>
              <w:snapToGrid w:val="0"/>
              <w:spacing w:before="0" w:beforeAutospacing="0" w:after="0" w:afterAutospacing="0"/>
              <w:jc w:val="center"/>
              <w:outlineLvl w:val="0"/>
              <w:rPr>
                <w:rFonts w:hint="default" w:ascii="Times New Roman" w:hAnsi="Times New Roman" w:eastAsia="黑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环境保护措施</w:t>
            </w:r>
          </w:p>
        </w:tc>
        <w:tc>
          <w:tcPr>
            <w:tcW w:w="989" w:type="pct"/>
            <w:vAlign w:val="center"/>
          </w:tcPr>
          <w:p>
            <w:pPr>
              <w:pStyle w:val="19"/>
              <w:adjustRightInd w:val="0"/>
              <w:snapToGrid w:val="0"/>
              <w:spacing w:before="0" w:beforeAutospacing="0" w:after="0" w:afterAutospacing="0"/>
              <w:jc w:val="center"/>
              <w:outlineLvl w:val="0"/>
              <w:rPr>
                <w:rFonts w:hint="default" w:ascii="Times New Roman" w:hAnsi="Times New Roman" w:eastAsia="黑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验收要求</w:t>
            </w:r>
          </w:p>
        </w:tc>
        <w:tc>
          <w:tcPr>
            <w:tcW w:w="474" w:type="pct"/>
            <w:vAlign w:val="center"/>
          </w:tcPr>
          <w:p>
            <w:pPr>
              <w:pStyle w:val="19"/>
              <w:adjustRightInd w:val="0"/>
              <w:snapToGrid w:val="0"/>
              <w:spacing w:before="0" w:beforeAutospacing="0" w:after="0" w:afterAutospacing="0"/>
              <w:jc w:val="center"/>
              <w:outlineLvl w:val="0"/>
              <w:rPr>
                <w:rFonts w:hint="default" w:ascii="Times New Roman" w:hAnsi="Times New Roman" w:eastAsia="黑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环境保护措施</w:t>
            </w:r>
          </w:p>
        </w:tc>
        <w:tc>
          <w:tcPr>
            <w:tcW w:w="423" w:type="pct"/>
            <w:vAlign w:val="center"/>
          </w:tcPr>
          <w:p>
            <w:pPr>
              <w:pStyle w:val="19"/>
              <w:adjustRightInd w:val="0"/>
              <w:snapToGrid w:val="0"/>
              <w:spacing w:before="0" w:beforeAutospacing="0" w:after="0" w:afterAutospacing="0"/>
              <w:jc w:val="center"/>
              <w:outlineLvl w:val="0"/>
              <w:rPr>
                <w:rFonts w:hint="default" w:ascii="Times New Roman" w:hAnsi="Times New Roman" w:eastAsia="黑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验收</w:t>
            </w:r>
          </w:p>
          <w:p>
            <w:pPr>
              <w:pStyle w:val="19"/>
              <w:adjustRightInd w:val="0"/>
              <w:snapToGrid w:val="0"/>
              <w:spacing w:before="0" w:beforeAutospacing="0" w:after="0" w:afterAutospacing="0"/>
              <w:jc w:val="center"/>
              <w:outlineLvl w:val="0"/>
              <w:rPr>
                <w:rFonts w:hint="default" w:ascii="Times New Roman" w:hAnsi="Times New Roman" w:eastAsia="黑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22" w:type="pct"/>
            <w:tcBorders>
              <w:top w:val="single" w:color="auto" w:sz="4" w:space="0"/>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陆生生态</w:t>
            </w:r>
          </w:p>
        </w:tc>
        <w:tc>
          <w:tcPr>
            <w:tcW w:w="2490" w:type="pct"/>
            <w:vAlign w:val="center"/>
          </w:tcPr>
          <w:p>
            <w:pPr>
              <w:adjustRightInd w:val="0"/>
              <w:snapToGrid w:val="0"/>
              <w:jc w:val="left"/>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w:t>
            </w:r>
            <w:r>
              <w:rPr>
                <w:rFonts w:hint="default" w:ascii="Times New Roman" w:hAnsi="Times New Roman" w:eastAsia="宋体" w:cs="Times New Roman"/>
                <w:color w:val="000000" w:themeColor="text1"/>
                <w:szCs w:val="21"/>
                <w14:textFill>
                  <w14:solidFill>
                    <w14:schemeClr w14:val="tx1"/>
                  </w14:solidFill>
                </w14:textFill>
              </w:rPr>
              <w:t>施工前，建设单位应根据相关法律法规规定，认真落实有关占地手续及土地复垦和植被重建恢复费用。</w:t>
            </w:r>
          </w:p>
          <w:p>
            <w:pPr>
              <w:adjustRightInd w:val="0"/>
              <w:snapToGrid w:val="0"/>
              <w:jc w:val="left"/>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施工期间应加强对施工人员的教育，施工结束后临时占地及时</w:t>
            </w:r>
            <w:r>
              <w:rPr>
                <w:rFonts w:hint="eastAsia" w:ascii="Times New Roman" w:hAnsi="Times New Roman" w:eastAsia="宋体" w:cs="Times New Roman"/>
                <w:color w:val="000000" w:themeColor="text1"/>
                <w:szCs w:val="21"/>
                <w:lang w:val="en-US" w:eastAsia="zh-CN"/>
                <w14:textFill>
                  <w14:solidFill>
                    <w14:schemeClr w14:val="tx1"/>
                  </w14:solidFill>
                </w14:textFill>
              </w:rPr>
              <w:t>恢复</w:t>
            </w:r>
            <w:r>
              <w:rPr>
                <w:rFonts w:hint="default" w:ascii="Times New Roman" w:hAnsi="Times New Roman" w:eastAsia="宋体" w:cs="Times New Roman"/>
                <w:color w:val="000000" w:themeColor="text1"/>
                <w:szCs w:val="21"/>
                <w14:textFill>
                  <w14:solidFill>
                    <w14:schemeClr w14:val="tx1"/>
                  </w14:solidFill>
                </w14:textFill>
              </w:rPr>
              <w:t>植被。</w:t>
            </w:r>
          </w:p>
          <w:p>
            <w:pPr>
              <w:adjustRightInd w:val="0"/>
              <w:snapToGrid w:val="0"/>
              <w:jc w:val="left"/>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3）预防</w:t>
            </w:r>
            <w:r>
              <w:rPr>
                <w:rFonts w:hint="default" w:ascii="Times New Roman" w:hAnsi="Times New Roman" w:eastAsia="宋体" w:cs="Times New Roman"/>
                <w:color w:val="000000" w:themeColor="text1"/>
                <w:szCs w:val="21"/>
                <w14:textFill>
                  <w14:solidFill>
                    <w14:schemeClr w14:val="tx1"/>
                  </w14:solidFill>
                </w14:textFill>
              </w:rPr>
              <w:t>水土流失环境保护措施</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①工程施工过程中做到尽量减少破坏地表植被，尽量减少对原生地貌的扰动；②在工程设计上力求做到“挖填平衡”，产生的弃土、弃渣应首先利用作为填方，使竣工后的弃土量达最小值，弃土可原地进行回填整平并覆土，恢复植被；③严格按照工程设计及施工进度计划进行施工，并按工程关键部位、施工工艺、施工方法分步骤进行施工。工程开工后，应严格按照施工规范及组织计划所确定的顺序进行施工，边坡开挖后，应立即进行坡度处理，减少地表裸露时间，从而减少水土流失，减小或避免工程施工对周围环境的影响；④对大面积的开挖面和填筑面在施工过程中应采用洒水压尘，以减少尘土的飞扬；⑤尽量避开在大风和雨天条件下施工。减少施工过程中的水土流失。</w:t>
            </w:r>
          </w:p>
          <w:p>
            <w:pPr>
              <w:adjustRightInd w:val="0"/>
              <w:snapToGrid w:val="0"/>
              <w:jc w:val="left"/>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w:t>
            </w:r>
            <w:r>
              <w:rPr>
                <w:rFonts w:hint="default" w:ascii="Times New Roman" w:hAnsi="Times New Roman" w:eastAsia="宋体" w:cs="Times New Roman"/>
                <w:color w:val="000000" w:themeColor="text1"/>
                <w:szCs w:val="21"/>
                <w14:textFill>
                  <w14:solidFill>
                    <w14:schemeClr w14:val="tx1"/>
                  </w14:solidFill>
                </w14:textFill>
              </w:rPr>
              <w:t>管线施工采取即挖即填的方式，产生及时外运，并对挖填场地进行及时清理、以及生态恢复。</w:t>
            </w:r>
          </w:p>
          <w:p>
            <w:pPr>
              <w:adjustRightInd w:val="0"/>
              <w:snapToGrid w:val="0"/>
              <w:jc w:val="left"/>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w:t>
            </w:r>
            <w:r>
              <w:rPr>
                <w:rFonts w:hint="default" w:ascii="Times New Roman" w:hAnsi="Times New Roman" w:eastAsia="宋体" w:cs="Times New Roman"/>
                <w:color w:val="000000" w:themeColor="text1"/>
                <w:szCs w:val="21"/>
                <w14:textFill>
                  <w14:solidFill>
                    <w14:schemeClr w14:val="tx1"/>
                  </w14:solidFill>
                </w14:textFill>
              </w:rPr>
              <w:t>加强工程环境管理，防止污染事故的发生；加强对水源地水质的实时监控，掌握水质动态，及时采取相应的保护措施和应急措施；建立事故应急预案，一旦发生事故进行应急处理，对事故污水进行必要处置。</w:t>
            </w:r>
          </w:p>
          <w:p>
            <w:pPr>
              <w:adjustRightInd w:val="0"/>
              <w:snapToGrid w:val="0"/>
              <w:jc w:val="left"/>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6）</w:t>
            </w:r>
            <w:r>
              <w:rPr>
                <w:rFonts w:hint="default" w:ascii="Times New Roman" w:hAnsi="Times New Roman" w:eastAsia="宋体" w:cs="Times New Roman"/>
                <w:color w:val="000000" w:themeColor="text1"/>
                <w:szCs w:val="21"/>
                <w14:textFill>
                  <w14:solidFill>
                    <w14:schemeClr w14:val="tx1"/>
                  </w14:solidFill>
                </w14:textFill>
              </w:rPr>
              <w:t>建立水质预警系统及机制，一旦发生重大污染事故，导致水质严重恶化，应采取紧急应对措施，以保证水厂的正常供水。</w:t>
            </w:r>
          </w:p>
        </w:tc>
        <w:tc>
          <w:tcPr>
            <w:tcW w:w="989" w:type="pct"/>
            <w:vAlign w:val="center"/>
          </w:tcPr>
          <w:p>
            <w:pPr>
              <w:adjustRightInd w:val="0"/>
              <w:snapToGrid w:val="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建设单位根据环境影响报告表及批复的要求，对实际影响区域落实了各项生态保护与恢复措施，不存在临时占地未恢复的情况，在用地范围外区域有较好的植被，施工期临时占地影响已消除。</w:t>
            </w:r>
          </w:p>
        </w:tc>
        <w:tc>
          <w:tcPr>
            <w:tcW w:w="474"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423"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22"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水生生态</w:t>
            </w:r>
          </w:p>
        </w:tc>
        <w:tc>
          <w:tcPr>
            <w:tcW w:w="2490"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989"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474"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423"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22" w:type="pct"/>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地表水</w:t>
            </w:r>
          </w:p>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环境</w:t>
            </w:r>
          </w:p>
        </w:tc>
        <w:tc>
          <w:tcPr>
            <w:tcW w:w="2490" w:type="pct"/>
            <w:vAlign w:val="center"/>
          </w:tcPr>
          <w:p>
            <w:pPr>
              <w:adjustRightInd w:val="0"/>
              <w:snapToGrid w:val="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①</w:t>
            </w:r>
            <w:r>
              <w:rPr>
                <w:rFonts w:hint="default" w:ascii="Times New Roman" w:hAnsi="Times New Roman" w:eastAsia="宋体" w:cs="Times New Roman"/>
                <w:color w:val="000000" w:themeColor="text1"/>
                <w:szCs w:val="21"/>
                <w:lang w:eastAsia="zh-CN"/>
                <w14:textFill>
                  <w14:solidFill>
                    <w14:schemeClr w14:val="tx1"/>
                  </w14:solidFill>
                </w14:textFill>
              </w:rPr>
              <w:t>施工人员住宿及办公采用租用当地民房的方式</w:t>
            </w:r>
            <w:r>
              <w:rPr>
                <w:rFonts w:hint="eastAsia" w:ascii="Times New Roman" w:hAnsi="Times New Roman" w:eastAsia="宋体" w:cs="Times New Roman"/>
                <w:color w:val="000000" w:themeColor="text1"/>
                <w:szCs w:val="21"/>
                <w14:textFill>
                  <w14:solidFill>
                    <w14:schemeClr w14:val="tx1"/>
                  </w14:solidFill>
                </w14:textFill>
              </w:rPr>
              <w:t>，生活污水</w:t>
            </w:r>
            <w:r>
              <w:rPr>
                <w:rFonts w:hint="default" w:ascii="Times New Roman" w:hAnsi="Times New Roman" w:eastAsia="宋体" w:cs="Times New Roman"/>
                <w:color w:val="000000" w:themeColor="text1"/>
                <w:szCs w:val="21"/>
                <w14:textFill>
                  <w14:solidFill>
                    <w14:schemeClr w14:val="tx1"/>
                  </w14:solidFill>
                </w14:textFill>
              </w:rPr>
              <w:t>依托</w:t>
            </w:r>
            <w:r>
              <w:rPr>
                <w:rFonts w:hint="eastAsia" w:ascii="Times New Roman" w:hAnsi="Times New Roman" w:eastAsia="宋体" w:cs="Times New Roman"/>
                <w:color w:val="000000" w:themeColor="text1"/>
                <w:szCs w:val="21"/>
                <w14:textFill>
                  <w14:solidFill>
                    <w14:schemeClr w14:val="tx1"/>
                  </w14:solidFill>
                </w14:textFill>
              </w:rPr>
              <w:t>现有处理设施处理</w:t>
            </w:r>
            <w:r>
              <w:rPr>
                <w:rFonts w:hint="default" w:ascii="Times New Roman" w:hAnsi="Times New Roman" w:eastAsia="宋体" w:cs="Times New Roman"/>
                <w:color w:val="000000" w:themeColor="text1"/>
                <w:szCs w:val="21"/>
                <w14:textFill>
                  <w14:solidFill>
                    <w14:schemeClr w14:val="tx1"/>
                  </w14:solidFill>
                </w14:textFill>
              </w:rPr>
              <w:t>。</w:t>
            </w:r>
          </w:p>
          <w:p>
            <w:pPr>
              <w:adjustRightInd w:val="0"/>
              <w:snapToGrid w:val="0"/>
              <w:jc w:val="both"/>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②施工场地面灰尘量大，下游出水口处设置沉淀池，初期雨水经沉淀池初步沉淀后回用</w:t>
            </w:r>
            <w:r>
              <w:rPr>
                <w:rFonts w:hint="default" w:ascii="Times New Roman" w:hAnsi="Times New Roman" w:eastAsia="宋体" w:cs="Times New Roman"/>
                <w:color w:val="000000" w:themeColor="text1"/>
                <w:szCs w:val="21"/>
                <w:lang w:val="en-US" w:eastAsia="zh-CN"/>
                <w14:textFill>
                  <w14:solidFill>
                    <w14:schemeClr w14:val="tx1"/>
                  </w14:solidFill>
                </w14:textFill>
              </w:rPr>
              <w:t>。</w:t>
            </w:r>
          </w:p>
          <w:p>
            <w:pPr>
              <w:adjustRightInd w:val="0"/>
              <w:snapToGrid w:val="0"/>
              <w:jc w:val="both"/>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③</w:t>
            </w:r>
            <w:r>
              <w:rPr>
                <w:rFonts w:hint="default" w:ascii="Times New Roman" w:hAnsi="Times New Roman" w:eastAsia="宋体" w:cs="Times New Roman"/>
                <w:color w:val="000000" w:themeColor="text1"/>
                <w:szCs w:val="21"/>
                <w14:textFill>
                  <w14:solidFill>
                    <w14:schemeClr w14:val="tx1"/>
                  </w14:solidFill>
                </w14:textFill>
              </w:rPr>
              <w:t>在施工现场设置临时100m</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的废水沉淀池</w:t>
            </w:r>
            <w:r>
              <w:rPr>
                <w:rFonts w:hint="eastAsia" w:ascii="Times New Roman" w:hAnsi="Times New Roman" w:eastAsia="宋体" w:cs="Times New Roman"/>
                <w:color w:val="000000" w:themeColor="text1"/>
                <w:szCs w:val="21"/>
                <w:lang w:val="en-US" w:eastAsia="zh-CN"/>
                <w14:textFill>
                  <w14:solidFill>
                    <w14:schemeClr w14:val="tx1"/>
                  </w14:solidFill>
                </w14:textFill>
              </w:rPr>
              <w:t>1</w:t>
            </w:r>
            <w:r>
              <w:rPr>
                <w:rFonts w:hint="default" w:ascii="Times New Roman" w:hAnsi="Times New Roman" w:eastAsia="宋体" w:cs="Times New Roman"/>
                <w:color w:val="000000" w:themeColor="text1"/>
                <w:szCs w:val="21"/>
                <w14:textFill>
                  <w14:solidFill>
                    <w14:schemeClr w14:val="tx1"/>
                  </w14:solidFill>
                </w14:textFill>
              </w:rPr>
              <w:t>座，收集施工中所排放的各类废水，废水经沉淀后，仍可作为施工用水的一部分重复使用</w:t>
            </w:r>
            <w:r>
              <w:rPr>
                <w:rFonts w:hint="default" w:ascii="Times New Roman" w:hAnsi="Times New Roman" w:eastAsia="宋体" w:cs="Times New Roman"/>
                <w:color w:val="000000" w:themeColor="text1"/>
                <w:szCs w:val="21"/>
                <w:lang w:val="en-US" w:eastAsia="zh-CN"/>
                <w14:textFill>
                  <w14:solidFill>
                    <w14:schemeClr w14:val="tx1"/>
                  </w14:solidFill>
                </w14:textFill>
              </w:rPr>
              <w:t>土</w:t>
            </w:r>
            <w:r>
              <w:rPr>
                <w:rFonts w:hint="eastAsia" w:ascii="Times New Roman" w:hAnsi="Times New Roman" w:eastAsia="宋体" w:cs="Times New Roman"/>
                <w:color w:val="000000" w:themeColor="text1"/>
                <w:szCs w:val="21"/>
                <w:lang w:val="en-US" w:eastAsia="zh-CN"/>
                <w14:textFill>
                  <w14:solidFill>
                    <w14:schemeClr w14:val="tx1"/>
                  </w14:solidFill>
                </w14:textFill>
              </w:rPr>
              <w:t>。</w:t>
            </w:r>
          </w:p>
          <w:p>
            <w:pPr>
              <w:adjustRightInd w:val="0"/>
              <w:snapToGrid w:val="0"/>
              <w:jc w:val="both"/>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④</w:t>
            </w:r>
            <w:r>
              <w:rPr>
                <w:rFonts w:hint="default" w:ascii="Times New Roman" w:hAnsi="Times New Roman" w:eastAsia="宋体" w:cs="Times New Roman"/>
                <w:color w:val="000000" w:themeColor="text1"/>
                <w:szCs w:val="21"/>
                <w14:textFill>
                  <w14:solidFill>
                    <w14:schemeClr w14:val="tx1"/>
                  </w14:solidFill>
                </w14:textFill>
              </w:rPr>
              <w:t>在施工中应合理安排施工计划、施工程序，协调好各施工步骤，雨季中尽量减少地面开挖，并争取土料随挖、随运、减少裸土的暴露时间，以避免受到降雨的直接冲刷。在项目区以及道路施工场地，争取做到土料随填随压，不留松土</w:t>
            </w:r>
            <w:r>
              <w:rPr>
                <w:rFonts w:hint="eastAsia" w:ascii="Times New Roman" w:hAnsi="Times New Roman" w:eastAsia="宋体" w:cs="Times New Roman"/>
                <w:color w:val="000000" w:themeColor="text1"/>
                <w:szCs w:val="21"/>
                <w:lang w:val="en-US" w:eastAsia="zh-CN"/>
                <w14:textFill>
                  <w14:solidFill>
                    <w14:schemeClr w14:val="tx1"/>
                  </w14:solidFill>
                </w14:textFill>
              </w:rPr>
              <w:t>。</w:t>
            </w:r>
          </w:p>
          <w:p>
            <w:pPr>
              <w:adjustRightInd w:val="0"/>
              <w:snapToGrid w:val="0"/>
              <w:jc w:val="both"/>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⑤</w:t>
            </w:r>
            <w:r>
              <w:rPr>
                <w:rFonts w:hint="default" w:ascii="Times New Roman" w:hAnsi="Times New Roman" w:eastAsia="宋体" w:cs="Times New Roman"/>
                <w:color w:val="000000" w:themeColor="text1"/>
                <w:szCs w:val="21"/>
                <w14:textFill>
                  <w14:solidFill>
                    <w14:schemeClr w14:val="tx1"/>
                  </w14:solidFill>
                </w14:textFill>
              </w:rPr>
              <w:t>在施工现场需要构筑相应的集水沉沙池和排水沟，以收集地表径流和施工过程产生的泥浆水、施工废水，经过沉沙、除渣和隔油等预处理后循环使用</w:t>
            </w:r>
            <w:r>
              <w:rPr>
                <w:rFonts w:hint="eastAsia" w:ascii="Times New Roman" w:hAnsi="Times New Roman" w:eastAsia="宋体" w:cs="Times New Roman"/>
                <w:color w:val="000000" w:themeColor="text1"/>
                <w:szCs w:val="21"/>
                <w:lang w:val="en-US" w:eastAsia="zh-CN"/>
                <w14:textFill>
                  <w14:solidFill>
                    <w14:schemeClr w14:val="tx1"/>
                  </w14:solidFill>
                </w14:textFill>
              </w:rPr>
              <w:t>。</w:t>
            </w:r>
          </w:p>
          <w:p>
            <w:pPr>
              <w:adjustRightInd w:val="0"/>
              <w:snapToGrid w:val="0"/>
              <w:jc w:val="both"/>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⑥</w:t>
            </w:r>
            <w:r>
              <w:rPr>
                <w:rFonts w:hint="default" w:ascii="Times New Roman" w:hAnsi="Times New Roman" w:eastAsia="宋体" w:cs="Times New Roman"/>
                <w:color w:val="000000" w:themeColor="text1"/>
                <w:szCs w:val="21"/>
                <w14:textFill>
                  <w14:solidFill>
                    <w14:schemeClr w14:val="tx1"/>
                  </w14:solidFill>
                </w14:textFill>
              </w:rPr>
              <w:t>管网施工时产生的泥浆水或钻孔桩产生的泥浆必须经浮渣池处理后方可外排，施工污水不得随意排放，不得污染现场及周围环境。在回填土堆放场、施工泥浆产生点应设置临时浮渣池，含泥砂雨水、泥浆水经浮渣池沉淀后排放</w:t>
            </w:r>
            <w:r>
              <w:rPr>
                <w:rFonts w:hint="eastAsia" w:ascii="Times New Roman" w:hAnsi="Times New Roman" w:eastAsia="宋体" w:cs="Times New Roman"/>
                <w:color w:val="000000" w:themeColor="text1"/>
                <w:szCs w:val="21"/>
                <w:lang w:val="en-US" w:eastAsia="zh-CN"/>
                <w14:textFill>
                  <w14:solidFill>
                    <w14:schemeClr w14:val="tx1"/>
                  </w14:solidFill>
                </w14:textFill>
              </w:rPr>
              <w:t>。</w:t>
            </w:r>
          </w:p>
          <w:p>
            <w:pPr>
              <w:adjustRightInd w:val="0"/>
              <w:snapToGrid w:val="0"/>
              <w:jc w:val="both"/>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⑦</w:t>
            </w:r>
            <w:r>
              <w:rPr>
                <w:rFonts w:hint="default" w:ascii="Times New Roman" w:hAnsi="Times New Roman" w:eastAsia="宋体" w:cs="Times New Roman"/>
                <w:color w:val="000000" w:themeColor="text1"/>
                <w:szCs w:val="21"/>
                <w14:textFill>
                  <w14:solidFill>
                    <w14:schemeClr w14:val="tx1"/>
                  </w14:solidFill>
                </w14:textFill>
              </w:rPr>
              <w:t>管网施工期间要注意清扫地面，清理土料、粉尘、渣土等，避免这类物质由于雨水的冲刷而淤塞排水管网和河道</w:t>
            </w:r>
            <w:r>
              <w:rPr>
                <w:rFonts w:hint="eastAsia" w:ascii="Times New Roman" w:hAnsi="Times New Roman" w:eastAsia="宋体" w:cs="Times New Roman"/>
                <w:color w:val="000000" w:themeColor="text1"/>
                <w:szCs w:val="21"/>
                <w:lang w:val="en-US" w:eastAsia="zh-CN"/>
                <w14:textFill>
                  <w14:solidFill>
                    <w14:schemeClr w14:val="tx1"/>
                  </w14:solidFill>
                </w14:textFill>
              </w:rPr>
              <w:t>。</w:t>
            </w:r>
          </w:p>
          <w:p>
            <w:pPr>
              <w:adjustRightInd w:val="0"/>
              <w:snapToGrid w:val="0"/>
              <w:jc w:val="both"/>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⑧向施工人员宣传环保措施，树立保护水体的意识</w:t>
            </w:r>
            <w:r>
              <w:rPr>
                <w:rFonts w:hint="default" w:ascii="Times New Roman" w:hAnsi="Times New Roman" w:eastAsia="宋体" w:cs="Times New Roman"/>
                <w:color w:val="000000" w:themeColor="text1"/>
                <w:szCs w:val="21"/>
                <w14:textFill>
                  <w14:solidFill>
                    <w14:schemeClr w14:val="tx1"/>
                  </w14:solidFill>
                </w14:textFill>
              </w:rPr>
              <w:t>。</w:t>
            </w:r>
          </w:p>
          <w:p>
            <w:pPr>
              <w:adjustRightInd w:val="0"/>
              <w:snapToGrid w:val="0"/>
              <w:jc w:val="both"/>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⑨净水厂采取</w:t>
            </w:r>
            <w:r>
              <w:rPr>
                <w:rFonts w:hint="default" w:ascii="Times New Roman" w:hAnsi="Times New Roman" w:eastAsia="宋体" w:cs="Times New Roman"/>
                <w:color w:val="000000" w:themeColor="text1"/>
                <w:szCs w:val="21"/>
                <w14:textFill>
                  <w14:solidFill>
                    <w14:schemeClr w14:val="tx1"/>
                  </w14:solidFill>
                </w14:textFill>
              </w:rPr>
              <w:t>雨污分流制，雨水经雨水管沟排出厂外；V型滤池的反洗废水</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污泥脱水过程产生的废水经</w:t>
            </w:r>
            <w:r>
              <w:rPr>
                <w:rFonts w:hint="default" w:ascii="Times New Roman" w:hAnsi="Times New Roman" w:eastAsia="宋体" w:cs="Times New Roman"/>
                <w:color w:val="000000" w:themeColor="text1"/>
                <w:szCs w:val="21"/>
                <w14:textFill>
                  <w14:solidFill>
                    <w14:schemeClr w14:val="tx1"/>
                  </w14:solidFill>
                </w14:textFill>
              </w:rPr>
              <w:t>重力排入回收水池，经泵提升至配水井，重新进入系统回收利用</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污泥脱水过程产生的废水返回沉淀、过滤工序处理再利用，不外排</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生活污水</w:t>
            </w:r>
            <w:r>
              <w:rPr>
                <w:rFonts w:hint="eastAsia" w:ascii="Times New Roman" w:hAnsi="Times New Roman" w:eastAsia="宋体" w:cs="Times New Roman"/>
                <w:color w:val="000000" w:themeColor="text1"/>
                <w:szCs w:val="21"/>
                <w:lang w:val="en-US" w:eastAsia="zh-CN"/>
                <w14:textFill>
                  <w14:solidFill>
                    <w14:schemeClr w14:val="tx1"/>
                  </w14:solidFill>
                </w14:textFill>
              </w:rPr>
              <w:t>中食堂含油废水经隔油池处理，与其他生活污水均经</w:t>
            </w:r>
            <w:r>
              <w:rPr>
                <w:rFonts w:hint="default" w:ascii="Times New Roman" w:hAnsi="Times New Roman" w:eastAsia="宋体" w:cs="Times New Roman"/>
                <w:color w:val="000000" w:themeColor="text1"/>
                <w:szCs w:val="21"/>
                <w:lang w:val="en-US" w:eastAsia="zh-CN"/>
                <w14:textFill>
                  <w14:solidFill>
                    <w14:schemeClr w14:val="tx1"/>
                  </w14:solidFill>
                </w14:textFill>
              </w:rPr>
              <w:t>化粪池</w:t>
            </w:r>
            <w:r>
              <w:rPr>
                <w:rFonts w:hint="eastAsia" w:ascii="Times New Roman" w:hAnsi="Times New Roman" w:eastAsia="宋体" w:cs="Times New Roman"/>
                <w:color w:val="000000" w:themeColor="text1"/>
                <w:szCs w:val="21"/>
                <w:lang w:val="en-US" w:eastAsia="zh-CN"/>
                <w14:textFill>
                  <w14:solidFill>
                    <w14:schemeClr w14:val="tx1"/>
                  </w14:solidFill>
                </w14:textFill>
              </w:rPr>
              <w:t>收集后，定期由周边农户清运肥田，不外排</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锅炉排污水</w:t>
            </w:r>
            <w:r>
              <w:rPr>
                <w:rFonts w:hint="default" w:ascii="Times New Roman" w:hAnsi="Times New Roman" w:eastAsia="宋体" w:cs="Times New Roman"/>
                <w:color w:val="000000" w:themeColor="text1"/>
                <w:szCs w:val="21"/>
                <w:lang w:val="en-US" w:eastAsia="zh-CN"/>
                <w14:textFill>
                  <w14:solidFill>
                    <w14:schemeClr w14:val="tx1"/>
                  </w14:solidFill>
                </w14:textFill>
              </w:rPr>
              <w:t>经</w:t>
            </w:r>
            <w:r>
              <w:rPr>
                <w:rFonts w:hint="eastAsia" w:ascii="Times New Roman" w:hAnsi="Times New Roman" w:eastAsia="宋体" w:cs="Times New Roman"/>
                <w:color w:val="000000" w:themeColor="text1"/>
                <w:szCs w:val="21"/>
                <w:lang w:val="en-US" w:eastAsia="zh-CN"/>
                <w14:textFill>
                  <w14:solidFill>
                    <w14:schemeClr w14:val="tx1"/>
                  </w14:solidFill>
                </w14:textFill>
              </w:rPr>
              <w:t>沉淀池处理</w:t>
            </w:r>
            <w:r>
              <w:rPr>
                <w:rFonts w:hint="default" w:ascii="Times New Roman" w:hAnsi="Times New Roman" w:eastAsia="宋体" w:cs="Times New Roman"/>
                <w:color w:val="000000" w:themeColor="text1"/>
                <w:szCs w:val="21"/>
                <w:lang w:val="en-US" w:eastAsia="zh-CN"/>
                <w14:textFill>
                  <w14:solidFill>
                    <w14:schemeClr w14:val="tx1"/>
                  </w14:solidFill>
                </w14:textFill>
              </w:rPr>
              <w:t>达标后</w:t>
            </w:r>
            <w:r>
              <w:rPr>
                <w:rFonts w:hint="eastAsia" w:ascii="Times New Roman" w:hAnsi="Times New Roman" w:eastAsia="宋体" w:cs="Times New Roman"/>
                <w:color w:val="000000" w:themeColor="text1"/>
                <w:szCs w:val="21"/>
                <w:lang w:val="en-US" w:eastAsia="zh-CN"/>
                <w14:textFill>
                  <w14:solidFill>
                    <w14:schemeClr w14:val="tx1"/>
                  </w14:solidFill>
                </w14:textFill>
              </w:rPr>
              <w:t>用于厂区绿化</w:t>
            </w:r>
            <w:r>
              <w:rPr>
                <w:rFonts w:hint="eastAsia" w:ascii="Times New Roman" w:hAnsi="Times New Roman" w:eastAsia="宋体" w:cs="Times New Roman"/>
                <w:color w:val="000000" w:themeColor="text1"/>
                <w:szCs w:val="21"/>
                <w:lang w:eastAsia="zh-CN"/>
                <w14:textFill>
                  <w14:solidFill>
                    <w14:schemeClr w14:val="tx1"/>
                  </w14:solidFill>
                </w14:textFill>
              </w:rPr>
              <w:t>。</w:t>
            </w:r>
          </w:p>
        </w:tc>
        <w:tc>
          <w:tcPr>
            <w:tcW w:w="989"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474"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423"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622"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地下水及土壤环境</w:t>
            </w:r>
          </w:p>
        </w:tc>
        <w:tc>
          <w:tcPr>
            <w:tcW w:w="2490"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989"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474"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423"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22"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声环境</w:t>
            </w:r>
          </w:p>
        </w:tc>
        <w:tc>
          <w:tcPr>
            <w:tcW w:w="2490" w:type="pct"/>
            <w:vAlign w:val="center"/>
          </w:tcPr>
          <w:p>
            <w:pPr>
              <w:adjustRightInd w:val="0"/>
              <w:snapToGrid w:val="0"/>
              <w:rPr>
                <w:rFonts w:hint="default" w:ascii="Times New Roman" w:hAnsi="Times New Roman" w:cs="Times New Roman"/>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采用低噪声设备，合理布局，合理安排施工时间，对施工时段作统筹</w:t>
            </w:r>
            <w:r>
              <w:rPr>
                <w:rFonts w:hint="eastAsia" w:eastAsia="宋体"/>
                <w:color w:val="000000" w:themeColor="text1"/>
                <w:szCs w:val="21"/>
                <w14:textFill>
                  <w14:solidFill>
                    <w14:schemeClr w14:val="tx1"/>
                  </w14:solidFill>
                </w14:textFill>
              </w:rPr>
              <w:t>安排，尽量控制多高噪源同时进行，</w:t>
            </w:r>
            <w:r>
              <w:rPr>
                <w:rFonts w:eastAsia="宋体"/>
                <w:color w:val="000000" w:themeColor="text1"/>
                <w:szCs w:val="21"/>
                <w14:textFill>
                  <w14:solidFill>
                    <w14:schemeClr w14:val="tx1"/>
                  </w14:solidFill>
                </w14:textFill>
              </w:rPr>
              <w:t>设置</w:t>
            </w:r>
            <w:r>
              <w:rPr>
                <w:rFonts w:hint="eastAsia"/>
                <w:color w:val="000000" w:themeColor="text1"/>
                <w:szCs w:val="21"/>
                <w:lang w:val="en-US" w:eastAsia="zh-CN"/>
                <w14:textFill>
                  <w14:solidFill>
                    <w14:schemeClr w14:val="tx1"/>
                  </w14:solidFill>
                </w14:textFill>
              </w:rPr>
              <w:t>临时</w:t>
            </w:r>
            <w:r>
              <w:rPr>
                <w:rFonts w:eastAsia="宋体"/>
                <w:color w:val="000000" w:themeColor="text1"/>
                <w:szCs w:val="21"/>
                <w14:textFill>
                  <w14:solidFill>
                    <w14:schemeClr w14:val="tx1"/>
                  </w14:solidFill>
                </w14:textFill>
              </w:rPr>
              <w:t>隔声屏等措施</w:t>
            </w:r>
            <w:r>
              <w:rPr>
                <w:rFonts w:hint="eastAsia" w:eastAsia="宋体"/>
                <w:color w:val="000000" w:themeColor="text1"/>
                <w:szCs w:val="21"/>
                <w14:textFill>
                  <w14:solidFill>
                    <w14:schemeClr w14:val="tx1"/>
                  </w14:solidFill>
                </w14:textFill>
              </w:rPr>
              <w:t>。</w:t>
            </w:r>
          </w:p>
        </w:tc>
        <w:tc>
          <w:tcPr>
            <w:tcW w:w="989" w:type="pct"/>
            <w:vAlign w:val="center"/>
          </w:tcPr>
          <w:p>
            <w:pPr>
              <w:adjustRightInd w:val="0"/>
              <w:snapToGrid w:val="0"/>
              <w:rPr>
                <w:rFonts w:hint="default" w:ascii="Times New Roman" w:hAnsi="Times New Roman" w:cs="Times New Roman"/>
                <w:color w:val="000000" w:themeColor="text1"/>
                <w:szCs w:val="21"/>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施工期厂界</w:t>
            </w:r>
            <w:r>
              <w:rPr>
                <w:rFonts w:hint="eastAsia" w:eastAsia="宋体"/>
                <w:color w:val="000000" w:themeColor="text1"/>
                <w:szCs w:val="21"/>
                <w14:textFill>
                  <w14:solidFill>
                    <w14:schemeClr w14:val="tx1"/>
                  </w14:solidFill>
                </w14:textFill>
              </w:rPr>
              <w:t>噪声满足</w:t>
            </w:r>
            <w:r>
              <w:rPr>
                <w:rFonts w:eastAsia="宋体"/>
                <w:color w:val="000000" w:themeColor="text1"/>
                <w:szCs w:val="21"/>
                <w14:textFill>
                  <w14:solidFill>
                    <w14:schemeClr w14:val="tx1"/>
                  </w14:solidFill>
                </w14:textFill>
              </w:rPr>
              <w:t>《建筑施工场界环境噪声排放标准》（GB12523-2011）</w:t>
            </w:r>
            <w:r>
              <w:rPr>
                <w:rFonts w:hint="eastAsia" w:eastAsia="宋体"/>
                <w:color w:val="000000" w:themeColor="text1"/>
                <w:szCs w:val="21"/>
                <w14:textFill>
                  <w14:solidFill>
                    <w14:schemeClr w14:val="tx1"/>
                  </w14:solidFill>
                </w14:textFill>
              </w:rPr>
              <w:t>，</w:t>
            </w:r>
            <w:r>
              <w:rPr>
                <w:rFonts w:hint="eastAsia" w:eastAsia="宋体"/>
                <w:color w:val="000000" w:themeColor="text1"/>
                <w:szCs w:val="21"/>
                <w:lang w:val="en-US" w:eastAsia="zh-CN"/>
                <w14:textFill>
                  <w14:solidFill>
                    <w14:schemeClr w14:val="tx1"/>
                  </w14:solidFill>
                </w14:textFill>
              </w:rPr>
              <w:t>营运期各污水处理站厂界噪声和声</w:t>
            </w:r>
            <w:r>
              <w:rPr>
                <w:rFonts w:hint="eastAsia" w:eastAsia="宋体"/>
                <w:color w:val="000000" w:themeColor="text1"/>
                <w:szCs w:val="21"/>
                <w14:textFill>
                  <w14:solidFill>
                    <w14:schemeClr w14:val="tx1"/>
                  </w14:solidFill>
                </w14:textFill>
              </w:rPr>
              <w:t>环境</w:t>
            </w:r>
            <w:r>
              <w:rPr>
                <w:rFonts w:hint="eastAsia" w:eastAsia="宋体"/>
                <w:color w:val="000000" w:themeColor="text1"/>
                <w:szCs w:val="21"/>
                <w:lang w:val="en-US" w:eastAsia="zh-CN"/>
                <w14:textFill>
                  <w14:solidFill>
                    <w14:schemeClr w14:val="tx1"/>
                  </w14:solidFill>
                </w14:textFill>
              </w:rPr>
              <w:t>保护目标处</w:t>
            </w:r>
            <w:r>
              <w:rPr>
                <w:rFonts w:hint="eastAsia" w:eastAsia="宋体"/>
                <w:color w:val="000000" w:themeColor="text1"/>
                <w:szCs w:val="21"/>
                <w14:textFill>
                  <w14:solidFill>
                    <w14:schemeClr w14:val="tx1"/>
                  </w14:solidFill>
                </w14:textFill>
              </w:rPr>
              <w:t>噪声满足</w:t>
            </w:r>
            <w:r>
              <w:rPr>
                <w:rFonts w:eastAsia="宋体"/>
                <w:color w:val="000000" w:themeColor="text1"/>
                <w:szCs w:val="21"/>
                <w14:textFill>
                  <w14:solidFill>
                    <w14:schemeClr w14:val="tx1"/>
                  </w14:solidFill>
                </w14:textFill>
              </w:rPr>
              <w:t>《声环境质量标准》（GB3096-2008）</w:t>
            </w:r>
            <w:r>
              <w:rPr>
                <w:rFonts w:hint="eastAsia" w:eastAsia="宋体"/>
                <w:color w:val="000000" w:themeColor="text1"/>
                <w:szCs w:val="21"/>
                <w14:textFill>
                  <w14:solidFill>
                    <w14:schemeClr w14:val="tx1"/>
                  </w14:solidFill>
                </w14:textFill>
              </w:rPr>
              <w:t>2</w:t>
            </w:r>
            <w:r>
              <w:rPr>
                <w:rFonts w:eastAsia="宋体"/>
                <w:color w:val="000000" w:themeColor="text1"/>
                <w:szCs w:val="21"/>
                <w14:textFill>
                  <w14:solidFill>
                    <w14:schemeClr w14:val="tx1"/>
                  </w14:solidFill>
                </w14:textFill>
              </w:rPr>
              <w:t>类标准</w:t>
            </w:r>
            <w:r>
              <w:rPr>
                <w:rFonts w:hint="eastAsia"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无噪声扰民投诉情况。</w:t>
            </w:r>
          </w:p>
        </w:tc>
        <w:tc>
          <w:tcPr>
            <w:tcW w:w="474" w:type="pct"/>
            <w:vAlign w:val="center"/>
          </w:tcPr>
          <w:p>
            <w:pPr>
              <w:adjustRightInd w:val="0"/>
              <w:snapToGrid w:val="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423" w:type="pct"/>
            <w:vAlign w:val="center"/>
          </w:tcPr>
          <w:p>
            <w:pPr>
              <w:adjustRightInd w:val="0"/>
              <w:snapToGrid w:val="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22"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振动</w:t>
            </w:r>
          </w:p>
        </w:tc>
        <w:tc>
          <w:tcPr>
            <w:tcW w:w="2490"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989"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474"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423"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22"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大气环境</w:t>
            </w:r>
          </w:p>
        </w:tc>
        <w:tc>
          <w:tcPr>
            <w:tcW w:w="2490" w:type="pct"/>
            <w:vAlign w:val="center"/>
          </w:tcPr>
          <w:p>
            <w:pPr>
              <w:adjustRightInd w:val="0"/>
              <w:snapToGrid w:val="0"/>
              <w:rPr>
                <w:rFonts w:hint="default" w:ascii="Times New Roman" w:hAnsi="Times New Roman" w:eastAsia="宋体" w:cs="Times New Roman"/>
                <w:color w:val="000000" w:themeColor="text1"/>
                <w:spacing w:val="-4"/>
                <w:szCs w:val="21"/>
                <w14:textFill>
                  <w14:solidFill>
                    <w14:schemeClr w14:val="tx1"/>
                  </w14:solidFill>
                </w14:textFill>
              </w:rPr>
            </w:pPr>
            <w:r>
              <w:rPr>
                <w:rFonts w:hint="default" w:ascii="Times New Roman" w:hAnsi="Times New Roman" w:eastAsia="宋体" w:cs="Times New Roman"/>
                <w:color w:val="000000" w:themeColor="text1"/>
                <w:spacing w:val="-4"/>
                <w:szCs w:val="21"/>
                <w14:textFill>
                  <w14:solidFill>
                    <w14:schemeClr w14:val="tx1"/>
                  </w14:solidFill>
                </w14:textFill>
              </w:rPr>
              <w:t>①将扬尘污染防治纳入工程监理范围</w:t>
            </w:r>
            <w:r>
              <w:rPr>
                <w:rFonts w:hint="eastAsia" w:ascii="Times New Roman" w:hAnsi="Times New Roman" w:eastAsia="宋体" w:cs="Times New Roman"/>
                <w:color w:val="000000" w:themeColor="text1"/>
                <w:spacing w:val="-4"/>
                <w:szCs w:val="21"/>
                <w:lang w:eastAsia="zh-CN"/>
                <w14:textFill>
                  <w14:solidFill>
                    <w14:schemeClr w14:val="tx1"/>
                  </w14:solidFill>
                </w14:textFill>
              </w:rPr>
              <w:t>，</w:t>
            </w:r>
            <w:r>
              <w:rPr>
                <w:rFonts w:hint="eastAsia" w:ascii="Times New Roman" w:hAnsi="Times New Roman" w:eastAsia="宋体" w:cs="Times New Roman"/>
                <w:color w:val="000000" w:themeColor="text1"/>
                <w:spacing w:val="-4"/>
                <w:szCs w:val="21"/>
                <w:lang w:val="en-US" w:eastAsia="zh-CN"/>
                <w14:textFill>
                  <w14:solidFill>
                    <w14:schemeClr w14:val="tx1"/>
                  </w14:solidFill>
                </w14:textFill>
              </w:rPr>
              <w:t>严格落实6个“100%”要求</w:t>
            </w:r>
            <w:r>
              <w:rPr>
                <w:rFonts w:hint="default" w:ascii="Times New Roman" w:hAnsi="Times New Roman" w:eastAsia="宋体" w:cs="Times New Roman"/>
                <w:color w:val="000000" w:themeColor="text1"/>
                <w:spacing w:val="-4"/>
                <w:szCs w:val="21"/>
                <w14:textFill>
                  <w14:solidFill>
                    <w14:schemeClr w14:val="tx1"/>
                  </w14:solidFill>
                </w14:textFill>
              </w:rPr>
              <w:t>。</w:t>
            </w:r>
          </w:p>
          <w:p>
            <w:pPr>
              <w:adjustRightInd w:val="0"/>
              <w:snapToGrid w:val="0"/>
              <w:rPr>
                <w:rFonts w:hint="default" w:ascii="Times New Roman" w:hAnsi="Times New Roman" w:eastAsia="宋体" w:cs="Times New Roman"/>
                <w:color w:val="000000" w:themeColor="text1"/>
                <w:spacing w:val="-4"/>
                <w:szCs w:val="21"/>
                <w14:textFill>
                  <w14:solidFill>
                    <w14:schemeClr w14:val="tx1"/>
                  </w14:solidFill>
                </w14:textFill>
              </w:rPr>
            </w:pPr>
            <w:r>
              <w:rPr>
                <w:rFonts w:hint="default" w:ascii="Times New Roman" w:hAnsi="Times New Roman" w:eastAsia="宋体" w:cs="Times New Roman"/>
                <w:color w:val="000000" w:themeColor="text1"/>
                <w:spacing w:val="-4"/>
                <w:szCs w:val="21"/>
                <w14:textFill>
                  <w14:solidFill>
                    <w14:schemeClr w14:val="tx1"/>
                  </w14:solidFill>
                </w14:textFill>
              </w:rPr>
              <w:t>②强化施工扬尘监管</w:t>
            </w:r>
            <w:r>
              <w:rPr>
                <w:rFonts w:hint="eastAsia" w:ascii="Times New Roman" w:hAnsi="Times New Roman" w:eastAsia="宋体" w:cs="Times New Roman"/>
                <w:color w:val="000000" w:themeColor="text1"/>
                <w:spacing w:val="-4"/>
                <w:szCs w:val="21"/>
                <w:lang w:eastAsia="zh-CN"/>
                <w14:textFill>
                  <w14:solidFill>
                    <w14:schemeClr w14:val="tx1"/>
                  </w14:solidFill>
                </w14:textFill>
              </w:rPr>
              <w:t>，</w:t>
            </w:r>
            <w:r>
              <w:rPr>
                <w:rFonts w:hint="default" w:ascii="Times New Roman" w:hAnsi="Times New Roman" w:eastAsia="宋体" w:cs="Times New Roman"/>
                <w:color w:val="000000" w:themeColor="text1"/>
                <w:spacing w:val="-4"/>
                <w:szCs w:val="21"/>
                <w14:textFill>
                  <w14:solidFill>
                    <w14:schemeClr w14:val="tx1"/>
                  </w14:solidFill>
                </w14:textFill>
              </w:rPr>
              <w:t>在施工现场出入口设置环境保护牌，公示举报电话、扬尘污染控制措施、建设工地负责人、环保监督员、扬尘监管行政主管部门等有关信息，接受社会监督。</w:t>
            </w:r>
          </w:p>
          <w:p>
            <w:pPr>
              <w:adjustRightInd w:val="0"/>
              <w:snapToGrid w:val="0"/>
              <w:rPr>
                <w:rFonts w:hint="default" w:ascii="Times New Roman" w:hAnsi="Times New Roman" w:eastAsia="宋体" w:cs="Times New Roman"/>
                <w:color w:val="000000" w:themeColor="text1"/>
                <w:spacing w:val="-4"/>
                <w:szCs w:val="21"/>
                <w14:textFill>
                  <w14:solidFill>
                    <w14:schemeClr w14:val="tx1"/>
                  </w14:solidFill>
                </w14:textFill>
              </w:rPr>
            </w:pPr>
            <w:r>
              <w:rPr>
                <w:rFonts w:hint="default" w:ascii="Times New Roman" w:hAnsi="Times New Roman" w:eastAsia="宋体" w:cs="Times New Roman"/>
                <w:color w:val="000000" w:themeColor="text1"/>
                <w:spacing w:val="-4"/>
                <w:szCs w:val="21"/>
                <w14:textFill>
                  <w14:solidFill>
                    <w14:schemeClr w14:val="tx1"/>
                  </w14:solidFill>
                </w14:textFill>
              </w:rPr>
              <w:t>③施工工地周围按照规范设置硬质材料</w:t>
            </w:r>
            <w:r>
              <w:rPr>
                <w:rFonts w:hint="eastAsia" w:ascii="Times New Roman" w:hAnsi="Times New Roman" w:eastAsia="宋体" w:cs="Times New Roman"/>
                <w:color w:val="000000" w:themeColor="text1"/>
                <w:spacing w:val="-4"/>
                <w:szCs w:val="21"/>
                <w:lang w:val="en-US" w:eastAsia="zh-CN"/>
                <w14:textFill>
                  <w14:solidFill>
                    <w14:schemeClr w14:val="tx1"/>
                  </w14:solidFill>
                </w14:textFill>
              </w:rPr>
              <w:t>的连续</w:t>
            </w:r>
            <w:r>
              <w:rPr>
                <w:rFonts w:hint="default" w:ascii="Times New Roman" w:hAnsi="Times New Roman" w:eastAsia="宋体" w:cs="Times New Roman"/>
                <w:color w:val="000000" w:themeColor="text1"/>
                <w:spacing w:val="-4"/>
                <w:szCs w:val="21"/>
                <w14:textFill>
                  <w14:solidFill>
                    <w14:schemeClr w14:val="tx1"/>
                  </w14:solidFill>
                </w14:textFill>
              </w:rPr>
              <w:t>密闭围挡</w:t>
            </w:r>
            <w:r>
              <w:rPr>
                <w:rFonts w:hint="eastAsia" w:ascii="Times New Roman" w:hAnsi="Times New Roman" w:eastAsia="宋体" w:cs="Times New Roman"/>
                <w:color w:val="000000" w:themeColor="text1"/>
                <w:spacing w:val="-4"/>
                <w:szCs w:val="21"/>
                <w:lang w:eastAsia="zh-CN"/>
                <w14:textFill>
                  <w14:solidFill>
                    <w14:schemeClr w14:val="tx1"/>
                  </w14:solidFill>
                </w14:textFill>
              </w:rPr>
              <w:t>，围挡高度不得低于2.5</w:t>
            </w:r>
            <w:r>
              <w:rPr>
                <w:rFonts w:hint="eastAsia" w:ascii="Times New Roman" w:hAnsi="Times New Roman" w:eastAsia="宋体" w:cs="Times New Roman"/>
                <w:color w:val="000000" w:themeColor="text1"/>
                <w:spacing w:val="-4"/>
                <w:szCs w:val="21"/>
                <w:lang w:val="en-US" w:eastAsia="zh-CN"/>
                <w14:textFill>
                  <w14:solidFill>
                    <w14:schemeClr w14:val="tx1"/>
                  </w14:solidFill>
                </w14:textFill>
              </w:rPr>
              <w:t>m</w:t>
            </w:r>
            <w:r>
              <w:rPr>
                <w:rFonts w:hint="default" w:ascii="Times New Roman" w:hAnsi="Times New Roman" w:eastAsia="宋体" w:cs="Times New Roman"/>
                <w:color w:val="000000" w:themeColor="text1"/>
                <w:spacing w:val="-4"/>
                <w:szCs w:val="21"/>
                <w14:textFill>
                  <w14:solidFill>
                    <w14:schemeClr w14:val="tx1"/>
                  </w14:solidFill>
                </w14:textFill>
              </w:rPr>
              <w:t>；</w:t>
            </w:r>
            <w:r>
              <w:rPr>
                <w:rFonts w:hint="eastAsia" w:ascii="Times New Roman" w:hAnsi="Times New Roman" w:eastAsia="宋体" w:cs="Times New Roman"/>
                <w:color w:val="000000" w:themeColor="text1"/>
                <w:spacing w:val="-4"/>
                <w:szCs w:val="21"/>
                <w14:textFill>
                  <w14:solidFill>
                    <w14:schemeClr w14:val="tx1"/>
                  </w14:solidFill>
                </w14:textFill>
              </w:rPr>
              <w:t>施工期间，建筑结构脚手架外侧设置密目式安全立网</w:t>
            </w:r>
            <w:r>
              <w:rPr>
                <w:rFonts w:hint="default" w:ascii="Times New Roman" w:hAnsi="Times New Roman" w:eastAsia="宋体" w:cs="Times New Roman"/>
                <w:color w:val="000000" w:themeColor="text1"/>
                <w:spacing w:val="-4"/>
                <w:szCs w:val="21"/>
                <w14:textFill>
                  <w14:solidFill>
                    <w14:schemeClr w14:val="tx1"/>
                  </w14:solidFill>
                </w14:textFill>
              </w:rPr>
              <w:t>。</w:t>
            </w:r>
          </w:p>
          <w:p>
            <w:pPr>
              <w:adjustRightInd w:val="0"/>
              <w:snapToGrid w:val="0"/>
              <w:rPr>
                <w:rFonts w:hint="default" w:ascii="Times New Roman" w:hAnsi="Times New Roman" w:eastAsia="宋体" w:cs="Times New Roman"/>
                <w:color w:val="000000" w:themeColor="text1"/>
                <w:spacing w:val="-4"/>
                <w:szCs w:val="21"/>
                <w14:textFill>
                  <w14:solidFill>
                    <w14:schemeClr w14:val="tx1"/>
                  </w14:solidFill>
                </w14:textFill>
              </w:rPr>
            </w:pPr>
            <w:r>
              <w:rPr>
                <w:rFonts w:hint="default" w:ascii="Times New Roman" w:hAnsi="Times New Roman" w:eastAsia="宋体" w:cs="Times New Roman"/>
                <w:color w:val="000000" w:themeColor="text1"/>
                <w:spacing w:val="-4"/>
                <w:szCs w:val="21"/>
                <w14:textFill>
                  <w14:solidFill>
                    <w14:schemeClr w14:val="tx1"/>
                  </w14:solidFill>
                </w14:textFill>
              </w:rPr>
              <w:t>④建筑施工工地进出口应当设置车辆清洗设备及配套的排水、泥浆沉淀设施，按规定处置泥浆和废水排放，沉淀池需定期清理。运送建筑物料的车辆驶出工地应当进行冲洗，防止泥水溢流，周边100m以内的道路应当保持清洁，不得存留建筑垃圾和泥土。</w:t>
            </w:r>
          </w:p>
          <w:p>
            <w:pPr>
              <w:adjustRightInd w:val="0"/>
              <w:snapToGrid w:val="0"/>
              <w:rPr>
                <w:rFonts w:hint="default" w:ascii="Times New Roman" w:hAnsi="Times New Roman" w:eastAsia="宋体" w:cs="Times New Roman"/>
                <w:color w:val="000000" w:themeColor="text1"/>
                <w:spacing w:val="-4"/>
                <w:szCs w:val="21"/>
                <w14:textFill>
                  <w14:solidFill>
                    <w14:schemeClr w14:val="tx1"/>
                  </w14:solidFill>
                </w14:textFill>
              </w:rPr>
            </w:pPr>
            <w:r>
              <w:rPr>
                <w:rFonts w:hint="default" w:ascii="Times New Roman" w:hAnsi="Times New Roman" w:eastAsia="宋体" w:cs="Times New Roman"/>
                <w:color w:val="000000" w:themeColor="text1"/>
                <w:spacing w:val="-4"/>
                <w:szCs w:val="21"/>
                <w14:textFill>
                  <w14:solidFill>
                    <w14:schemeClr w14:val="tx1"/>
                  </w14:solidFill>
                </w14:textFill>
              </w:rPr>
              <w:t>⑤施工工地路面、出入口、车行道路应当采取硬化、洒水等降尘措施。在工地内堆放的工程材料、砂石、土方等易产生扬尘的物料应当在库房内存放或者采取覆盖防尘网或者防尘布，定期采取喷洒粉尘抑制剂、洒水等措施，防止风蚀起尘。</w:t>
            </w:r>
          </w:p>
          <w:p>
            <w:pPr>
              <w:adjustRightInd w:val="0"/>
              <w:snapToGrid w:val="0"/>
              <w:rPr>
                <w:rFonts w:hint="default" w:ascii="Times New Roman" w:hAnsi="Times New Roman" w:eastAsia="宋体" w:cs="Times New Roman"/>
                <w:color w:val="000000" w:themeColor="text1"/>
                <w:spacing w:val="-4"/>
                <w:szCs w:val="21"/>
                <w14:textFill>
                  <w14:solidFill>
                    <w14:schemeClr w14:val="tx1"/>
                  </w14:solidFill>
                </w14:textFill>
              </w:rPr>
            </w:pPr>
            <w:r>
              <w:rPr>
                <w:rFonts w:hint="default" w:ascii="Times New Roman" w:hAnsi="Times New Roman" w:eastAsia="宋体" w:cs="Times New Roman"/>
                <w:color w:val="000000" w:themeColor="text1"/>
                <w:spacing w:val="-4"/>
                <w:szCs w:val="21"/>
                <w14:textFill>
                  <w14:solidFill>
                    <w14:schemeClr w14:val="tx1"/>
                  </w14:solidFill>
                </w14:textFill>
              </w:rPr>
              <w:t>⑥遇到干燥、易起尘的土方工程作业时，应辅以洒水压尘，尽量缩短起尘操作时间。遇到四级或四级以上大风天气，应停止土方作业，同时作业处覆以防尘网。</w:t>
            </w:r>
          </w:p>
          <w:p>
            <w:pPr>
              <w:adjustRightInd w:val="0"/>
              <w:snapToGrid w:val="0"/>
              <w:rPr>
                <w:rFonts w:hint="default" w:ascii="Times New Roman" w:hAnsi="Times New Roman" w:eastAsia="宋体" w:cs="Times New Roman"/>
                <w:color w:val="000000" w:themeColor="text1"/>
                <w:spacing w:val="-4"/>
                <w:szCs w:val="21"/>
                <w14:textFill>
                  <w14:solidFill>
                    <w14:schemeClr w14:val="tx1"/>
                  </w14:solidFill>
                </w14:textFill>
              </w:rPr>
            </w:pPr>
            <w:r>
              <w:rPr>
                <w:rFonts w:hint="default" w:ascii="Times New Roman" w:hAnsi="Times New Roman" w:eastAsia="宋体" w:cs="Times New Roman"/>
                <w:color w:val="000000" w:themeColor="text1"/>
                <w:spacing w:val="-4"/>
                <w:szCs w:val="21"/>
                <w14:textFill>
                  <w14:solidFill>
                    <w14:schemeClr w14:val="tx1"/>
                  </w14:solidFill>
                </w14:textFill>
              </w:rPr>
              <w:t>⑦工地内暂未施工的区域应当覆盖、硬化或者绿化，暂未开工的建设用地，由土地使用权人负责对裸露地面进行覆盖，超过三个月的，应当进行绿化，不得种植油性植物。</w:t>
            </w:r>
          </w:p>
          <w:p>
            <w:pPr>
              <w:adjustRightInd w:val="0"/>
              <w:snapToGrid w:val="0"/>
              <w:rPr>
                <w:rFonts w:hint="default" w:ascii="Times New Roman" w:hAnsi="Times New Roman" w:eastAsia="宋体" w:cs="Times New Roman"/>
                <w:color w:val="000000" w:themeColor="text1"/>
                <w:spacing w:val="-4"/>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4"/>
                <w:szCs w:val="21"/>
                <w14:textFill>
                  <w14:solidFill>
                    <w14:schemeClr w14:val="tx1"/>
                  </w14:solidFill>
                </w14:textFill>
              </w:rPr>
              <w:t>⑧</w:t>
            </w:r>
            <w:r>
              <w:rPr>
                <w:rFonts w:hint="eastAsia" w:ascii="Times New Roman" w:hAnsi="Times New Roman" w:eastAsia="宋体" w:cs="Times New Roman"/>
                <w:color w:val="000000" w:themeColor="text1"/>
                <w:spacing w:val="-4"/>
                <w:szCs w:val="21"/>
                <w:lang w:val="en-US" w:eastAsia="zh-CN"/>
                <w14:textFill>
                  <w14:solidFill>
                    <w14:schemeClr w14:val="tx1"/>
                  </w14:solidFill>
                </w14:textFill>
              </w:rPr>
              <w:t>加强回填土方堆放场的管理，要采取土方表面压实、定期喷水、覆盖等措施，不需要的渣土、建筑材料应及时运走。建筑垃圾等无法在48h内清运完毕的，应当在施工工地内设置临时堆放场；临时堆放场应当采取围挡、遮盖等防尘措施</w:t>
            </w:r>
            <w:r>
              <w:rPr>
                <w:rFonts w:hint="default" w:ascii="Times New Roman" w:hAnsi="Times New Roman" w:eastAsia="宋体" w:cs="Times New Roman"/>
                <w:color w:val="000000" w:themeColor="text1"/>
                <w:spacing w:val="-4"/>
                <w:szCs w:val="21"/>
                <w:lang w:val="en-US" w:eastAsia="zh-CN"/>
                <w14:textFill>
                  <w14:solidFill>
                    <w14:schemeClr w14:val="tx1"/>
                  </w14:solidFill>
                </w14:textFill>
              </w:rPr>
              <w:t>。</w:t>
            </w:r>
          </w:p>
          <w:p>
            <w:pPr>
              <w:adjustRightInd w:val="0"/>
              <w:snapToGrid w:val="0"/>
              <w:rPr>
                <w:rFonts w:hint="default" w:ascii="Times New Roman" w:hAnsi="Times New Roman" w:eastAsia="宋体" w:cs="Times New Roman"/>
                <w:color w:val="000000" w:themeColor="text1"/>
                <w:spacing w:val="-4"/>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4"/>
                <w:szCs w:val="21"/>
                <w:lang w:val="en-US" w:eastAsia="zh-CN"/>
                <w14:textFill>
                  <w14:solidFill>
                    <w14:schemeClr w14:val="tx1"/>
                  </w14:solidFill>
                </w14:textFill>
              </w:rPr>
              <w:t>⑨</w:t>
            </w:r>
            <w:r>
              <w:rPr>
                <w:rFonts w:hint="eastAsia" w:ascii="Times New Roman" w:hAnsi="Times New Roman" w:eastAsia="宋体" w:cs="Times New Roman"/>
                <w:color w:val="000000" w:themeColor="text1"/>
                <w:spacing w:val="-4"/>
                <w:szCs w:val="21"/>
                <w:lang w:val="en-US" w:eastAsia="zh-CN"/>
                <w14:textFill>
                  <w14:solidFill>
                    <w14:schemeClr w14:val="tx1"/>
                  </w14:solidFill>
                </w14:textFill>
              </w:rPr>
              <w:t>在进行产生大量泥浆的施工作业时，应当设置相应的泥浆池、泥浆沟，确保泥浆不外溢，废浆应当密闭运输</w:t>
            </w:r>
            <w:r>
              <w:rPr>
                <w:rFonts w:hint="default" w:ascii="Times New Roman" w:hAnsi="Times New Roman" w:eastAsia="宋体" w:cs="Times New Roman"/>
                <w:color w:val="000000" w:themeColor="text1"/>
                <w:spacing w:val="-4"/>
                <w:szCs w:val="21"/>
                <w:lang w:val="en-US" w:eastAsia="zh-CN"/>
                <w14:textFill>
                  <w14:solidFill>
                    <w14:schemeClr w14:val="tx1"/>
                  </w14:solidFill>
                </w14:textFill>
              </w:rPr>
              <w:t>。</w:t>
            </w:r>
          </w:p>
          <w:p>
            <w:pPr>
              <w:adjustRightInd w:val="0"/>
              <w:snapToGrid w:val="0"/>
              <w:rPr>
                <w:rFonts w:hint="default" w:ascii="Times New Roman" w:hAnsi="Times New Roman" w:eastAsia="宋体" w:cs="Times New Roman"/>
                <w:color w:val="000000" w:themeColor="text1"/>
                <w:spacing w:val="-4"/>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4"/>
                <w:szCs w:val="21"/>
                <w:lang w:val="en-US" w:eastAsia="zh-CN"/>
                <w14:textFill>
                  <w14:solidFill>
                    <w14:schemeClr w14:val="tx1"/>
                  </w14:solidFill>
                </w14:textFill>
              </w:rPr>
              <w:t>⑩</w:t>
            </w:r>
            <w:r>
              <w:rPr>
                <w:rFonts w:hint="eastAsia" w:ascii="Times New Roman" w:hAnsi="Times New Roman" w:eastAsia="宋体" w:cs="Times New Roman"/>
                <w:color w:val="000000" w:themeColor="text1"/>
                <w:spacing w:val="-4"/>
                <w:szCs w:val="21"/>
                <w:lang w:val="en-US" w:eastAsia="zh-CN"/>
                <w14:textFill>
                  <w14:solidFill>
                    <w14:schemeClr w14:val="tx1"/>
                  </w14:solidFill>
                </w14:textFill>
              </w:rPr>
              <w:t>按照规定使用预拌混凝土和预拌砂浆；确需在施工现场搅拌混凝土和砂浆的，应当按照相关规定执行并履行备案手续</w:t>
            </w:r>
            <w:r>
              <w:rPr>
                <w:rFonts w:hint="default" w:ascii="Times New Roman" w:hAnsi="Times New Roman" w:eastAsia="宋体" w:cs="Times New Roman"/>
                <w:color w:val="000000" w:themeColor="text1"/>
                <w:spacing w:val="-4"/>
                <w:szCs w:val="21"/>
                <w:lang w:val="en-US" w:eastAsia="zh-CN"/>
                <w14:textFill>
                  <w14:solidFill>
                    <w14:schemeClr w14:val="tx1"/>
                  </w14:solidFill>
                </w14:textFill>
              </w:rPr>
              <w:t>。</w:t>
            </w:r>
          </w:p>
          <w:p>
            <w:pPr>
              <w:adjustRightInd w:val="0"/>
              <w:snapToGrid w:val="0"/>
              <w:rPr>
                <w:rFonts w:hint="default" w:ascii="Times New Roman" w:hAnsi="Times New Roman" w:eastAsia="宋体" w:cs="Times New Roman"/>
                <w:color w:val="000000" w:themeColor="text1"/>
                <w:spacing w:val="-4"/>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4"/>
                <w:szCs w:val="21"/>
                <w:lang w:val="en-US" w:eastAsia="zh-CN"/>
                <w14:textFill>
                  <w14:solidFill>
                    <w14:schemeClr w14:val="tx1"/>
                  </w14:solidFill>
                </w14:textFill>
              </w:rPr>
              <w:t>⑪</w:t>
            </w:r>
            <w:r>
              <w:rPr>
                <w:rFonts w:hint="eastAsia" w:ascii="Times New Roman" w:hAnsi="Times New Roman" w:eastAsia="宋体" w:cs="Times New Roman"/>
                <w:color w:val="000000" w:themeColor="text1"/>
                <w:spacing w:val="-4"/>
                <w:szCs w:val="21"/>
                <w:lang w:val="en-US" w:eastAsia="zh-CN"/>
                <w14:textFill>
                  <w14:solidFill>
                    <w14:schemeClr w14:val="tx1"/>
                  </w14:solidFill>
                </w14:textFill>
              </w:rPr>
              <w:t>堆放易产生扬尘污染物料的堆场、露天仓库落实扬尘污染防治要求</w:t>
            </w:r>
            <w:r>
              <w:rPr>
                <w:rFonts w:hint="default" w:ascii="Times New Roman" w:hAnsi="Times New Roman" w:eastAsia="宋体" w:cs="Times New Roman"/>
                <w:color w:val="000000" w:themeColor="text1"/>
                <w:spacing w:val="-4"/>
                <w:szCs w:val="21"/>
                <w:lang w:val="en-US" w:eastAsia="zh-CN"/>
                <w14:textFill>
                  <w14:solidFill>
                    <w14:schemeClr w14:val="tx1"/>
                  </w14:solidFill>
                </w14:textFill>
              </w:rPr>
              <w:t>。</w:t>
            </w:r>
          </w:p>
          <w:p>
            <w:pPr>
              <w:adjustRightInd w:val="0"/>
              <w:snapToGrid w:val="0"/>
              <w:rPr>
                <w:rFonts w:hint="default" w:ascii="Times New Roman" w:hAnsi="Times New Roman" w:eastAsia="宋体" w:cs="Times New Roman"/>
                <w:color w:val="000000" w:themeColor="text1"/>
                <w:spacing w:val="-4"/>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4"/>
                <w:szCs w:val="21"/>
                <w:lang w:val="en-US" w:eastAsia="zh-CN"/>
                <w14:textFill>
                  <w14:solidFill>
                    <w14:schemeClr w14:val="tx1"/>
                  </w14:solidFill>
                </w14:textFill>
              </w:rPr>
              <w:t>⑫</w:t>
            </w:r>
            <w:r>
              <w:rPr>
                <w:rFonts w:hint="eastAsia" w:ascii="Times New Roman" w:hAnsi="Times New Roman" w:eastAsia="宋体" w:cs="Times New Roman"/>
                <w:color w:val="000000" w:themeColor="text1"/>
                <w:spacing w:val="-4"/>
                <w:szCs w:val="21"/>
                <w:lang w:val="en-US" w:eastAsia="zh-CN"/>
                <w14:textFill>
                  <w14:solidFill>
                    <w14:schemeClr w14:val="tx1"/>
                  </w14:solidFill>
                </w14:textFill>
              </w:rPr>
              <w:t>落实车辆行驶扬尘防治要求</w:t>
            </w:r>
            <w:r>
              <w:rPr>
                <w:rFonts w:hint="default" w:ascii="Times New Roman" w:hAnsi="Times New Roman" w:eastAsia="宋体" w:cs="Times New Roman"/>
                <w:color w:val="000000" w:themeColor="text1"/>
                <w:spacing w:val="-4"/>
                <w:szCs w:val="21"/>
                <w:lang w:val="en-US" w:eastAsia="zh-CN"/>
                <w14:textFill>
                  <w14:solidFill>
                    <w14:schemeClr w14:val="tx1"/>
                  </w14:solidFill>
                </w14:textFill>
              </w:rPr>
              <w:t>。</w:t>
            </w:r>
          </w:p>
          <w:p>
            <w:pPr>
              <w:adjustRightInd w:val="0"/>
              <w:snapToGrid w:val="0"/>
              <w:rPr>
                <w:rFonts w:hint="default" w:ascii="Times New Roman" w:hAnsi="Times New Roman" w:eastAsia="宋体" w:cs="Times New Roman"/>
                <w:color w:val="000000" w:themeColor="text1"/>
                <w:spacing w:val="-4"/>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4"/>
                <w:szCs w:val="21"/>
                <w:lang w:val="en-US" w:eastAsia="zh-CN"/>
                <w14:textFill>
                  <w14:solidFill>
                    <w14:schemeClr w14:val="tx1"/>
                  </w14:solidFill>
                </w14:textFill>
              </w:rPr>
              <w:t>⑬</w:t>
            </w:r>
            <w:r>
              <w:rPr>
                <w:rFonts w:hint="eastAsia" w:ascii="Times New Roman" w:hAnsi="Times New Roman" w:eastAsia="宋体" w:cs="Times New Roman"/>
                <w:color w:val="000000" w:themeColor="text1"/>
                <w:spacing w:val="-4"/>
                <w:szCs w:val="21"/>
                <w:lang w:val="en-US" w:eastAsia="zh-CN"/>
                <w14:textFill>
                  <w14:solidFill>
                    <w14:schemeClr w14:val="tx1"/>
                  </w14:solidFill>
                </w14:textFill>
              </w:rPr>
              <w:t>加强对施工车辆的保养，加强对施工机械施工进程的管理，提高使用效率，使用清洁能源等措施</w:t>
            </w:r>
            <w:r>
              <w:rPr>
                <w:rFonts w:hint="default" w:ascii="Times New Roman" w:hAnsi="Times New Roman" w:eastAsia="宋体" w:cs="Times New Roman"/>
                <w:color w:val="000000" w:themeColor="text1"/>
                <w:spacing w:val="-4"/>
                <w:szCs w:val="21"/>
                <w:lang w:val="en-US" w:eastAsia="zh-CN"/>
                <w14:textFill>
                  <w14:solidFill>
                    <w14:schemeClr w14:val="tx1"/>
                  </w14:solidFill>
                </w14:textFill>
              </w:rPr>
              <w:t>。</w:t>
            </w:r>
          </w:p>
          <w:p>
            <w:pPr>
              <w:adjustRightInd w:val="0"/>
              <w:snapToGrid w:val="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pacing w:val="-4"/>
                <w:szCs w:val="21"/>
                <w14:textFill>
                  <w14:solidFill>
                    <w14:schemeClr w14:val="tx1"/>
                  </w14:solidFill>
                </w14:textFill>
              </w:rPr>
              <w:t>⑭</w:t>
            </w:r>
            <w:r>
              <w:rPr>
                <w:rFonts w:hint="eastAsia" w:ascii="Times New Roman" w:hAnsi="Times New Roman" w:eastAsia="宋体" w:cs="Times New Roman"/>
                <w:color w:val="000000" w:themeColor="text1"/>
                <w:spacing w:val="-4"/>
                <w:szCs w:val="21"/>
                <w:lang w:val="en-US" w:eastAsia="zh-CN"/>
                <w14:textFill>
                  <w14:solidFill>
                    <w14:schemeClr w14:val="tx1"/>
                  </w14:solidFill>
                </w14:textFill>
              </w:rPr>
              <w:t>锅炉燃气废气</w:t>
            </w:r>
            <w:r>
              <w:rPr>
                <w:rFonts w:hint="default" w:ascii="Times New Roman" w:hAnsi="Times New Roman" w:eastAsia="宋体" w:cs="Times New Roman"/>
                <w:color w:val="000000" w:themeColor="text1"/>
                <w:spacing w:val="-4"/>
                <w:szCs w:val="21"/>
                <w:lang w:val="en-US" w:eastAsia="zh-CN"/>
                <w14:textFill>
                  <w14:solidFill>
                    <w14:schemeClr w14:val="tx1"/>
                  </w14:solidFill>
                </w14:textFill>
              </w:rPr>
              <w:t>经</w:t>
            </w:r>
            <w:r>
              <w:rPr>
                <w:rFonts w:hint="eastAsia" w:ascii="Times New Roman" w:hAnsi="Times New Roman" w:eastAsia="宋体" w:cs="Times New Roman"/>
                <w:color w:val="000000" w:themeColor="text1"/>
                <w:spacing w:val="-4"/>
                <w:szCs w:val="21"/>
                <w:lang w:val="en-US" w:eastAsia="zh-CN"/>
                <w14:textFill>
                  <w14:solidFill>
                    <w14:schemeClr w14:val="tx1"/>
                  </w14:solidFill>
                </w14:textFill>
              </w:rPr>
              <w:t>低氮燃烧器</w:t>
            </w:r>
            <w:r>
              <w:rPr>
                <w:rFonts w:hint="default" w:ascii="Times New Roman" w:hAnsi="Times New Roman" w:eastAsia="宋体" w:cs="Times New Roman"/>
                <w:color w:val="000000" w:themeColor="text1"/>
                <w:spacing w:val="-4"/>
                <w:szCs w:val="21"/>
                <w:lang w:val="en-US" w:eastAsia="zh-CN"/>
                <w14:textFill>
                  <w14:solidFill>
                    <w14:schemeClr w14:val="tx1"/>
                  </w14:solidFill>
                </w14:textFill>
              </w:rPr>
              <w:t>进行</w:t>
            </w:r>
            <w:r>
              <w:rPr>
                <w:rFonts w:hint="eastAsia" w:ascii="Times New Roman" w:hAnsi="Times New Roman" w:eastAsia="宋体" w:cs="Times New Roman"/>
                <w:color w:val="000000" w:themeColor="text1"/>
                <w:spacing w:val="-4"/>
                <w:szCs w:val="21"/>
                <w:lang w:val="en-US" w:eastAsia="zh-CN"/>
                <w14:textFill>
                  <w14:solidFill>
                    <w14:schemeClr w14:val="tx1"/>
                  </w14:solidFill>
                </w14:textFill>
              </w:rPr>
              <w:t>处理后通过锅炉顶部管道由1根8m高排气筒（排气筒编号：DA001）高空排放；食堂油烟废气</w:t>
            </w:r>
            <w:r>
              <w:rPr>
                <w:rFonts w:hint="default" w:ascii="Times New Roman" w:hAnsi="Times New Roman" w:eastAsia="宋体" w:cs="Times New Roman"/>
                <w:color w:val="000000" w:themeColor="text1"/>
                <w:spacing w:val="-4"/>
                <w:szCs w:val="21"/>
                <w:lang w:val="en-US" w:eastAsia="zh-CN"/>
                <w14:textFill>
                  <w14:solidFill>
                    <w14:schemeClr w14:val="tx1"/>
                  </w14:solidFill>
                </w14:textFill>
              </w:rPr>
              <w:t>经风机引至油烟净化器处理后至</w:t>
            </w:r>
            <w:r>
              <w:rPr>
                <w:rFonts w:hint="eastAsia" w:ascii="Times New Roman" w:hAnsi="Times New Roman" w:eastAsia="宋体" w:cs="Times New Roman"/>
                <w:color w:val="000000" w:themeColor="text1"/>
                <w:spacing w:val="-4"/>
                <w:szCs w:val="21"/>
                <w:lang w:val="en-US" w:eastAsia="zh-CN"/>
                <w14:textFill>
                  <w14:solidFill>
                    <w14:schemeClr w14:val="tx1"/>
                  </w14:solidFill>
                </w14:textFill>
              </w:rPr>
              <w:t>食堂</w:t>
            </w:r>
            <w:r>
              <w:rPr>
                <w:rFonts w:hint="default" w:ascii="Times New Roman" w:hAnsi="Times New Roman" w:eastAsia="宋体" w:cs="Times New Roman"/>
                <w:color w:val="000000" w:themeColor="text1"/>
                <w:spacing w:val="-4"/>
                <w:szCs w:val="21"/>
                <w:lang w:val="en-US" w:eastAsia="zh-CN"/>
                <w14:textFill>
                  <w14:solidFill>
                    <w14:schemeClr w14:val="tx1"/>
                  </w14:solidFill>
                </w14:textFill>
              </w:rPr>
              <w:t>屋顶排放。</w:t>
            </w:r>
          </w:p>
        </w:tc>
        <w:tc>
          <w:tcPr>
            <w:tcW w:w="989" w:type="pct"/>
            <w:vAlign w:val="center"/>
          </w:tcPr>
          <w:p>
            <w:pPr>
              <w:adjustRightInd w:val="0"/>
              <w:snapToGrid w:val="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环境空气质量恢复为现状。</w:t>
            </w:r>
          </w:p>
        </w:tc>
        <w:tc>
          <w:tcPr>
            <w:tcW w:w="474"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423"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6" w:hRule="atLeast"/>
          <w:jc w:val="center"/>
        </w:trPr>
        <w:tc>
          <w:tcPr>
            <w:tcW w:w="622"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固体废物</w:t>
            </w:r>
          </w:p>
        </w:tc>
        <w:tc>
          <w:tcPr>
            <w:tcW w:w="2490" w:type="pct"/>
            <w:vAlign w:val="center"/>
          </w:tcPr>
          <w:p>
            <w:pPr>
              <w:adjustRightInd w:val="0"/>
              <w:snapToGrid w:val="0"/>
              <w:rPr>
                <w:rFonts w:hint="default" w:ascii="Times New Roman" w:hAnsi="Times New Roman" w:eastAsia="宋体" w:cs="Times New Roman"/>
                <w:color w:val="000000" w:themeColor="text1"/>
                <w:spacing w:val="-4"/>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4"/>
                <w:szCs w:val="21"/>
                <w:lang w:val="en-US" w:eastAsia="zh-CN"/>
                <w14:textFill>
                  <w14:solidFill>
                    <w14:schemeClr w14:val="tx1"/>
                  </w14:solidFill>
                </w14:textFill>
              </w:rPr>
              <w:t>①施工期间施工人员的生活垃圾要收集到指定的</w:t>
            </w:r>
            <w:r>
              <w:rPr>
                <w:rFonts w:hint="eastAsia" w:ascii="Times New Roman" w:hAnsi="Times New Roman" w:eastAsia="宋体" w:cs="Times New Roman"/>
                <w:color w:val="000000" w:themeColor="text1"/>
                <w:spacing w:val="-4"/>
                <w:szCs w:val="21"/>
                <w:lang w:val="en-US" w:eastAsia="zh-CN"/>
                <w14:textFill>
                  <w14:solidFill>
                    <w14:schemeClr w14:val="tx1"/>
                  </w14:solidFill>
                </w14:textFill>
              </w:rPr>
              <w:t>加盖</w:t>
            </w:r>
            <w:r>
              <w:rPr>
                <w:rFonts w:hint="default" w:ascii="Times New Roman" w:hAnsi="Times New Roman" w:eastAsia="宋体" w:cs="Times New Roman"/>
                <w:color w:val="000000" w:themeColor="text1"/>
                <w:spacing w:val="-4"/>
                <w:szCs w:val="21"/>
                <w:lang w:val="en-US" w:eastAsia="zh-CN"/>
                <w14:textFill>
                  <w14:solidFill>
                    <w14:schemeClr w14:val="tx1"/>
                  </w14:solidFill>
                </w14:textFill>
              </w:rPr>
              <w:t>垃圾箱（筒）内，由环卫部门统一及时处理。</w:t>
            </w:r>
          </w:p>
          <w:p>
            <w:pPr>
              <w:adjustRightInd w:val="0"/>
              <w:snapToGrid w:val="0"/>
              <w:rPr>
                <w:rFonts w:hint="eastAsia" w:ascii="Times New Roman" w:hAnsi="Times New Roman" w:eastAsia="宋体" w:cs="Times New Roman"/>
                <w:color w:val="000000" w:themeColor="text1"/>
                <w:spacing w:val="-4"/>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4"/>
                <w:szCs w:val="21"/>
                <w:lang w:val="en-US" w:eastAsia="zh-CN"/>
                <w14:textFill>
                  <w14:solidFill>
                    <w14:schemeClr w14:val="tx1"/>
                  </w14:solidFill>
                </w14:textFill>
              </w:rPr>
              <w:t>②开挖出的土石方应加强围栏，表面用塑胶薄膜覆盖，不能随意倾倒土方；弃土及时清运出场，控制废弃土石和回填土临时堆放场占地面积和堆放量；渣土运输车辆必须密闭运输，水平运输，不得撒漏；渣土必须倾倒在合法倒场，不得乱倒。弃渣场堆放完成后对弃渣场采取防护措施与复耕，避免造成水土流失、影响环境</w:t>
            </w:r>
            <w:r>
              <w:rPr>
                <w:rFonts w:hint="eastAsia" w:ascii="Times New Roman" w:hAnsi="Times New Roman" w:eastAsia="宋体" w:cs="Times New Roman"/>
                <w:color w:val="000000" w:themeColor="text1"/>
                <w:spacing w:val="-4"/>
                <w:szCs w:val="21"/>
                <w:lang w:val="en-US" w:eastAsia="zh-CN"/>
                <w14:textFill>
                  <w14:solidFill>
                    <w14:schemeClr w14:val="tx1"/>
                  </w14:solidFill>
                </w14:textFill>
              </w:rPr>
              <w:t>。</w:t>
            </w:r>
          </w:p>
          <w:p>
            <w:pPr>
              <w:adjustRightInd w:val="0"/>
              <w:snapToGrid w:val="0"/>
              <w:rPr>
                <w:rFonts w:hint="default" w:ascii="Times New Roman" w:hAnsi="Times New Roman" w:eastAsia="宋体" w:cs="Times New Roman"/>
                <w:color w:val="000000" w:themeColor="text1"/>
                <w:spacing w:val="-4"/>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4"/>
                <w:szCs w:val="21"/>
                <w:lang w:val="en-US" w:eastAsia="zh-CN"/>
                <w14:textFill>
                  <w14:solidFill>
                    <w14:schemeClr w14:val="tx1"/>
                  </w14:solidFill>
                </w14:textFill>
              </w:rPr>
              <w:t>③</w:t>
            </w:r>
            <w:r>
              <w:rPr>
                <w:rFonts w:hint="default" w:ascii="Times New Roman" w:hAnsi="Times New Roman" w:eastAsia="宋体" w:cs="Times New Roman"/>
                <w:color w:val="000000" w:themeColor="text1"/>
                <w:spacing w:val="-4"/>
                <w:szCs w:val="21"/>
                <w:lang w:val="en-US" w:eastAsia="zh-CN"/>
                <w14:textFill>
                  <w14:solidFill>
                    <w14:schemeClr w14:val="tx1"/>
                  </w14:solidFill>
                </w14:textFill>
              </w:rPr>
              <w:t>施工期间产生废机油，需要使用专用容器存放，并委托有</w:t>
            </w:r>
            <w:r>
              <w:rPr>
                <w:rFonts w:hint="eastAsia" w:ascii="Times New Roman" w:hAnsi="Times New Roman" w:eastAsia="宋体" w:cs="Times New Roman"/>
                <w:color w:val="000000" w:themeColor="text1"/>
                <w:spacing w:val="-4"/>
                <w:szCs w:val="21"/>
                <w:lang w:val="en-US" w:eastAsia="zh-CN"/>
                <w14:textFill>
                  <w14:solidFill>
                    <w14:schemeClr w14:val="tx1"/>
                  </w14:solidFill>
                </w14:textFill>
              </w:rPr>
              <w:t>相应处理</w:t>
            </w:r>
            <w:r>
              <w:rPr>
                <w:rFonts w:hint="default" w:ascii="Times New Roman" w:hAnsi="Times New Roman" w:eastAsia="宋体" w:cs="Times New Roman"/>
                <w:color w:val="000000" w:themeColor="text1"/>
                <w:spacing w:val="-4"/>
                <w:szCs w:val="21"/>
                <w:lang w:val="en-US" w:eastAsia="zh-CN"/>
                <w14:textFill>
                  <w14:solidFill>
                    <w14:schemeClr w14:val="tx1"/>
                  </w14:solidFill>
                </w14:textFill>
              </w:rPr>
              <w:t>资质单位</w:t>
            </w:r>
            <w:r>
              <w:rPr>
                <w:rFonts w:hint="eastAsia" w:ascii="Times New Roman" w:hAnsi="Times New Roman" w:eastAsia="宋体" w:cs="Times New Roman"/>
                <w:color w:val="000000" w:themeColor="text1"/>
                <w:spacing w:val="-4"/>
                <w:szCs w:val="21"/>
                <w:lang w:val="en-US" w:eastAsia="zh-CN"/>
                <w14:textFill>
                  <w14:solidFill>
                    <w14:schemeClr w14:val="tx1"/>
                  </w14:solidFill>
                </w14:textFill>
              </w:rPr>
              <w:t>集中</w:t>
            </w:r>
            <w:r>
              <w:rPr>
                <w:rFonts w:hint="default" w:ascii="Times New Roman" w:hAnsi="Times New Roman" w:eastAsia="宋体" w:cs="Times New Roman"/>
                <w:color w:val="000000" w:themeColor="text1"/>
                <w:spacing w:val="-4"/>
                <w:szCs w:val="21"/>
                <w:lang w:val="en-US" w:eastAsia="zh-CN"/>
                <w14:textFill>
                  <w14:solidFill>
                    <w14:schemeClr w14:val="tx1"/>
                  </w14:solidFill>
                </w14:textFill>
              </w:rPr>
              <w:t>处置。严禁将施工现场废机油倾倒在施工现场或排入沉淀池与施工废水混合排放，杜绝废机油随意排放污染水塘、鱼塘等周边水体和附近农田耕地等土壤环境的事件发生。</w:t>
            </w:r>
          </w:p>
          <w:p>
            <w:pPr>
              <w:adjustRightInd w:val="0"/>
              <w:snapToGrid w:val="0"/>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pacing w:val="-4"/>
                <w:szCs w:val="21"/>
                <w:lang w:val="en-US" w:eastAsia="zh-CN"/>
                <w14:textFill>
                  <w14:solidFill>
                    <w14:schemeClr w14:val="tx1"/>
                  </w14:solidFill>
                </w14:textFill>
              </w:rPr>
              <w:t>④净水厂产生的废机油、废油桶、废含油抹布、手套、</w:t>
            </w:r>
            <w:r>
              <w:rPr>
                <w:rFonts w:hint="default" w:ascii="Times New Roman" w:hAnsi="Times New Roman" w:eastAsia="宋体" w:cs="Times New Roman"/>
                <w:color w:val="000000" w:themeColor="text1"/>
                <w:spacing w:val="-4"/>
                <w:szCs w:val="21"/>
                <w:lang w:val="en-US" w:eastAsia="zh-CN"/>
                <w14:textFill>
                  <w14:solidFill>
                    <w14:schemeClr w14:val="tx1"/>
                  </w14:solidFill>
                </w14:textFill>
              </w:rPr>
              <w:t>废弃化学品容器</w:t>
            </w:r>
            <w:r>
              <w:rPr>
                <w:rFonts w:hint="eastAsia" w:ascii="Times New Roman" w:hAnsi="Times New Roman" w:eastAsia="宋体" w:cs="Times New Roman"/>
                <w:color w:val="000000" w:themeColor="text1"/>
                <w:spacing w:val="-4"/>
                <w:szCs w:val="21"/>
                <w:lang w:val="en-US" w:eastAsia="zh-CN"/>
                <w14:textFill>
                  <w14:solidFill>
                    <w14:schemeClr w14:val="tx1"/>
                  </w14:solidFill>
                </w14:textFill>
              </w:rPr>
              <w:t>分类集中收集后</w:t>
            </w:r>
            <w:r>
              <w:rPr>
                <w:rFonts w:hint="default" w:ascii="Times New Roman" w:hAnsi="Times New Roman" w:eastAsia="宋体" w:cs="Times New Roman"/>
                <w:color w:val="000000" w:themeColor="text1"/>
                <w:spacing w:val="-4"/>
                <w:szCs w:val="21"/>
                <w:lang w:val="en-US" w:eastAsia="zh-CN"/>
                <w14:textFill>
                  <w14:solidFill>
                    <w14:schemeClr w14:val="tx1"/>
                  </w14:solidFill>
                </w14:textFill>
              </w:rPr>
              <w:t>贮存于净水厂内的危险废物暂存间，定期交由有相应资质的危险废物处置单位处置</w:t>
            </w:r>
            <w:r>
              <w:rPr>
                <w:rFonts w:hint="eastAsia" w:ascii="Times New Roman" w:hAnsi="Times New Roman" w:eastAsia="宋体" w:cs="Times New Roman"/>
                <w:color w:val="000000" w:themeColor="text1"/>
                <w:spacing w:val="-4"/>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4"/>
                <w:szCs w:val="21"/>
                <w:lang w:val="en-US" w:eastAsia="zh-CN"/>
                <w14:textFill>
                  <w14:solidFill>
                    <w14:schemeClr w14:val="tx1"/>
                  </w14:solidFill>
                </w14:textFill>
              </w:rPr>
              <w:t>生活垃圾</w:t>
            </w:r>
            <w:r>
              <w:rPr>
                <w:rFonts w:hint="eastAsia" w:ascii="Times New Roman" w:hAnsi="Times New Roman" w:eastAsia="宋体" w:cs="Times New Roman"/>
                <w:color w:val="000000" w:themeColor="text1"/>
                <w:spacing w:val="-4"/>
                <w:szCs w:val="21"/>
                <w:lang w:val="en-US" w:eastAsia="zh-CN"/>
                <w14:textFill>
                  <w14:solidFill>
                    <w14:schemeClr w14:val="tx1"/>
                  </w14:solidFill>
                </w14:textFill>
              </w:rPr>
              <w:t>分类集中收集后定期由</w:t>
            </w:r>
            <w:r>
              <w:rPr>
                <w:rFonts w:hint="default" w:ascii="Times New Roman" w:hAnsi="Times New Roman" w:eastAsia="宋体" w:cs="Times New Roman"/>
                <w:color w:val="000000" w:themeColor="text1"/>
                <w:spacing w:val="-4"/>
                <w:szCs w:val="21"/>
                <w:lang w:val="en-US" w:eastAsia="zh-CN"/>
                <w14:textFill>
                  <w14:solidFill>
                    <w14:schemeClr w14:val="tx1"/>
                  </w14:solidFill>
                </w14:textFill>
              </w:rPr>
              <w:t>环卫部门清运</w:t>
            </w:r>
            <w:r>
              <w:rPr>
                <w:rFonts w:hint="eastAsia" w:ascii="Times New Roman" w:hAnsi="Times New Roman" w:eastAsia="宋体" w:cs="Times New Roman"/>
                <w:color w:val="000000" w:themeColor="text1"/>
                <w:spacing w:val="-4"/>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4"/>
                <w:szCs w:val="21"/>
                <w:lang w:val="en-US" w:eastAsia="zh-CN"/>
                <w14:textFill>
                  <w14:solidFill>
                    <w14:schemeClr w14:val="tx1"/>
                  </w14:solidFill>
                </w14:textFill>
              </w:rPr>
              <w:t>净水厂污泥暂存于污泥储池内，定期清理，经污泥脱水装置脱水后委托污泥处置中心处置</w:t>
            </w:r>
            <w:r>
              <w:rPr>
                <w:rFonts w:hint="eastAsia" w:ascii="Times New Roman" w:hAnsi="Times New Roman" w:eastAsia="宋体" w:cs="Times New Roman"/>
                <w:color w:val="000000" w:themeColor="text1"/>
                <w:spacing w:val="-4"/>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4"/>
                <w:szCs w:val="21"/>
                <w:lang w:val="en-US" w:eastAsia="zh-CN"/>
                <w14:textFill>
                  <w14:solidFill>
                    <w14:schemeClr w14:val="tx1"/>
                  </w14:solidFill>
                </w14:textFill>
              </w:rPr>
              <w:t>废包装材料收集后暂存于一般固体废物暂存间，定期出售废品收购站</w:t>
            </w:r>
            <w:r>
              <w:rPr>
                <w:rFonts w:hint="eastAsia" w:ascii="Times New Roman" w:hAnsi="Times New Roman" w:eastAsia="宋体" w:cs="Times New Roman"/>
                <w:color w:val="000000" w:themeColor="text1"/>
                <w:spacing w:val="-4"/>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4"/>
                <w:szCs w:val="21"/>
                <w:lang w:val="en-US" w:eastAsia="zh-CN"/>
                <w14:textFill>
                  <w14:solidFill>
                    <w14:schemeClr w14:val="tx1"/>
                  </w14:solidFill>
                </w14:textFill>
              </w:rPr>
              <w:t>废滤料由滤料供应商回收处置</w:t>
            </w:r>
            <w:r>
              <w:rPr>
                <w:rFonts w:hint="eastAsia" w:ascii="Times New Roman" w:hAnsi="Times New Roman" w:eastAsia="宋体" w:cs="Times New Roman"/>
                <w:color w:val="000000" w:themeColor="text1"/>
                <w:spacing w:val="-4"/>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4"/>
                <w:szCs w:val="21"/>
                <w:lang w:val="en-US" w:eastAsia="zh-CN"/>
                <w14:textFill>
                  <w14:solidFill>
                    <w14:schemeClr w14:val="tx1"/>
                  </w14:solidFill>
                </w14:textFill>
              </w:rPr>
              <w:t>废次氯酸钠包装物收集后，由生产厂家直接用于周转</w:t>
            </w:r>
            <w:r>
              <w:rPr>
                <w:rFonts w:hint="eastAsia" w:ascii="Times New Roman" w:hAnsi="Times New Roman" w:eastAsia="宋体" w:cs="Times New Roman"/>
                <w:color w:val="000000" w:themeColor="text1"/>
                <w:spacing w:val="-4"/>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4"/>
                <w:szCs w:val="21"/>
                <w:lang w:val="en-US" w:eastAsia="zh-CN"/>
                <w14:textFill>
                  <w14:solidFill>
                    <w14:schemeClr w14:val="tx1"/>
                  </w14:solidFill>
                </w14:textFill>
              </w:rPr>
              <w:t>隔油系统泔水油和废油脂定期委托有资质单位统一回收处理</w:t>
            </w:r>
            <w:r>
              <w:rPr>
                <w:rFonts w:hint="eastAsia" w:ascii="Times New Roman" w:hAnsi="Times New Roman" w:eastAsia="宋体" w:cs="Times New Roman"/>
                <w:color w:val="000000" w:themeColor="text1"/>
                <w:spacing w:val="-4"/>
                <w:szCs w:val="21"/>
                <w:lang w:val="en-US" w:eastAsia="zh-CN"/>
                <w14:textFill>
                  <w14:solidFill>
                    <w14:schemeClr w14:val="tx1"/>
                  </w14:solidFill>
                </w14:textFill>
              </w:rPr>
              <w:t>。</w:t>
            </w:r>
          </w:p>
        </w:tc>
        <w:tc>
          <w:tcPr>
            <w:tcW w:w="989" w:type="pct"/>
            <w:vAlign w:val="center"/>
          </w:tcPr>
          <w:p>
            <w:pPr>
              <w:adjustRightInd w:val="0"/>
              <w:snapToGrid w:val="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①一般工业固废的去向合理，无随意丢弃或排放入河情况。</w:t>
            </w:r>
          </w:p>
          <w:p>
            <w:pPr>
              <w:adjustRightInd w:val="0"/>
              <w:snapToGrid w:val="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②危险废物妥善暂存，无随意丢弃或排放入河情况。</w:t>
            </w:r>
          </w:p>
        </w:tc>
        <w:tc>
          <w:tcPr>
            <w:tcW w:w="474"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423"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22"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电磁环境</w:t>
            </w:r>
          </w:p>
        </w:tc>
        <w:tc>
          <w:tcPr>
            <w:tcW w:w="2490"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989"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474"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423"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22"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环境风险</w:t>
            </w:r>
          </w:p>
        </w:tc>
        <w:tc>
          <w:tcPr>
            <w:tcW w:w="2490"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989"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474"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423"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22"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环境监测</w:t>
            </w:r>
          </w:p>
        </w:tc>
        <w:tc>
          <w:tcPr>
            <w:tcW w:w="2490"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989"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474"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423"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22"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其他</w:t>
            </w:r>
          </w:p>
        </w:tc>
        <w:tc>
          <w:tcPr>
            <w:tcW w:w="2490" w:type="pct"/>
            <w:vAlign w:val="center"/>
          </w:tcPr>
          <w:p>
            <w:pPr>
              <w:adjustRightInd w:val="0"/>
              <w:snapToGrid w:val="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委托具有相应资质能力的环境监理单位做好各施工周期的环境监理工作，记录施工期环境保护措施的落实情况及效果，编制施工监理报告。</w:t>
            </w:r>
          </w:p>
        </w:tc>
        <w:tc>
          <w:tcPr>
            <w:tcW w:w="989"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474"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423"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r>
    </w:tbl>
    <w:p>
      <w:pPr>
        <w:pStyle w:val="19"/>
        <w:keepNext w:val="0"/>
        <w:keepLines w:val="0"/>
        <w:pageBreakBefore w:val="0"/>
        <w:widowControl/>
        <w:kinsoku/>
        <w:wordWrap/>
        <w:overflowPunct/>
        <w:topLinePunct w:val="0"/>
        <w:autoSpaceDE/>
        <w:autoSpaceDN/>
        <w:bidi w:val="0"/>
        <w:adjustRightInd/>
        <w:snapToGrid/>
        <w:spacing w:before="0" w:beforeAutospacing="0" w:line="15" w:lineRule="auto"/>
        <w:jc w:val="center"/>
        <w:textAlignment w:val="auto"/>
        <w:outlineLvl w:val="9"/>
        <w:rPr>
          <w:rFonts w:ascii="黑体" w:hAnsi="黑体" w:eastAsia="黑体"/>
          <w:snapToGrid w:val="0"/>
          <w:color w:val="000000" w:themeColor="text1"/>
          <w:sz w:val="30"/>
          <w:szCs w:val="30"/>
          <w14:textFill>
            <w14:solidFill>
              <w14:schemeClr w14:val="tx1"/>
            </w14:solidFill>
          </w14:textFill>
        </w:rPr>
      </w:pPr>
      <w:r>
        <w:rPr>
          <w:rFonts w:ascii="黑体" w:hAnsi="黑体" w:eastAsia="黑体"/>
          <w:snapToGrid w:val="0"/>
          <w:color w:val="000000" w:themeColor="text1"/>
          <w:sz w:val="30"/>
          <w:szCs w:val="30"/>
          <w14:textFill>
            <w14:solidFill>
              <w14:schemeClr w14:val="tx1"/>
            </w14:solidFill>
          </w14:textFill>
        </w:rPr>
        <w:br w:type="page"/>
      </w:r>
    </w:p>
    <w:p>
      <w:pPr>
        <w:pStyle w:val="19"/>
        <w:spacing w:beforeLines="80" w:beforeAutospacing="0"/>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宋体"/>
          <w:snapToGrid w:val="0"/>
          <w:color w:val="000000" w:themeColor="text1"/>
          <w:sz w:val="30"/>
          <w:szCs w:val="30"/>
          <w14:textFill>
            <w14:solidFill>
              <w14:schemeClr w14:val="tx1"/>
            </w14:solidFill>
          </w14:textFill>
        </w:rPr>
        <w:t>七、结论</w:t>
      </w:r>
    </w:p>
    <w:tbl>
      <w:tblPr>
        <w:tblStyle w:val="22"/>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vAlign w:val="top"/>
          </w:tcPr>
          <w:p>
            <w:pPr>
              <w:adjustRightInd w:val="0"/>
              <w:snapToGrid w:val="0"/>
              <w:spacing w:line="500" w:lineRule="exact"/>
              <w:ind w:firstLine="480" w:firstLineChars="200"/>
              <w:jc w:val="both"/>
              <w:rPr>
                <w:rFonts w:hint="eastAsia"/>
                <w:color w:val="000000" w:themeColor="text1"/>
                <w:sz w:val="24"/>
                <w:lang w:eastAsia="zh-CN"/>
                <w14:textFill>
                  <w14:solidFill>
                    <w14:schemeClr w14:val="tx1"/>
                  </w14:solidFill>
                </w14:textFill>
              </w:rPr>
            </w:pPr>
            <w:r>
              <w:rPr>
                <w:rFonts w:eastAsia="宋体"/>
                <w:color w:val="000000" w:themeColor="text1"/>
                <w:sz w:val="24"/>
                <w14:textFill>
                  <w14:solidFill>
                    <w14:schemeClr w14:val="tx1"/>
                  </w14:solidFill>
                </w14:textFill>
              </w:rPr>
              <w:t>本项目符合国家产业政策，符合“生态保护红线、环境质量底线、资源利用上线和环境准入负面清单”等“三线一单”的规定，在严格执行有关环保法规和“三同时”制度，落实报告提出的</w:t>
            </w:r>
            <w:r>
              <w:rPr>
                <w:rFonts w:hint="eastAsia" w:eastAsia="宋体"/>
                <w:color w:val="000000" w:themeColor="text1"/>
                <w:sz w:val="24"/>
                <w14:textFill>
                  <w14:solidFill>
                    <w14:schemeClr w14:val="tx1"/>
                  </w14:solidFill>
                </w14:textFill>
              </w:rPr>
              <w:t>生态环境及</w:t>
            </w:r>
            <w:r>
              <w:rPr>
                <w:rFonts w:eastAsia="宋体"/>
                <w:color w:val="000000" w:themeColor="text1"/>
                <w:sz w:val="24"/>
                <w14:textFill>
                  <w14:solidFill>
                    <w14:schemeClr w14:val="tx1"/>
                  </w14:solidFill>
                </w14:textFill>
              </w:rPr>
              <w:t>污染防治措施后，污染物能够达标排放</w:t>
            </w:r>
            <w:r>
              <w:rPr>
                <w:rFonts w:hint="eastAsia" w:eastAsia="宋体"/>
                <w:color w:val="000000" w:themeColor="text1"/>
                <w:sz w:val="24"/>
                <w14:textFill>
                  <w14:solidFill>
                    <w14:schemeClr w14:val="tx1"/>
                  </w14:solidFill>
                </w14:textFill>
              </w:rPr>
              <w:t>、生态环境得到恢复</w:t>
            </w:r>
            <w:r>
              <w:rPr>
                <w:rFonts w:eastAsia="宋体"/>
                <w:color w:val="000000" w:themeColor="text1"/>
                <w:sz w:val="24"/>
                <w14:textFill>
                  <w14:solidFill>
                    <w14:schemeClr w14:val="tx1"/>
                  </w14:solidFill>
                </w14:textFill>
              </w:rPr>
              <w:t>，从环境保护角度分析，项目建设可行</w:t>
            </w:r>
            <w:r>
              <w:rPr>
                <w:rFonts w:hint="eastAsia"/>
                <w:color w:val="000000" w:themeColor="text1"/>
                <w:sz w:val="24"/>
                <w:lang w:eastAsia="zh-CN"/>
                <w14:textFill>
                  <w14:solidFill>
                    <w14:schemeClr w14:val="tx1"/>
                  </w14:solidFill>
                </w14:textFill>
              </w:rPr>
              <w:t>。</w:t>
            </w:r>
          </w:p>
          <w:p>
            <w:pPr>
              <w:adjustRightInd w:val="0"/>
              <w:snapToGrid w:val="0"/>
              <w:spacing w:line="500" w:lineRule="exact"/>
              <w:ind w:firstLine="480" w:firstLineChars="200"/>
              <w:jc w:val="both"/>
              <w:rPr>
                <w:rFonts w:hint="eastAsia"/>
                <w:color w:val="000000" w:themeColor="text1"/>
                <w:sz w:val="24"/>
                <w:lang w:eastAsia="zh-CN"/>
                <w14:textFill>
                  <w14:solidFill>
                    <w14:schemeClr w14:val="tx1"/>
                  </w14:solidFill>
                </w14:textFill>
              </w:rPr>
            </w:pPr>
          </w:p>
          <w:p>
            <w:pPr>
              <w:adjustRightInd w:val="0"/>
              <w:snapToGrid w:val="0"/>
              <w:spacing w:line="500" w:lineRule="exact"/>
              <w:ind w:firstLine="480" w:firstLineChars="200"/>
              <w:jc w:val="both"/>
              <w:rPr>
                <w:rFonts w:hint="eastAsia"/>
                <w:color w:val="000000" w:themeColor="text1"/>
                <w:sz w:val="24"/>
                <w:lang w:eastAsia="zh-CN"/>
                <w14:textFill>
                  <w14:solidFill>
                    <w14:schemeClr w14:val="tx1"/>
                  </w14:solidFill>
                </w14:textFill>
              </w:rPr>
            </w:pPr>
          </w:p>
          <w:p>
            <w:pPr>
              <w:adjustRightInd w:val="0"/>
              <w:snapToGrid w:val="0"/>
              <w:spacing w:line="500" w:lineRule="exact"/>
              <w:ind w:firstLine="480" w:firstLineChars="200"/>
              <w:jc w:val="both"/>
              <w:rPr>
                <w:rFonts w:hint="eastAsia"/>
                <w:color w:val="000000" w:themeColor="text1"/>
                <w:sz w:val="24"/>
                <w:lang w:eastAsia="zh-CN"/>
                <w14:textFill>
                  <w14:solidFill>
                    <w14:schemeClr w14:val="tx1"/>
                  </w14:solidFill>
                </w14:textFill>
              </w:rPr>
            </w:pPr>
          </w:p>
          <w:p>
            <w:pPr>
              <w:adjustRightInd w:val="0"/>
              <w:snapToGrid w:val="0"/>
              <w:spacing w:line="500" w:lineRule="exact"/>
              <w:ind w:firstLine="480" w:firstLineChars="200"/>
              <w:jc w:val="both"/>
              <w:rPr>
                <w:rFonts w:hint="eastAsia"/>
                <w:color w:val="000000" w:themeColor="text1"/>
                <w:sz w:val="24"/>
                <w:lang w:eastAsia="zh-CN"/>
                <w14:textFill>
                  <w14:solidFill>
                    <w14:schemeClr w14:val="tx1"/>
                  </w14:solidFill>
                </w14:textFill>
              </w:rPr>
            </w:pPr>
          </w:p>
          <w:p>
            <w:pPr>
              <w:adjustRightInd w:val="0"/>
              <w:snapToGrid w:val="0"/>
              <w:spacing w:line="500" w:lineRule="exact"/>
              <w:ind w:firstLine="480" w:firstLineChars="200"/>
              <w:jc w:val="both"/>
              <w:rPr>
                <w:rFonts w:hint="eastAsia"/>
                <w:color w:val="000000" w:themeColor="text1"/>
                <w:sz w:val="24"/>
                <w:lang w:eastAsia="zh-CN"/>
                <w14:textFill>
                  <w14:solidFill>
                    <w14:schemeClr w14:val="tx1"/>
                  </w14:solidFill>
                </w14:textFill>
              </w:rPr>
            </w:pPr>
          </w:p>
          <w:p>
            <w:pPr>
              <w:adjustRightInd w:val="0"/>
              <w:snapToGrid w:val="0"/>
              <w:spacing w:line="500" w:lineRule="exact"/>
              <w:ind w:firstLine="480" w:firstLineChars="200"/>
              <w:jc w:val="both"/>
              <w:rPr>
                <w:rFonts w:hint="eastAsia"/>
                <w:color w:val="000000" w:themeColor="text1"/>
                <w:sz w:val="24"/>
                <w:lang w:eastAsia="zh-CN"/>
                <w14:textFill>
                  <w14:solidFill>
                    <w14:schemeClr w14:val="tx1"/>
                  </w14:solidFill>
                </w14:textFill>
              </w:rPr>
            </w:pPr>
          </w:p>
          <w:p>
            <w:pPr>
              <w:adjustRightInd w:val="0"/>
              <w:snapToGrid w:val="0"/>
              <w:spacing w:line="500" w:lineRule="exact"/>
              <w:ind w:firstLine="480" w:firstLineChars="200"/>
              <w:jc w:val="both"/>
              <w:rPr>
                <w:rFonts w:hint="eastAsia"/>
                <w:color w:val="000000" w:themeColor="text1"/>
                <w:sz w:val="24"/>
                <w:lang w:eastAsia="zh-CN"/>
                <w14:textFill>
                  <w14:solidFill>
                    <w14:schemeClr w14:val="tx1"/>
                  </w14:solidFill>
                </w14:textFill>
              </w:rPr>
            </w:pPr>
          </w:p>
          <w:p>
            <w:pPr>
              <w:adjustRightInd w:val="0"/>
              <w:snapToGrid w:val="0"/>
              <w:spacing w:line="500" w:lineRule="exact"/>
              <w:ind w:firstLine="480" w:firstLineChars="200"/>
              <w:jc w:val="both"/>
              <w:rPr>
                <w:rFonts w:hint="eastAsia"/>
                <w:color w:val="000000" w:themeColor="text1"/>
                <w:sz w:val="24"/>
                <w:lang w:eastAsia="zh-CN"/>
                <w14:textFill>
                  <w14:solidFill>
                    <w14:schemeClr w14:val="tx1"/>
                  </w14:solidFill>
                </w14:textFill>
              </w:rPr>
            </w:pPr>
          </w:p>
          <w:p>
            <w:pPr>
              <w:adjustRightInd w:val="0"/>
              <w:snapToGrid w:val="0"/>
              <w:spacing w:line="500" w:lineRule="exact"/>
              <w:ind w:firstLine="480" w:firstLineChars="200"/>
              <w:jc w:val="both"/>
              <w:rPr>
                <w:rFonts w:hint="eastAsia"/>
                <w:color w:val="000000" w:themeColor="text1"/>
                <w:sz w:val="24"/>
                <w:lang w:eastAsia="zh-CN"/>
                <w14:textFill>
                  <w14:solidFill>
                    <w14:schemeClr w14:val="tx1"/>
                  </w14:solidFill>
                </w14:textFill>
              </w:rPr>
            </w:pPr>
          </w:p>
          <w:p>
            <w:pPr>
              <w:adjustRightInd w:val="0"/>
              <w:snapToGrid w:val="0"/>
              <w:spacing w:line="500" w:lineRule="exact"/>
              <w:ind w:firstLine="480" w:firstLineChars="200"/>
              <w:jc w:val="both"/>
              <w:rPr>
                <w:rFonts w:hint="eastAsia"/>
                <w:color w:val="000000" w:themeColor="text1"/>
                <w:sz w:val="24"/>
                <w:lang w:eastAsia="zh-CN"/>
                <w14:textFill>
                  <w14:solidFill>
                    <w14:schemeClr w14:val="tx1"/>
                  </w14:solidFill>
                </w14:textFill>
              </w:rPr>
            </w:pPr>
          </w:p>
          <w:p>
            <w:pPr>
              <w:adjustRightInd w:val="0"/>
              <w:snapToGrid w:val="0"/>
              <w:spacing w:line="500" w:lineRule="exact"/>
              <w:ind w:firstLine="480" w:firstLineChars="200"/>
              <w:jc w:val="both"/>
              <w:rPr>
                <w:rFonts w:hint="eastAsia"/>
                <w:color w:val="000000" w:themeColor="text1"/>
                <w:sz w:val="24"/>
                <w:lang w:eastAsia="zh-CN"/>
                <w14:textFill>
                  <w14:solidFill>
                    <w14:schemeClr w14:val="tx1"/>
                  </w14:solidFill>
                </w14:textFill>
              </w:rPr>
            </w:pPr>
          </w:p>
          <w:p>
            <w:pPr>
              <w:adjustRightInd w:val="0"/>
              <w:snapToGrid w:val="0"/>
              <w:spacing w:line="500" w:lineRule="exact"/>
              <w:ind w:firstLine="480" w:firstLineChars="200"/>
              <w:jc w:val="both"/>
              <w:rPr>
                <w:rFonts w:hint="eastAsia"/>
                <w:color w:val="000000" w:themeColor="text1"/>
                <w:sz w:val="24"/>
                <w:lang w:eastAsia="zh-CN"/>
                <w14:textFill>
                  <w14:solidFill>
                    <w14:schemeClr w14:val="tx1"/>
                  </w14:solidFill>
                </w14:textFill>
              </w:rPr>
            </w:pPr>
          </w:p>
          <w:p>
            <w:pPr>
              <w:adjustRightInd w:val="0"/>
              <w:snapToGrid w:val="0"/>
              <w:spacing w:line="500" w:lineRule="exact"/>
              <w:ind w:firstLine="480" w:firstLineChars="200"/>
              <w:jc w:val="both"/>
              <w:rPr>
                <w:rFonts w:hint="eastAsia"/>
                <w:color w:val="000000" w:themeColor="text1"/>
                <w:sz w:val="24"/>
                <w:lang w:eastAsia="zh-CN"/>
                <w14:textFill>
                  <w14:solidFill>
                    <w14:schemeClr w14:val="tx1"/>
                  </w14:solidFill>
                </w14:textFill>
              </w:rPr>
            </w:pPr>
          </w:p>
          <w:p>
            <w:pPr>
              <w:adjustRightInd w:val="0"/>
              <w:snapToGrid w:val="0"/>
              <w:spacing w:line="500" w:lineRule="exact"/>
              <w:ind w:firstLine="480" w:firstLineChars="200"/>
              <w:jc w:val="both"/>
              <w:rPr>
                <w:rFonts w:hint="eastAsia"/>
                <w:color w:val="000000" w:themeColor="text1"/>
                <w:sz w:val="24"/>
                <w:lang w:eastAsia="zh-CN"/>
                <w14:textFill>
                  <w14:solidFill>
                    <w14:schemeClr w14:val="tx1"/>
                  </w14:solidFill>
                </w14:textFill>
              </w:rPr>
            </w:pPr>
          </w:p>
          <w:p>
            <w:pPr>
              <w:adjustRightInd w:val="0"/>
              <w:snapToGrid w:val="0"/>
              <w:spacing w:line="500" w:lineRule="exact"/>
              <w:ind w:firstLine="480" w:firstLineChars="200"/>
              <w:jc w:val="both"/>
              <w:rPr>
                <w:rFonts w:hint="eastAsia"/>
                <w:color w:val="000000" w:themeColor="text1"/>
                <w:sz w:val="24"/>
                <w:lang w:eastAsia="zh-CN"/>
                <w14:textFill>
                  <w14:solidFill>
                    <w14:schemeClr w14:val="tx1"/>
                  </w14:solidFill>
                </w14:textFill>
              </w:rPr>
            </w:pPr>
          </w:p>
          <w:p>
            <w:pPr>
              <w:adjustRightInd w:val="0"/>
              <w:snapToGrid w:val="0"/>
              <w:spacing w:line="500" w:lineRule="exact"/>
              <w:ind w:firstLine="480" w:firstLineChars="200"/>
              <w:jc w:val="both"/>
              <w:rPr>
                <w:rFonts w:hint="eastAsia"/>
                <w:color w:val="000000" w:themeColor="text1"/>
                <w:sz w:val="24"/>
                <w:lang w:eastAsia="zh-CN"/>
                <w14:textFill>
                  <w14:solidFill>
                    <w14:schemeClr w14:val="tx1"/>
                  </w14:solidFill>
                </w14:textFill>
              </w:rPr>
            </w:pPr>
          </w:p>
          <w:p>
            <w:pPr>
              <w:adjustRightInd w:val="0"/>
              <w:snapToGrid w:val="0"/>
              <w:spacing w:line="500" w:lineRule="exact"/>
              <w:ind w:firstLine="480" w:firstLineChars="200"/>
              <w:jc w:val="both"/>
              <w:rPr>
                <w:rFonts w:hint="eastAsia"/>
                <w:color w:val="000000" w:themeColor="text1"/>
                <w:sz w:val="24"/>
                <w:lang w:eastAsia="zh-CN"/>
                <w14:textFill>
                  <w14:solidFill>
                    <w14:schemeClr w14:val="tx1"/>
                  </w14:solidFill>
                </w14:textFill>
              </w:rPr>
            </w:pPr>
          </w:p>
          <w:p>
            <w:pPr>
              <w:adjustRightInd w:val="0"/>
              <w:snapToGrid w:val="0"/>
              <w:spacing w:line="500" w:lineRule="exact"/>
              <w:ind w:firstLine="480" w:firstLineChars="200"/>
              <w:jc w:val="both"/>
              <w:rPr>
                <w:rFonts w:hint="eastAsia"/>
                <w:color w:val="000000" w:themeColor="text1"/>
                <w:sz w:val="24"/>
                <w:lang w:eastAsia="zh-CN"/>
                <w14:textFill>
                  <w14:solidFill>
                    <w14:schemeClr w14:val="tx1"/>
                  </w14:solidFill>
                </w14:textFill>
              </w:rPr>
            </w:pPr>
          </w:p>
          <w:p>
            <w:pPr>
              <w:adjustRightInd w:val="0"/>
              <w:snapToGrid w:val="0"/>
              <w:spacing w:line="500" w:lineRule="exact"/>
              <w:ind w:firstLine="480" w:firstLineChars="200"/>
              <w:jc w:val="both"/>
              <w:rPr>
                <w:rFonts w:hint="eastAsia"/>
                <w:color w:val="000000" w:themeColor="text1"/>
                <w:sz w:val="24"/>
                <w:lang w:eastAsia="zh-CN"/>
                <w14:textFill>
                  <w14:solidFill>
                    <w14:schemeClr w14:val="tx1"/>
                  </w14:solidFill>
                </w14:textFill>
              </w:rPr>
            </w:pPr>
          </w:p>
          <w:p>
            <w:pPr>
              <w:adjustRightInd w:val="0"/>
              <w:snapToGrid w:val="0"/>
              <w:spacing w:line="500" w:lineRule="exact"/>
              <w:ind w:firstLine="480" w:firstLineChars="200"/>
              <w:jc w:val="both"/>
              <w:rPr>
                <w:rFonts w:hint="eastAsia"/>
                <w:color w:val="000000" w:themeColor="text1"/>
                <w:sz w:val="24"/>
                <w:lang w:eastAsia="zh-CN"/>
                <w14:textFill>
                  <w14:solidFill>
                    <w14:schemeClr w14:val="tx1"/>
                  </w14:solidFill>
                </w14:textFill>
              </w:rPr>
            </w:pPr>
          </w:p>
          <w:p>
            <w:pPr>
              <w:adjustRightInd w:val="0"/>
              <w:snapToGrid w:val="0"/>
              <w:spacing w:line="500" w:lineRule="exact"/>
              <w:ind w:firstLine="480" w:firstLineChars="200"/>
              <w:jc w:val="both"/>
              <w:rPr>
                <w:rFonts w:hint="eastAsia"/>
                <w:color w:val="000000" w:themeColor="text1"/>
                <w:sz w:val="24"/>
                <w:lang w:eastAsia="zh-CN"/>
                <w14:textFill>
                  <w14:solidFill>
                    <w14:schemeClr w14:val="tx1"/>
                  </w14:solidFill>
                </w14:textFill>
              </w:rPr>
            </w:pPr>
          </w:p>
          <w:p>
            <w:pPr>
              <w:adjustRightInd w:val="0"/>
              <w:snapToGrid w:val="0"/>
              <w:spacing w:line="500" w:lineRule="exact"/>
              <w:ind w:firstLine="420" w:firstLineChars="200"/>
              <w:jc w:val="both"/>
              <w:rPr>
                <w:rFonts w:ascii="宋体" w:hAnsi="宋体" w:cs="宋体"/>
                <w:color w:val="000000" w:themeColor="text1"/>
                <w:szCs w:val="21"/>
                <w14:textFill>
                  <w14:solidFill>
                    <w14:schemeClr w14:val="tx1"/>
                  </w14:solidFill>
                </w14:textFill>
              </w:rPr>
            </w:pPr>
          </w:p>
        </w:tc>
      </w:tr>
    </w:tbl>
    <w:p>
      <w:pPr>
        <w:rPr>
          <w:rFonts w:ascii="宋体"/>
          <w:color w:val="000000" w:themeColor="text1"/>
          <w14:textFill>
            <w14:solidFill>
              <w14:schemeClr w14:val="tx1"/>
            </w14:solidFill>
          </w14:textFill>
        </w:rPr>
        <w:sectPr>
          <w:pgSz w:w="11906" w:h="16838"/>
          <w:pgMar w:top="1440" w:right="1800" w:bottom="1440" w:left="1800" w:header="851" w:footer="1077" w:gutter="0"/>
          <w:pgBorders>
            <w:top w:val="none" w:sz="0" w:space="0"/>
            <w:left w:val="none" w:sz="0" w:space="0"/>
            <w:bottom w:val="none" w:sz="0" w:space="0"/>
            <w:right w:val="none" w:sz="0" w:space="0"/>
          </w:pgBorders>
          <w:pgNumType w:fmt="numberInDash"/>
          <w:cols w:space="425" w:num="1"/>
          <w:docGrid w:linePitch="312" w:charSpace="0"/>
        </w:sectPr>
      </w:pPr>
    </w:p>
    <w:p>
      <w:pPr>
        <w:pStyle w:val="27"/>
        <w:rPr>
          <w:color w:val="000000" w:themeColor="text1"/>
          <w14:textFill>
            <w14:solidFill>
              <w14:schemeClr w14:val="tx1"/>
            </w14:solidFill>
          </w14:textFill>
        </w:rPr>
      </w:pPr>
    </w:p>
    <w:p>
      <w:pPr>
        <w:pStyle w:val="19"/>
        <w:adjustRightInd w:val="0"/>
        <w:snapToGrid w:val="0"/>
        <w:spacing w:before="0" w:beforeAutospacing="0" w:after="0" w:afterAutospacing="0" w:line="648" w:lineRule="auto"/>
        <w:outlineLvl w:val="0"/>
        <w:rPr>
          <w:rFonts w:hint="eastAsia" w:eastAsia="宋体"/>
          <w:color w:val="000000" w:themeColor="text1"/>
          <w:lang w:eastAsia="zh-CN"/>
          <w14:textFill>
            <w14:solidFill>
              <w14:schemeClr w14:val="tx1"/>
            </w14:solidFill>
          </w14:textFill>
        </w:rPr>
        <w:sectPr>
          <w:pgSz w:w="11906" w:h="16838"/>
          <w:pgMar w:top="1440" w:right="1800" w:bottom="1440" w:left="1800" w:header="851" w:footer="1077" w:gutter="0"/>
          <w:pgBorders>
            <w:top w:val="none" w:sz="0" w:space="0"/>
            <w:left w:val="none" w:sz="0" w:space="0"/>
            <w:bottom w:val="none" w:sz="0" w:space="0"/>
            <w:right w:val="none" w:sz="0" w:space="0"/>
          </w:pgBorders>
          <w:pgNumType w:fmt="numberInDash"/>
          <w:cols w:space="425" w:num="1"/>
          <w:docGrid w:linePitch="312" w:charSpace="0"/>
        </w:sectPr>
      </w:pPr>
      <w:r>
        <w:rPr>
          <w:rFonts w:eastAsia="宋体"/>
          <w:color w:val="000000" w:themeColor="text1"/>
          <w14:textFill>
            <w14:solidFill>
              <w14:schemeClr w14:val="tx1"/>
            </w14:solidFill>
          </w14:textFill>
        </w:rPr>
        <w:t xml:space="preserve"> </w:t>
      </w:r>
      <w:r>
        <w:rPr>
          <w:rFonts w:hint="eastAsia" w:eastAsia="宋体"/>
          <w:color w:val="000000" w:themeColor="text1"/>
          <w:lang w:eastAsia="zh-CN"/>
          <w14:textFill>
            <w14:solidFill>
              <w14:schemeClr w14:val="tx1"/>
            </w14:solidFill>
          </w14:textFill>
        </w:rPr>
        <w:drawing>
          <wp:anchor distT="0" distB="0" distL="114300" distR="114300" simplePos="0" relativeHeight="251663360" behindDoc="1" locked="0" layoutInCell="1" allowOverlap="1">
            <wp:simplePos x="0" y="0"/>
            <wp:positionH relativeFrom="column">
              <wp:posOffset>-1143000</wp:posOffset>
            </wp:positionH>
            <wp:positionV relativeFrom="paragraph">
              <wp:posOffset>-1120140</wp:posOffset>
            </wp:positionV>
            <wp:extent cx="7560310" cy="10709275"/>
            <wp:effectExtent l="0" t="0" r="2540" b="15875"/>
            <wp:wrapNone/>
            <wp:docPr id="12" name="图片 12" descr="资质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资质页"/>
                    <pic:cNvPicPr>
                      <a:picLocks noChangeAspect="1"/>
                    </pic:cNvPicPr>
                  </pic:nvPicPr>
                  <pic:blipFill>
                    <a:blip r:embed="rId38"/>
                    <a:stretch>
                      <a:fillRect/>
                    </a:stretch>
                  </pic:blipFill>
                  <pic:spPr>
                    <a:xfrm>
                      <a:off x="0" y="0"/>
                      <a:ext cx="7560310" cy="10709275"/>
                    </a:xfrm>
                    <a:prstGeom prst="rect">
                      <a:avLst/>
                    </a:prstGeom>
                  </pic:spPr>
                </pic:pic>
              </a:graphicData>
            </a:graphic>
          </wp:anchor>
        </w:drawing>
      </w:r>
    </w:p>
    <w:p>
      <w:pPr>
        <w:pStyle w:val="19"/>
        <w:adjustRightInd w:val="0"/>
        <w:snapToGrid w:val="0"/>
        <w:spacing w:before="0" w:beforeAutospacing="0" w:after="0" w:afterAutospacing="0" w:line="648" w:lineRule="auto"/>
        <w:outlineLvl w:val="0"/>
        <w:rPr>
          <w:rFonts w:eastAsia="宋体"/>
          <w:color w:val="000000" w:themeColor="text1"/>
          <w14:textFill>
            <w14:solidFill>
              <w14:schemeClr w14:val="tx1"/>
            </w14:solidFill>
          </w14:textFill>
        </w:rPr>
        <w:sectPr>
          <w:pgSz w:w="16838" w:h="11906" w:orient="landscape"/>
          <w:pgMar w:top="1800" w:right="1440" w:bottom="1800" w:left="1440" w:header="851" w:footer="1077" w:gutter="0"/>
          <w:pgBorders>
            <w:top w:val="none" w:sz="0" w:space="0"/>
            <w:left w:val="none" w:sz="0" w:space="0"/>
            <w:bottom w:val="none" w:sz="0" w:space="0"/>
            <w:right w:val="none" w:sz="0" w:space="0"/>
          </w:pgBorders>
          <w:pgNumType w:fmt="numberInDash"/>
          <w:cols w:space="425" w:num="1"/>
          <w:docGrid w:linePitch="312" w:charSpace="0"/>
        </w:sectPr>
      </w:pPr>
      <w:r>
        <w:rPr>
          <w:rFonts w:hint="default" w:ascii="Times New Roman" w:hAnsi="Times New Roman" w:eastAsia="黑体" w:cs="Times New Roman"/>
          <w:color w:val="000000" w:themeColor="text1"/>
          <w:lang w:eastAsia="zh-CN"/>
          <w14:textFill>
            <w14:solidFill>
              <w14:schemeClr w14:val="tx1"/>
            </w14:solidFill>
          </w14:textFill>
        </w:rPr>
        <w:drawing>
          <wp:anchor distT="0" distB="0" distL="114300" distR="114300" simplePos="0" relativeHeight="251667456" behindDoc="1" locked="0" layoutInCell="1" allowOverlap="1">
            <wp:simplePos x="0" y="0"/>
            <wp:positionH relativeFrom="column">
              <wp:posOffset>-914400</wp:posOffset>
            </wp:positionH>
            <wp:positionV relativeFrom="paragraph">
              <wp:posOffset>-1180465</wp:posOffset>
            </wp:positionV>
            <wp:extent cx="10692130" cy="7635875"/>
            <wp:effectExtent l="0" t="0" r="13970" b="3175"/>
            <wp:wrapNone/>
            <wp:docPr id="9" name="图片 153" descr="长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3" descr="长安"/>
                    <pic:cNvPicPr>
                      <a:picLocks noChangeAspect="1"/>
                    </pic:cNvPicPr>
                  </pic:nvPicPr>
                  <pic:blipFill>
                    <a:blip r:embed="rId39"/>
                    <a:stretch>
                      <a:fillRect/>
                    </a:stretch>
                  </pic:blipFill>
                  <pic:spPr>
                    <a:xfrm>
                      <a:off x="0" y="0"/>
                      <a:ext cx="10692130" cy="7635875"/>
                    </a:xfrm>
                    <a:prstGeom prst="rect">
                      <a:avLst/>
                    </a:prstGeom>
                    <a:noFill/>
                    <a:ln>
                      <a:noFill/>
                    </a:ln>
                  </pic:spPr>
                </pic:pic>
              </a:graphicData>
            </a:graphic>
          </wp:anchor>
        </w:drawing>
      </w:r>
    </w:p>
    <w:p>
      <w:pPr>
        <w:pStyle w:val="19"/>
        <w:adjustRightInd w:val="0"/>
        <w:snapToGrid w:val="0"/>
        <w:spacing w:before="0" w:beforeAutospacing="0" w:after="0" w:afterAutospacing="0" w:line="648" w:lineRule="auto"/>
        <w:outlineLvl w:val="0"/>
        <w:rPr>
          <w:rFonts w:eastAsia="宋体"/>
          <w:color w:val="000000" w:themeColor="text1"/>
          <w14:textFill>
            <w14:solidFill>
              <w14:schemeClr w14:val="tx1"/>
            </w14:solidFill>
          </w14:textFill>
        </w:rPr>
        <w:sectPr>
          <w:pgSz w:w="16838" w:h="11906" w:orient="landscape"/>
          <w:pgMar w:top="1800" w:right="1440" w:bottom="1800" w:left="1440" w:header="851" w:footer="1077" w:gutter="0"/>
          <w:pgBorders>
            <w:top w:val="none" w:sz="0" w:space="0"/>
            <w:left w:val="none" w:sz="0" w:space="0"/>
            <w:bottom w:val="none" w:sz="0" w:space="0"/>
            <w:right w:val="none" w:sz="0" w:space="0"/>
          </w:pgBorders>
          <w:pgNumType w:fmt="numberInDash"/>
          <w:cols w:space="425" w:num="1"/>
          <w:docGrid w:linePitch="312" w:charSpace="0"/>
        </w:sectPr>
      </w:pPr>
      <w:r>
        <w:rPr>
          <w:rFonts w:hint="default" w:ascii="Times New Roman" w:hAnsi="Times New Roman" w:eastAsia="黑体" w:cs="Times New Roman"/>
          <w:color w:val="000000" w:themeColor="text1"/>
          <w:lang w:eastAsia="zh-CN"/>
          <w14:textFill>
            <w14:solidFill>
              <w14:schemeClr w14:val="tx1"/>
            </w14:solidFill>
          </w14:textFill>
        </w:rPr>
        <w:drawing>
          <wp:anchor distT="0" distB="0" distL="114300" distR="114300" simplePos="0" relativeHeight="251668480" behindDoc="1" locked="0" layoutInCell="1" allowOverlap="1">
            <wp:simplePos x="0" y="0"/>
            <wp:positionH relativeFrom="column">
              <wp:posOffset>-973455</wp:posOffset>
            </wp:positionH>
            <wp:positionV relativeFrom="paragraph">
              <wp:posOffset>-1160780</wp:posOffset>
            </wp:positionV>
            <wp:extent cx="10775950" cy="7560310"/>
            <wp:effectExtent l="0" t="0" r="6350" b="2540"/>
            <wp:wrapNone/>
            <wp:docPr id="10" name="图片 154" descr="23e319078f649b5d3e8ff45083b6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4" descr="23e319078f649b5d3e8ff45083b6234"/>
                    <pic:cNvPicPr>
                      <a:picLocks noChangeAspect="1"/>
                    </pic:cNvPicPr>
                  </pic:nvPicPr>
                  <pic:blipFill>
                    <a:blip r:embed="rId40"/>
                    <a:stretch>
                      <a:fillRect/>
                    </a:stretch>
                  </pic:blipFill>
                  <pic:spPr>
                    <a:xfrm>
                      <a:off x="0" y="0"/>
                      <a:ext cx="10775950" cy="7560310"/>
                    </a:xfrm>
                    <a:prstGeom prst="rect">
                      <a:avLst/>
                    </a:prstGeom>
                    <a:noFill/>
                    <a:ln>
                      <a:noFill/>
                    </a:ln>
                  </pic:spPr>
                </pic:pic>
              </a:graphicData>
            </a:graphic>
          </wp:anchor>
        </w:drawing>
      </w:r>
    </w:p>
    <w:p>
      <w:pPr>
        <w:pStyle w:val="19"/>
        <w:adjustRightInd w:val="0"/>
        <w:snapToGrid w:val="0"/>
        <w:spacing w:before="0" w:beforeAutospacing="0" w:after="0" w:afterAutospacing="0" w:line="648" w:lineRule="auto"/>
        <w:outlineLvl w:val="0"/>
        <w:rPr>
          <w:rFonts w:eastAsia="宋体"/>
          <w:color w:val="000000" w:themeColor="text1"/>
          <w14:textFill>
            <w14:solidFill>
              <w14:schemeClr w14:val="tx1"/>
            </w14:solidFill>
          </w14:textFill>
        </w:rPr>
        <w:sectPr>
          <w:pgSz w:w="16838" w:h="11906" w:orient="landscape"/>
          <w:pgMar w:top="1800" w:right="1440" w:bottom="1800" w:left="1440" w:header="851" w:footer="1077" w:gutter="0"/>
          <w:pgBorders>
            <w:top w:val="none" w:sz="0" w:space="0"/>
            <w:left w:val="none" w:sz="0" w:space="0"/>
            <w:bottom w:val="none" w:sz="0" w:space="0"/>
            <w:right w:val="none" w:sz="0" w:space="0"/>
          </w:pgBorders>
          <w:pgNumType w:fmt="numberInDash"/>
          <w:cols w:space="425" w:num="1"/>
          <w:docGrid w:linePitch="312" w:charSpace="0"/>
        </w:sectPr>
      </w:pPr>
    </w:p>
    <w:p>
      <w:pPr>
        <w:pStyle w:val="19"/>
        <w:adjustRightInd w:val="0"/>
        <w:snapToGrid w:val="0"/>
        <w:spacing w:before="0" w:beforeAutospacing="0" w:after="0" w:afterAutospacing="0" w:line="648" w:lineRule="auto"/>
        <w:outlineLvl w:val="0"/>
        <w:rPr>
          <w:rFonts w:eastAsia="宋体"/>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anchor distT="0" distB="0" distL="114300" distR="114300" simplePos="0" relativeHeight="251669504" behindDoc="1" locked="0" layoutInCell="1" allowOverlap="1">
            <wp:simplePos x="0" y="0"/>
            <wp:positionH relativeFrom="column">
              <wp:posOffset>-914400</wp:posOffset>
            </wp:positionH>
            <wp:positionV relativeFrom="paragraph">
              <wp:posOffset>-1688465</wp:posOffset>
            </wp:positionV>
            <wp:extent cx="10692130" cy="7583805"/>
            <wp:effectExtent l="0" t="0" r="13970" b="17145"/>
            <wp:wrapNone/>
            <wp:docPr id="11"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5"/>
                    <pic:cNvPicPr>
                      <a:picLocks noChangeAspect="1"/>
                    </pic:cNvPicPr>
                  </pic:nvPicPr>
                  <pic:blipFill>
                    <a:blip r:embed="rId41"/>
                    <a:stretch>
                      <a:fillRect/>
                    </a:stretch>
                  </pic:blipFill>
                  <pic:spPr>
                    <a:xfrm>
                      <a:off x="0" y="0"/>
                      <a:ext cx="10692130" cy="7583805"/>
                    </a:xfrm>
                    <a:prstGeom prst="rect">
                      <a:avLst/>
                    </a:prstGeom>
                    <a:noFill/>
                    <a:ln>
                      <a:noFill/>
                    </a:ln>
                  </pic:spPr>
                </pic:pic>
              </a:graphicData>
            </a:graphic>
          </wp:anchor>
        </w:drawing>
      </w:r>
    </w:p>
    <w:bookmarkEnd w:id="6"/>
    <w:sectPr>
      <w:type w:val="continuous"/>
      <w:pgSz w:w="16838" w:h="11906" w:orient="landscape"/>
      <w:pgMar w:top="1800" w:right="1440" w:bottom="1800" w:left="1440" w:header="851" w:footer="1077" w:gutter="0"/>
      <w:pgBorders>
        <w:top w:val="none" w:sz="0" w:space="0"/>
        <w:left w:val="none" w:sz="0" w:space="0"/>
        <w:bottom w:val="none" w:sz="0" w:space="0"/>
        <w:right w:val="none" w:sz="0" w:space="0"/>
      </w:pgBorders>
      <w:pgNumType w:fmt="numberInDash"/>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outside" w:y="1"/>
      <w:rPr>
        <w:rStyle w:val="26"/>
      </w:rPr>
    </w:pPr>
    <w:r>
      <w:rPr>
        <w:rStyle w:val="26"/>
      </w:rPr>
      <w:fldChar w:fldCharType="begin"/>
    </w:r>
    <w:r>
      <w:rPr>
        <w:rStyle w:val="26"/>
      </w:rPr>
      <w:instrText xml:space="preserve">PAGE  </w:instrText>
    </w:r>
    <w:r>
      <w:rPr>
        <w:rStyle w:val="26"/>
      </w:rPr>
      <w:fldChar w:fldCharType="end"/>
    </w:r>
  </w:p>
  <w:p>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r>
      <w:rPr>
        <w:sz w:val="18"/>
      </w:rPr>
      <w:pict>
        <v:shape id="_x0000_s3073" o:spid="_x0000_s307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5"/>
                  <w:jc w:val="center"/>
                  <w:rPr>
                    <w:rStyle w:val="26"/>
                    <w:rFonts w:hint="default" w:ascii="Times New Roman" w:hAnsi="Times New Roman" w:eastAsia="黑体" w:cs="Times New Roman"/>
                    <w:sz w:val="28"/>
                    <w:szCs w:val="28"/>
                  </w:rPr>
                </w:pPr>
                <w:r>
                  <w:rPr>
                    <w:rStyle w:val="26"/>
                    <w:rFonts w:hint="default" w:ascii="Times New Roman" w:hAnsi="Times New Roman" w:eastAsia="宋体" w:cs="Times New Roman"/>
                    <w:sz w:val="20"/>
                    <w:szCs w:val="20"/>
                  </w:rPr>
                  <w:t xml:space="preserve"> </w:t>
                </w:r>
                <w:r>
                  <w:rPr>
                    <w:rStyle w:val="26"/>
                    <w:rFonts w:hint="default" w:ascii="Times New Roman" w:hAnsi="Times New Roman" w:eastAsia="黑体" w:cs="Times New Roman"/>
                    <w:sz w:val="21"/>
                    <w:szCs w:val="21"/>
                  </w:rPr>
                  <w:fldChar w:fldCharType="begin"/>
                </w:r>
                <w:r>
                  <w:rPr>
                    <w:rStyle w:val="26"/>
                    <w:rFonts w:hint="default" w:ascii="Times New Roman" w:hAnsi="Times New Roman" w:eastAsia="黑体" w:cs="Times New Roman"/>
                    <w:sz w:val="21"/>
                    <w:szCs w:val="21"/>
                  </w:rPr>
                  <w:instrText xml:space="preserve">PAGE  </w:instrText>
                </w:r>
                <w:r>
                  <w:rPr>
                    <w:rStyle w:val="26"/>
                    <w:rFonts w:hint="default" w:ascii="Times New Roman" w:hAnsi="Times New Roman" w:eastAsia="黑体" w:cs="Times New Roman"/>
                    <w:sz w:val="21"/>
                    <w:szCs w:val="21"/>
                  </w:rPr>
                  <w:fldChar w:fldCharType="separate"/>
                </w:r>
                <w:r>
                  <w:rPr>
                    <w:rStyle w:val="26"/>
                    <w:rFonts w:hint="default" w:ascii="Times New Roman" w:hAnsi="Times New Roman" w:eastAsia="宋体" w:cs="Times New Roman"/>
                    <w:sz w:val="21"/>
                    <w:szCs w:val="21"/>
                  </w:rPr>
                  <w:t>1</w:t>
                </w:r>
                <w:r>
                  <w:rPr>
                    <w:rStyle w:val="26"/>
                    <w:rFonts w:hint="default" w:ascii="Times New Roman" w:hAnsi="Times New Roman" w:eastAsia="黑体" w:cs="Times New Roman"/>
                    <w:sz w:val="21"/>
                    <w:szCs w:val="21"/>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7800E2"/>
    <w:multiLevelType w:val="singleLevel"/>
    <w:tmpl w:val="C27800E2"/>
    <w:lvl w:ilvl="0" w:tentative="0">
      <w:start w:val="6"/>
      <w:numFmt w:val="decimal"/>
      <w:suff w:val="nothing"/>
      <w:lvlText w:val="（%1）"/>
      <w:lvlJc w:val="left"/>
    </w:lvl>
  </w:abstractNum>
  <w:abstractNum w:abstractNumId="1">
    <w:nsid w:val="E7001463"/>
    <w:multiLevelType w:val="singleLevel"/>
    <w:tmpl w:val="E7001463"/>
    <w:lvl w:ilvl="0" w:tentative="0">
      <w:start w:val="1"/>
      <w:numFmt w:val="lowerLetter"/>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2MxMWFjYmQxMTRkYTc3MDZhYzJiYTNmNmE4YzJhODQifQ=="/>
  </w:docVars>
  <w:rsids>
    <w:rsidRoot w:val="006540D2"/>
    <w:rsid w:val="000063DD"/>
    <w:rsid w:val="000076CC"/>
    <w:rsid w:val="00012706"/>
    <w:rsid w:val="000147BE"/>
    <w:rsid w:val="000152B9"/>
    <w:rsid w:val="00016BF4"/>
    <w:rsid w:val="00017B97"/>
    <w:rsid w:val="0002561E"/>
    <w:rsid w:val="00025980"/>
    <w:rsid w:val="00025EF3"/>
    <w:rsid w:val="00035156"/>
    <w:rsid w:val="0004376D"/>
    <w:rsid w:val="00044D36"/>
    <w:rsid w:val="000500E4"/>
    <w:rsid w:val="00055E80"/>
    <w:rsid w:val="000723E9"/>
    <w:rsid w:val="00077472"/>
    <w:rsid w:val="00087FC8"/>
    <w:rsid w:val="00092794"/>
    <w:rsid w:val="00093B2E"/>
    <w:rsid w:val="00096CBD"/>
    <w:rsid w:val="000970C9"/>
    <w:rsid w:val="000A23DA"/>
    <w:rsid w:val="000B788A"/>
    <w:rsid w:val="000D2F8B"/>
    <w:rsid w:val="000D39FB"/>
    <w:rsid w:val="000D6AA5"/>
    <w:rsid w:val="000D7BC1"/>
    <w:rsid w:val="000E288A"/>
    <w:rsid w:val="000F1584"/>
    <w:rsid w:val="000F6D1D"/>
    <w:rsid w:val="000F6DF8"/>
    <w:rsid w:val="00110C1B"/>
    <w:rsid w:val="00122476"/>
    <w:rsid w:val="00122B19"/>
    <w:rsid w:val="001231FC"/>
    <w:rsid w:val="001238E6"/>
    <w:rsid w:val="00125237"/>
    <w:rsid w:val="0012563A"/>
    <w:rsid w:val="00132ED1"/>
    <w:rsid w:val="001440F7"/>
    <w:rsid w:val="00151930"/>
    <w:rsid w:val="0015499A"/>
    <w:rsid w:val="00155351"/>
    <w:rsid w:val="00155456"/>
    <w:rsid w:val="00156A76"/>
    <w:rsid w:val="00176577"/>
    <w:rsid w:val="00181325"/>
    <w:rsid w:val="001815ED"/>
    <w:rsid w:val="001828E7"/>
    <w:rsid w:val="00182C34"/>
    <w:rsid w:val="00186315"/>
    <w:rsid w:val="001900CA"/>
    <w:rsid w:val="00191353"/>
    <w:rsid w:val="001A1D78"/>
    <w:rsid w:val="001A3373"/>
    <w:rsid w:val="001B7326"/>
    <w:rsid w:val="001B7A59"/>
    <w:rsid w:val="001C0445"/>
    <w:rsid w:val="001C0A8F"/>
    <w:rsid w:val="001C570B"/>
    <w:rsid w:val="001C7C6B"/>
    <w:rsid w:val="001E3D98"/>
    <w:rsid w:val="001F6375"/>
    <w:rsid w:val="00200697"/>
    <w:rsid w:val="002014E8"/>
    <w:rsid w:val="00201CBA"/>
    <w:rsid w:val="002076A9"/>
    <w:rsid w:val="002126E7"/>
    <w:rsid w:val="00217C11"/>
    <w:rsid w:val="002266C7"/>
    <w:rsid w:val="00231AE3"/>
    <w:rsid w:val="00243194"/>
    <w:rsid w:val="00247652"/>
    <w:rsid w:val="00247684"/>
    <w:rsid w:val="00250841"/>
    <w:rsid w:val="00271586"/>
    <w:rsid w:val="00271C39"/>
    <w:rsid w:val="00272D55"/>
    <w:rsid w:val="00277C4F"/>
    <w:rsid w:val="00277D2C"/>
    <w:rsid w:val="00277FDE"/>
    <w:rsid w:val="002919BF"/>
    <w:rsid w:val="0029348B"/>
    <w:rsid w:val="00293849"/>
    <w:rsid w:val="002A4584"/>
    <w:rsid w:val="002A4EEE"/>
    <w:rsid w:val="002A6D09"/>
    <w:rsid w:val="002B4BDA"/>
    <w:rsid w:val="002B64E0"/>
    <w:rsid w:val="002B6E90"/>
    <w:rsid w:val="002C1D8D"/>
    <w:rsid w:val="002C317E"/>
    <w:rsid w:val="002C6BDC"/>
    <w:rsid w:val="002D04E7"/>
    <w:rsid w:val="002E3D59"/>
    <w:rsid w:val="002E4C0A"/>
    <w:rsid w:val="002E56FC"/>
    <w:rsid w:val="002E621B"/>
    <w:rsid w:val="002E7E58"/>
    <w:rsid w:val="002F18FD"/>
    <w:rsid w:val="002F3468"/>
    <w:rsid w:val="002F6E1C"/>
    <w:rsid w:val="003041BE"/>
    <w:rsid w:val="00306170"/>
    <w:rsid w:val="00306B50"/>
    <w:rsid w:val="003079AC"/>
    <w:rsid w:val="00313CAC"/>
    <w:rsid w:val="00316D13"/>
    <w:rsid w:val="003204EF"/>
    <w:rsid w:val="00325393"/>
    <w:rsid w:val="003308CC"/>
    <w:rsid w:val="00332276"/>
    <w:rsid w:val="00344C65"/>
    <w:rsid w:val="00361BEF"/>
    <w:rsid w:val="00361DA4"/>
    <w:rsid w:val="00373180"/>
    <w:rsid w:val="00377828"/>
    <w:rsid w:val="00380A05"/>
    <w:rsid w:val="00387E67"/>
    <w:rsid w:val="00390695"/>
    <w:rsid w:val="00390CA3"/>
    <w:rsid w:val="0039662F"/>
    <w:rsid w:val="003A0571"/>
    <w:rsid w:val="003A171C"/>
    <w:rsid w:val="003A1A31"/>
    <w:rsid w:val="003A2E78"/>
    <w:rsid w:val="003A5F45"/>
    <w:rsid w:val="003B165B"/>
    <w:rsid w:val="003B31BB"/>
    <w:rsid w:val="003C2E4E"/>
    <w:rsid w:val="003C4AF2"/>
    <w:rsid w:val="003C66FE"/>
    <w:rsid w:val="003C69C6"/>
    <w:rsid w:val="003D17CC"/>
    <w:rsid w:val="003D1C6E"/>
    <w:rsid w:val="003D21B2"/>
    <w:rsid w:val="003E1AD9"/>
    <w:rsid w:val="003E2095"/>
    <w:rsid w:val="003E3FA5"/>
    <w:rsid w:val="003F2F23"/>
    <w:rsid w:val="00401AF2"/>
    <w:rsid w:val="00402CE3"/>
    <w:rsid w:val="00412842"/>
    <w:rsid w:val="00414C2D"/>
    <w:rsid w:val="0043650E"/>
    <w:rsid w:val="00446FB0"/>
    <w:rsid w:val="00463556"/>
    <w:rsid w:val="004775EA"/>
    <w:rsid w:val="00492063"/>
    <w:rsid w:val="00492F17"/>
    <w:rsid w:val="0049370A"/>
    <w:rsid w:val="0049560B"/>
    <w:rsid w:val="00497487"/>
    <w:rsid w:val="004B2154"/>
    <w:rsid w:val="004B2D88"/>
    <w:rsid w:val="004C7E87"/>
    <w:rsid w:val="004D2293"/>
    <w:rsid w:val="004F0AC3"/>
    <w:rsid w:val="0050365E"/>
    <w:rsid w:val="00510D4B"/>
    <w:rsid w:val="00515BA0"/>
    <w:rsid w:val="00515EC9"/>
    <w:rsid w:val="00523EB0"/>
    <w:rsid w:val="00530AFD"/>
    <w:rsid w:val="00532D91"/>
    <w:rsid w:val="00537A85"/>
    <w:rsid w:val="005574FC"/>
    <w:rsid w:val="00560DC8"/>
    <w:rsid w:val="0056200F"/>
    <w:rsid w:val="00563E63"/>
    <w:rsid w:val="005644D3"/>
    <w:rsid w:val="00570383"/>
    <w:rsid w:val="00572AE3"/>
    <w:rsid w:val="00574E98"/>
    <w:rsid w:val="00575F40"/>
    <w:rsid w:val="00577C98"/>
    <w:rsid w:val="00584DA9"/>
    <w:rsid w:val="0058523E"/>
    <w:rsid w:val="0059238B"/>
    <w:rsid w:val="005939DA"/>
    <w:rsid w:val="00597203"/>
    <w:rsid w:val="005A0127"/>
    <w:rsid w:val="005A234A"/>
    <w:rsid w:val="005B7BB8"/>
    <w:rsid w:val="005C0A25"/>
    <w:rsid w:val="005C128C"/>
    <w:rsid w:val="005C1357"/>
    <w:rsid w:val="005C5E16"/>
    <w:rsid w:val="005C6ADC"/>
    <w:rsid w:val="005C75B9"/>
    <w:rsid w:val="005D13E0"/>
    <w:rsid w:val="005D2B1F"/>
    <w:rsid w:val="005D4EC0"/>
    <w:rsid w:val="005D4FAD"/>
    <w:rsid w:val="005E7517"/>
    <w:rsid w:val="005F18BD"/>
    <w:rsid w:val="005F44CF"/>
    <w:rsid w:val="005F57D6"/>
    <w:rsid w:val="005F68D0"/>
    <w:rsid w:val="006018FE"/>
    <w:rsid w:val="0060375C"/>
    <w:rsid w:val="00604D72"/>
    <w:rsid w:val="00606A49"/>
    <w:rsid w:val="00611D6F"/>
    <w:rsid w:val="006236D7"/>
    <w:rsid w:val="00623B32"/>
    <w:rsid w:val="00624553"/>
    <w:rsid w:val="00626233"/>
    <w:rsid w:val="0063015C"/>
    <w:rsid w:val="00632107"/>
    <w:rsid w:val="0063248C"/>
    <w:rsid w:val="006370FF"/>
    <w:rsid w:val="00640B62"/>
    <w:rsid w:val="006419DF"/>
    <w:rsid w:val="006520E2"/>
    <w:rsid w:val="006540D2"/>
    <w:rsid w:val="00662C03"/>
    <w:rsid w:val="00662CDE"/>
    <w:rsid w:val="00663E6E"/>
    <w:rsid w:val="00670C60"/>
    <w:rsid w:val="006719F1"/>
    <w:rsid w:val="006735D5"/>
    <w:rsid w:val="00681309"/>
    <w:rsid w:val="006834EE"/>
    <w:rsid w:val="00690BBD"/>
    <w:rsid w:val="00692A94"/>
    <w:rsid w:val="006A48E0"/>
    <w:rsid w:val="006A4B54"/>
    <w:rsid w:val="006A5A34"/>
    <w:rsid w:val="006B2DC7"/>
    <w:rsid w:val="006B5EAF"/>
    <w:rsid w:val="006B76BB"/>
    <w:rsid w:val="006C632A"/>
    <w:rsid w:val="006D1499"/>
    <w:rsid w:val="006D61E6"/>
    <w:rsid w:val="006E3C11"/>
    <w:rsid w:val="006F1470"/>
    <w:rsid w:val="006F21A3"/>
    <w:rsid w:val="006F4B5F"/>
    <w:rsid w:val="006F6BA2"/>
    <w:rsid w:val="007001C5"/>
    <w:rsid w:val="00703A6E"/>
    <w:rsid w:val="00713E2D"/>
    <w:rsid w:val="00716306"/>
    <w:rsid w:val="00717648"/>
    <w:rsid w:val="007209B7"/>
    <w:rsid w:val="007254ED"/>
    <w:rsid w:val="00725A61"/>
    <w:rsid w:val="00736D96"/>
    <w:rsid w:val="00740FCB"/>
    <w:rsid w:val="0074326D"/>
    <w:rsid w:val="007436B3"/>
    <w:rsid w:val="00745F12"/>
    <w:rsid w:val="00752358"/>
    <w:rsid w:val="00755C22"/>
    <w:rsid w:val="007566FF"/>
    <w:rsid w:val="007571D0"/>
    <w:rsid w:val="00757547"/>
    <w:rsid w:val="00757B9E"/>
    <w:rsid w:val="00757DC4"/>
    <w:rsid w:val="00760D04"/>
    <w:rsid w:val="007739FB"/>
    <w:rsid w:val="007755F7"/>
    <w:rsid w:val="00780437"/>
    <w:rsid w:val="00781581"/>
    <w:rsid w:val="00791282"/>
    <w:rsid w:val="007932F6"/>
    <w:rsid w:val="007A1A0E"/>
    <w:rsid w:val="007A2DE7"/>
    <w:rsid w:val="007A32EC"/>
    <w:rsid w:val="007A4F20"/>
    <w:rsid w:val="007B1652"/>
    <w:rsid w:val="007B6855"/>
    <w:rsid w:val="007B696C"/>
    <w:rsid w:val="007D1820"/>
    <w:rsid w:val="007D2B69"/>
    <w:rsid w:val="007D495E"/>
    <w:rsid w:val="007D4C6E"/>
    <w:rsid w:val="007E4A0B"/>
    <w:rsid w:val="007F4729"/>
    <w:rsid w:val="007F617D"/>
    <w:rsid w:val="007F6AEE"/>
    <w:rsid w:val="00803662"/>
    <w:rsid w:val="008047B1"/>
    <w:rsid w:val="00805A3B"/>
    <w:rsid w:val="0081016B"/>
    <w:rsid w:val="00820DF1"/>
    <w:rsid w:val="0084256C"/>
    <w:rsid w:val="00851A4A"/>
    <w:rsid w:val="00853C30"/>
    <w:rsid w:val="00854665"/>
    <w:rsid w:val="0085578C"/>
    <w:rsid w:val="00857440"/>
    <w:rsid w:val="00862EA0"/>
    <w:rsid w:val="0088551E"/>
    <w:rsid w:val="00890E25"/>
    <w:rsid w:val="008A1032"/>
    <w:rsid w:val="008B0063"/>
    <w:rsid w:val="008B44A3"/>
    <w:rsid w:val="008B6084"/>
    <w:rsid w:val="008B60DE"/>
    <w:rsid w:val="008C3A5C"/>
    <w:rsid w:val="008C3B0D"/>
    <w:rsid w:val="008D123F"/>
    <w:rsid w:val="008D3785"/>
    <w:rsid w:val="008D431F"/>
    <w:rsid w:val="008D4342"/>
    <w:rsid w:val="008D4BAE"/>
    <w:rsid w:val="008E0C60"/>
    <w:rsid w:val="008E17F3"/>
    <w:rsid w:val="008E1D02"/>
    <w:rsid w:val="008E5A75"/>
    <w:rsid w:val="008F3D78"/>
    <w:rsid w:val="008F4BBF"/>
    <w:rsid w:val="008F788F"/>
    <w:rsid w:val="00900539"/>
    <w:rsid w:val="00907223"/>
    <w:rsid w:val="00910228"/>
    <w:rsid w:val="009125E4"/>
    <w:rsid w:val="00921AD6"/>
    <w:rsid w:val="00922B8D"/>
    <w:rsid w:val="00930C83"/>
    <w:rsid w:val="00935DA7"/>
    <w:rsid w:val="009460B9"/>
    <w:rsid w:val="00947E84"/>
    <w:rsid w:val="00952A00"/>
    <w:rsid w:val="0095713B"/>
    <w:rsid w:val="00964593"/>
    <w:rsid w:val="00965F40"/>
    <w:rsid w:val="0097021E"/>
    <w:rsid w:val="00971B09"/>
    <w:rsid w:val="00974A71"/>
    <w:rsid w:val="00975D66"/>
    <w:rsid w:val="0097726D"/>
    <w:rsid w:val="009826B2"/>
    <w:rsid w:val="00984324"/>
    <w:rsid w:val="00994A26"/>
    <w:rsid w:val="00997E8D"/>
    <w:rsid w:val="009A730E"/>
    <w:rsid w:val="009B54AB"/>
    <w:rsid w:val="009B6750"/>
    <w:rsid w:val="009B6F80"/>
    <w:rsid w:val="009C47D3"/>
    <w:rsid w:val="009C512B"/>
    <w:rsid w:val="009D23E0"/>
    <w:rsid w:val="009D3997"/>
    <w:rsid w:val="009D55BE"/>
    <w:rsid w:val="009D5634"/>
    <w:rsid w:val="009E07FC"/>
    <w:rsid w:val="009E0BB9"/>
    <w:rsid w:val="009E1A7B"/>
    <w:rsid w:val="009E49BE"/>
    <w:rsid w:val="009F13C3"/>
    <w:rsid w:val="00A056B1"/>
    <w:rsid w:val="00A07694"/>
    <w:rsid w:val="00A16425"/>
    <w:rsid w:val="00A22D73"/>
    <w:rsid w:val="00A25A11"/>
    <w:rsid w:val="00A31F69"/>
    <w:rsid w:val="00A33DFF"/>
    <w:rsid w:val="00A37208"/>
    <w:rsid w:val="00A40F33"/>
    <w:rsid w:val="00A4165F"/>
    <w:rsid w:val="00A42050"/>
    <w:rsid w:val="00A44CE6"/>
    <w:rsid w:val="00A47883"/>
    <w:rsid w:val="00A67F86"/>
    <w:rsid w:val="00A72BF7"/>
    <w:rsid w:val="00A752CD"/>
    <w:rsid w:val="00A77451"/>
    <w:rsid w:val="00A80185"/>
    <w:rsid w:val="00A84FB1"/>
    <w:rsid w:val="00A872B8"/>
    <w:rsid w:val="00A87416"/>
    <w:rsid w:val="00A90909"/>
    <w:rsid w:val="00A90EA2"/>
    <w:rsid w:val="00A934CF"/>
    <w:rsid w:val="00A93C72"/>
    <w:rsid w:val="00A95AFD"/>
    <w:rsid w:val="00AA016C"/>
    <w:rsid w:val="00AA1F6F"/>
    <w:rsid w:val="00AA3389"/>
    <w:rsid w:val="00AB08EF"/>
    <w:rsid w:val="00AB3BDD"/>
    <w:rsid w:val="00AC6979"/>
    <w:rsid w:val="00AC7FF5"/>
    <w:rsid w:val="00AD13DB"/>
    <w:rsid w:val="00AD5412"/>
    <w:rsid w:val="00AD6E08"/>
    <w:rsid w:val="00AD7C64"/>
    <w:rsid w:val="00AE32DF"/>
    <w:rsid w:val="00AE7B60"/>
    <w:rsid w:val="00AF13E5"/>
    <w:rsid w:val="00AF453B"/>
    <w:rsid w:val="00B0194F"/>
    <w:rsid w:val="00B03963"/>
    <w:rsid w:val="00B058C7"/>
    <w:rsid w:val="00B15D95"/>
    <w:rsid w:val="00B22BA0"/>
    <w:rsid w:val="00B242E0"/>
    <w:rsid w:val="00B264B6"/>
    <w:rsid w:val="00B27B55"/>
    <w:rsid w:val="00B30A36"/>
    <w:rsid w:val="00B33C0C"/>
    <w:rsid w:val="00B401FF"/>
    <w:rsid w:val="00B47932"/>
    <w:rsid w:val="00B5486A"/>
    <w:rsid w:val="00B55170"/>
    <w:rsid w:val="00B5694D"/>
    <w:rsid w:val="00B60594"/>
    <w:rsid w:val="00B64DBF"/>
    <w:rsid w:val="00B67A38"/>
    <w:rsid w:val="00B706FC"/>
    <w:rsid w:val="00B71BD1"/>
    <w:rsid w:val="00B7259F"/>
    <w:rsid w:val="00B82DB3"/>
    <w:rsid w:val="00B84309"/>
    <w:rsid w:val="00B87FC3"/>
    <w:rsid w:val="00B91F40"/>
    <w:rsid w:val="00B93F2F"/>
    <w:rsid w:val="00BA4C15"/>
    <w:rsid w:val="00BA54D3"/>
    <w:rsid w:val="00BB4ED1"/>
    <w:rsid w:val="00BB5F7F"/>
    <w:rsid w:val="00BC33D5"/>
    <w:rsid w:val="00BC5509"/>
    <w:rsid w:val="00BC7661"/>
    <w:rsid w:val="00BD1CE9"/>
    <w:rsid w:val="00BD4721"/>
    <w:rsid w:val="00BD79EA"/>
    <w:rsid w:val="00BE4C36"/>
    <w:rsid w:val="00BE63EB"/>
    <w:rsid w:val="00BF4F3C"/>
    <w:rsid w:val="00BF69E0"/>
    <w:rsid w:val="00C069E5"/>
    <w:rsid w:val="00C0744D"/>
    <w:rsid w:val="00C1160F"/>
    <w:rsid w:val="00C12224"/>
    <w:rsid w:val="00C17259"/>
    <w:rsid w:val="00C173A8"/>
    <w:rsid w:val="00C20A0B"/>
    <w:rsid w:val="00C24363"/>
    <w:rsid w:val="00C25323"/>
    <w:rsid w:val="00C34DAD"/>
    <w:rsid w:val="00C35716"/>
    <w:rsid w:val="00C36D44"/>
    <w:rsid w:val="00C4216D"/>
    <w:rsid w:val="00C5016E"/>
    <w:rsid w:val="00C527D0"/>
    <w:rsid w:val="00C575A8"/>
    <w:rsid w:val="00C61876"/>
    <w:rsid w:val="00C66B66"/>
    <w:rsid w:val="00C70503"/>
    <w:rsid w:val="00C75FF9"/>
    <w:rsid w:val="00C91AB8"/>
    <w:rsid w:val="00C955EB"/>
    <w:rsid w:val="00CA0011"/>
    <w:rsid w:val="00CA1297"/>
    <w:rsid w:val="00CB69D1"/>
    <w:rsid w:val="00CC1A36"/>
    <w:rsid w:val="00CC3FDD"/>
    <w:rsid w:val="00CD118D"/>
    <w:rsid w:val="00CD7CB5"/>
    <w:rsid w:val="00CF35A8"/>
    <w:rsid w:val="00D00C44"/>
    <w:rsid w:val="00D01672"/>
    <w:rsid w:val="00D02BC1"/>
    <w:rsid w:val="00D04771"/>
    <w:rsid w:val="00D12FF2"/>
    <w:rsid w:val="00D22477"/>
    <w:rsid w:val="00D23A93"/>
    <w:rsid w:val="00D25911"/>
    <w:rsid w:val="00D51D98"/>
    <w:rsid w:val="00D63E9E"/>
    <w:rsid w:val="00D67273"/>
    <w:rsid w:val="00D679C1"/>
    <w:rsid w:val="00D70566"/>
    <w:rsid w:val="00D7472F"/>
    <w:rsid w:val="00D800AF"/>
    <w:rsid w:val="00D822A5"/>
    <w:rsid w:val="00DA3EA5"/>
    <w:rsid w:val="00DB3859"/>
    <w:rsid w:val="00DB481E"/>
    <w:rsid w:val="00DB7F18"/>
    <w:rsid w:val="00DC5093"/>
    <w:rsid w:val="00DC6D34"/>
    <w:rsid w:val="00DD3BE0"/>
    <w:rsid w:val="00DE044B"/>
    <w:rsid w:val="00DE6C36"/>
    <w:rsid w:val="00DF0F12"/>
    <w:rsid w:val="00DF31FE"/>
    <w:rsid w:val="00E05D90"/>
    <w:rsid w:val="00E1259C"/>
    <w:rsid w:val="00E16F06"/>
    <w:rsid w:val="00E33A4E"/>
    <w:rsid w:val="00E3576E"/>
    <w:rsid w:val="00E35EE1"/>
    <w:rsid w:val="00E40CAD"/>
    <w:rsid w:val="00E40F16"/>
    <w:rsid w:val="00E42557"/>
    <w:rsid w:val="00E45DB6"/>
    <w:rsid w:val="00E51D28"/>
    <w:rsid w:val="00E52D2A"/>
    <w:rsid w:val="00E55EBD"/>
    <w:rsid w:val="00E6101B"/>
    <w:rsid w:val="00E6410A"/>
    <w:rsid w:val="00E64D12"/>
    <w:rsid w:val="00E65FB6"/>
    <w:rsid w:val="00E66F3E"/>
    <w:rsid w:val="00E704F6"/>
    <w:rsid w:val="00E70B05"/>
    <w:rsid w:val="00E72649"/>
    <w:rsid w:val="00E77AB3"/>
    <w:rsid w:val="00E822F0"/>
    <w:rsid w:val="00E828A3"/>
    <w:rsid w:val="00E84CE0"/>
    <w:rsid w:val="00E93E01"/>
    <w:rsid w:val="00E94078"/>
    <w:rsid w:val="00E94232"/>
    <w:rsid w:val="00EB0DCC"/>
    <w:rsid w:val="00EB22EE"/>
    <w:rsid w:val="00EB3399"/>
    <w:rsid w:val="00EB5F1A"/>
    <w:rsid w:val="00EC010E"/>
    <w:rsid w:val="00EC0CBC"/>
    <w:rsid w:val="00EC10C8"/>
    <w:rsid w:val="00EE5943"/>
    <w:rsid w:val="00EE7131"/>
    <w:rsid w:val="00F021AF"/>
    <w:rsid w:val="00F13AAE"/>
    <w:rsid w:val="00F2274B"/>
    <w:rsid w:val="00F23308"/>
    <w:rsid w:val="00F30C55"/>
    <w:rsid w:val="00F30FAB"/>
    <w:rsid w:val="00F3156D"/>
    <w:rsid w:val="00F31F90"/>
    <w:rsid w:val="00F3658F"/>
    <w:rsid w:val="00F36DB5"/>
    <w:rsid w:val="00F37FB5"/>
    <w:rsid w:val="00F40D7C"/>
    <w:rsid w:val="00F43501"/>
    <w:rsid w:val="00F47F55"/>
    <w:rsid w:val="00F50400"/>
    <w:rsid w:val="00F64FD1"/>
    <w:rsid w:val="00F72027"/>
    <w:rsid w:val="00F72CA9"/>
    <w:rsid w:val="00F73843"/>
    <w:rsid w:val="00F8113D"/>
    <w:rsid w:val="00F826E4"/>
    <w:rsid w:val="00F92489"/>
    <w:rsid w:val="00F924F0"/>
    <w:rsid w:val="00F929DD"/>
    <w:rsid w:val="00FA18D7"/>
    <w:rsid w:val="00FA6458"/>
    <w:rsid w:val="00FA68BC"/>
    <w:rsid w:val="00FB063B"/>
    <w:rsid w:val="00FB43A4"/>
    <w:rsid w:val="00FB73EC"/>
    <w:rsid w:val="00FC19CA"/>
    <w:rsid w:val="00FD2A01"/>
    <w:rsid w:val="00FD4E4D"/>
    <w:rsid w:val="00FE3A59"/>
    <w:rsid w:val="00FE44A9"/>
    <w:rsid w:val="00FF05A4"/>
    <w:rsid w:val="00FF1655"/>
    <w:rsid w:val="00FF2964"/>
    <w:rsid w:val="00FF2D5F"/>
    <w:rsid w:val="00FF7BFD"/>
    <w:rsid w:val="01062EEC"/>
    <w:rsid w:val="010F1DA1"/>
    <w:rsid w:val="01170C55"/>
    <w:rsid w:val="011751C1"/>
    <w:rsid w:val="01207B0A"/>
    <w:rsid w:val="01282E62"/>
    <w:rsid w:val="01286562"/>
    <w:rsid w:val="012B1219"/>
    <w:rsid w:val="0134241A"/>
    <w:rsid w:val="013A2B3D"/>
    <w:rsid w:val="013C0C81"/>
    <w:rsid w:val="014632E9"/>
    <w:rsid w:val="014A51C2"/>
    <w:rsid w:val="01541F6F"/>
    <w:rsid w:val="01653635"/>
    <w:rsid w:val="01797F8F"/>
    <w:rsid w:val="017E0CD4"/>
    <w:rsid w:val="017E77AA"/>
    <w:rsid w:val="017F442F"/>
    <w:rsid w:val="01875164"/>
    <w:rsid w:val="01877B89"/>
    <w:rsid w:val="019404F8"/>
    <w:rsid w:val="01975EB6"/>
    <w:rsid w:val="019B3631"/>
    <w:rsid w:val="01B36BD0"/>
    <w:rsid w:val="01B52761"/>
    <w:rsid w:val="01B6221C"/>
    <w:rsid w:val="01B73BF6"/>
    <w:rsid w:val="01B82438"/>
    <w:rsid w:val="01B91D0C"/>
    <w:rsid w:val="01BF37C7"/>
    <w:rsid w:val="01C0753F"/>
    <w:rsid w:val="01D1680C"/>
    <w:rsid w:val="01D27C56"/>
    <w:rsid w:val="01D6466C"/>
    <w:rsid w:val="01EF6C32"/>
    <w:rsid w:val="01F3521E"/>
    <w:rsid w:val="01F35A39"/>
    <w:rsid w:val="01FB0A77"/>
    <w:rsid w:val="01FF1E15"/>
    <w:rsid w:val="020114D3"/>
    <w:rsid w:val="02114374"/>
    <w:rsid w:val="0214342F"/>
    <w:rsid w:val="02144710"/>
    <w:rsid w:val="02187528"/>
    <w:rsid w:val="021D673F"/>
    <w:rsid w:val="02322072"/>
    <w:rsid w:val="023868B8"/>
    <w:rsid w:val="023A3927"/>
    <w:rsid w:val="023C3B1F"/>
    <w:rsid w:val="023D293E"/>
    <w:rsid w:val="02431117"/>
    <w:rsid w:val="02470CEB"/>
    <w:rsid w:val="024D61AB"/>
    <w:rsid w:val="02586E63"/>
    <w:rsid w:val="0273010D"/>
    <w:rsid w:val="027A5940"/>
    <w:rsid w:val="02832A46"/>
    <w:rsid w:val="02881AF1"/>
    <w:rsid w:val="028E3199"/>
    <w:rsid w:val="02954528"/>
    <w:rsid w:val="02961B16"/>
    <w:rsid w:val="02963DFC"/>
    <w:rsid w:val="029A1B3E"/>
    <w:rsid w:val="02A76009"/>
    <w:rsid w:val="02B07F51"/>
    <w:rsid w:val="02B357CA"/>
    <w:rsid w:val="02B40E52"/>
    <w:rsid w:val="02B7449E"/>
    <w:rsid w:val="02B80216"/>
    <w:rsid w:val="02CA1BDD"/>
    <w:rsid w:val="02CB0E60"/>
    <w:rsid w:val="02CD1F13"/>
    <w:rsid w:val="02CF1D9B"/>
    <w:rsid w:val="02D30389"/>
    <w:rsid w:val="02D50DC8"/>
    <w:rsid w:val="02D57E40"/>
    <w:rsid w:val="02D74B40"/>
    <w:rsid w:val="02DA750A"/>
    <w:rsid w:val="02E67E06"/>
    <w:rsid w:val="02F456F2"/>
    <w:rsid w:val="02F476BB"/>
    <w:rsid w:val="02F96864"/>
    <w:rsid w:val="02FB4EA7"/>
    <w:rsid w:val="03072AA0"/>
    <w:rsid w:val="0309532E"/>
    <w:rsid w:val="030B6598"/>
    <w:rsid w:val="03162648"/>
    <w:rsid w:val="03174F3D"/>
    <w:rsid w:val="03195AC6"/>
    <w:rsid w:val="031A67DB"/>
    <w:rsid w:val="0323443A"/>
    <w:rsid w:val="032A6C9B"/>
    <w:rsid w:val="03321D76"/>
    <w:rsid w:val="03372A1A"/>
    <w:rsid w:val="03391357"/>
    <w:rsid w:val="033E071B"/>
    <w:rsid w:val="034D095E"/>
    <w:rsid w:val="034D4E02"/>
    <w:rsid w:val="03531ABE"/>
    <w:rsid w:val="035E32C9"/>
    <w:rsid w:val="03634626"/>
    <w:rsid w:val="03645BF2"/>
    <w:rsid w:val="036839EA"/>
    <w:rsid w:val="036F39FE"/>
    <w:rsid w:val="03712074"/>
    <w:rsid w:val="0371289F"/>
    <w:rsid w:val="03794064"/>
    <w:rsid w:val="037B54CB"/>
    <w:rsid w:val="038D16A3"/>
    <w:rsid w:val="038D292B"/>
    <w:rsid w:val="03926CE1"/>
    <w:rsid w:val="039C77C9"/>
    <w:rsid w:val="039E11BA"/>
    <w:rsid w:val="03AF1619"/>
    <w:rsid w:val="03B05E7E"/>
    <w:rsid w:val="03BE185C"/>
    <w:rsid w:val="03C34469"/>
    <w:rsid w:val="03CC705D"/>
    <w:rsid w:val="03D66BA6"/>
    <w:rsid w:val="03D746CC"/>
    <w:rsid w:val="03D97898"/>
    <w:rsid w:val="03DF3D4F"/>
    <w:rsid w:val="03E312C3"/>
    <w:rsid w:val="03F64124"/>
    <w:rsid w:val="04021749"/>
    <w:rsid w:val="04040C28"/>
    <w:rsid w:val="0407191F"/>
    <w:rsid w:val="04082AD7"/>
    <w:rsid w:val="040A1364"/>
    <w:rsid w:val="04107CBF"/>
    <w:rsid w:val="04161FC2"/>
    <w:rsid w:val="041900E7"/>
    <w:rsid w:val="041C0406"/>
    <w:rsid w:val="04221DEB"/>
    <w:rsid w:val="04293179"/>
    <w:rsid w:val="04357D70"/>
    <w:rsid w:val="043A35D9"/>
    <w:rsid w:val="043F474B"/>
    <w:rsid w:val="0441727D"/>
    <w:rsid w:val="044624F5"/>
    <w:rsid w:val="0446764A"/>
    <w:rsid w:val="0457395D"/>
    <w:rsid w:val="046631AC"/>
    <w:rsid w:val="0466617C"/>
    <w:rsid w:val="04695C6C"/>
    <w:rsid w:val="046C5151"/>
    <w:rsid w:val="046E3282"/>
    <w:rsid w:val="048C3212"/>
    <w:rsid w:val="048E122E"/>
    <w:rsid w:val="048E56D2"/>
    <w:rsid w:val="049031F8"/>
    <w:rsid w:val="04932DEE"/>
    <w:rsid w:val="049C7DEF"/>
    <w:rsid w:val="049F51EA"/>
    <w:rsid w:val="04AC7907"/>
    <w:rsid w:val="04AE367F"/>
    <w:rsid w:val="04B04FD3"/>
    <w:rsid w:val="04B52C5F"/>
    <w:rsid w:val="04BE5FB8"/>
    <w:rsid w:val="04BF2C00"/>
    <w:rsid w:val="04C16179"/>
    <w:rsid w:val="04C40A71"/>
    <w:rsid w:val="04C66C1A"/>
    <w:rsid w:val="04DA0918"/>
    <w:rsid w:val="04DD463D"/>
    <w:rsid w:val="04F25C61"/>
    <w:rsid w:val="05087233"/>
    <w:rsid w:val="051255C1"/>
    <w:rsid w:val="052838D4"/>
    <w:rsid w:val="0533072D"/>
    <w:rsid w:val="0536450D"/>
    <w:rsid w:val="053A3164"/>
    <w:rsid w:val="054D10EA"/>
    <w:rsid w:val="05522AFC"/>
    <w:rsid w:val="05530D57"/>
    <w:rsid w:val="055A55B4"/>
    <w:rsid w:val="05665D07"/>
    <w:rsid w:val="05692B22"/>
    <w:rsid w:val="056A2C18"/>
    <w:rsid w:val="056F3343"/>
    <w:rsid w:val="0593203B"/>
    <w:rsid w:val="059E2014"/>
    <w:rsid w:val="05A0746B"/>
    <w:rsid w:val="05A36F5B"/>
    <w:rsid w:val="05AB7BBE"/>
    <w:rsid w:val="05B957F4"/>
    <w:rsid w:val="05BF2781"/>
    <w:rsid w:val="05C23970"/>
    <w:rsid w:val="05D13AC9"/>
    <w:rsid w:val="05D830A9"/>
    <w:rsid w:val="05E97064"/>
    <w:rsid w:val="05F90333"/>
    <w:rsid w:val="05FD2B10"/>
    <w:rsid w:val="060C4B01"/>
    <w:rsid w:val="06121460"/>
    <w:rsid w:val="0616772D"/>
    <w:rsid w:val="061E65E2"/>
    <w:rsid w:val="06233200"/>
    <w:rsid w:val="062A7152"/>
    <w:rsid w:val="062C51A3"/>
    <w:rsid w:val="062E0F1B"/>
    <w:rsid w:val="06366C61"/>
    <w:rsid w:val="0641468B"/>
    <w:rsid w:val="064222D0"/>
    <w:rsid w:val="064415F4"/>
    <w:rsid w:val="064A387B"/>
    <w:rsid w:val="064E6EC7"/>
    <w:rsid w:val="06530982"/>
    <w:rsid w:val="066E1982"/>
    <w:rsid w:val="066F0BD6"/>
    <w:rsid w:val="06795A64"/>
    <w:rsid w:val="0684150A"/>
    <w:rsid w:val="068E19BA"/>
    <w:rsid w:val="068F128E"/>
    <w:rsid w:val="06930D7E"/>
    <w:rsid w:val="069B2412"/>
    <w:rsid w:val="06AE2EE0"/>
    <w:rsid w:val="06B95D59"/>
    <w:rsid w:val="06BF6017"/>
    <w:rsid w:val="06C21663"/>
    <w:rsid w:val="06C90163"/>
    <w:rsid w:val="06D849E3"/>
    <w:rsid w:val="06DA11F3"/>
    <w:rsid w:val="06E36237"/>
    <w:rsid w:val="06E67292"/>
    <w:rsid w:val="06E94E42"/>
    <w:rsid w:val="06EB6E0C"/>
    <w:rsid w:val="06F2636C"/>
    <w:rsid w:val="06F35CC1"/>
    <w:rsid w:val="070A079B"/>
    <w:rsid w:val="07193FBF"/>
    <w:rsid w:val="07197150"/>
    <w:rsid w:val="071D591B"/>
    <w:rsid w:val="072A2F74"/>
    <w:rsid w:val="0737795B"/>
    <w:rsid w:val="075449B1"/>
    <w:rsid w:val="075500C0"/>
    <w:rsid w:val="075511A8"/>
    <w:rsid w:val="075A189C"/>
    <w:rsid w:val="075C73C2"/>
    <w:rsid w:val="076444C8"/>
    <w:rsid w:val="076646E5"/>
    <w:rsid w:val="0772095E"/>
    <w:rsid w:val="077706A0"/>
    <w:rsid w:val="077B6D97"/>
    <w:rsid w:val="077F1302"/>
    <w:rsid w:val="078132CC"/>
    <w:rsid w:val="079A5691"/>
    <w:rsid w:val="079F3753"/>
    <w:rsid w:val="07AF38C6"/>
    <w:rsid w:val="07B3140E"/>
    <w:rsid w:val="07C46095"/>
    <w:rsid w:val="07C6161D"/>
    <w:rsid w:val="07D21289"/>
    <w:rsid w:val="07D64087"/>
    <w:rsid w:val="07D72EEC"/>
    <w:rsid w:val="07E23C5D"/>
    <w:rsid w:val="07E86408"/>
    <w:rsid w:val="07F933E3"/>
    <w:rsid w:val="07F96F2F"/>
    <w:rsid w:val="080628B6"/>
    <w:rsid w:val="0814716B"/>
    <w:rsid w:val="081E0B1B"/>
    <w:rsid w:val="08337756"/>
    <w:rsid w:val="08367069"/>
    <w:rsid w:val="08371125"/>
    <w:rsid w:val="083B347B"/>
    <w:rsid w:val="084535F1"/>
    <w:rsid w:val="084836BC"/>
    <w:rsid w:val="084F33CB"/>
    <w:rsid w:val="085032DE"/>
    <w:rsid w:val="085D7896"/>
    <w:rsid w:val="08687FE8"/>
    <w:rsid w:val="086C5D2B"/>
    <w:rsid w:val="086D4303"/>
    <w:rsid w:val="08793FA4"/>
    <w:rsid w:val="08931802"/>
    <w:rsid w:val="08971F79"/>
    <w:rsid w:val="089C0F98"/>
    <w:rsid w:val="089C77B4"/>
    <w:rsid w:val="08B11389"/>
    <w:rsid w:val="08B80F70"/>
    <w:rsid w:val="08CA4C07"/>
    <w:rsid w:val="08CF1E16"/>
    <w:rsid w:val="08D12032"/>
    <w:rsid w:val="08D14B85"/>
    <w:rsid w:val="08D226FF"/>
    <w:rsid w:val="08D8516E"/>
    <w:rsid w:val="08E7715F"/>
    <w:rsid w:val="08F8136C"/>
    <w:rsid w:val="090D7CA8"/>
    <w:rsid w:val="091066B6"/>
    <w:rsid w:val="09151F1E"/>
    <w:rsid w:val="091C13C7"/>
    <w:rsid w:val="091F2D9D"/>
    <w:rsid w:val="092108C3"/>
    <w:rsid w:val="09267C87"/>
    <w:rsid w:val="092B02B1"/>
    <w:rsid w:val="092B25A7"/>
    <w:rsid w:val="092C7268"/>
    <w:rsid w:val="092D54BA"/>
    <w:rsid w:val="093525C0"/>
    <w:rsid w:val="093B77C5"/>
    <w:rsid w:val="093E76C7"/>
    <w:rsid w:val="093F28F7"/>
    <w:rsid w:val="0944791E"/>
    <w:rsid w:val="094620D8"/>
    <w:rsid w:val="095011A8"/>
    <w:rsid w:val="09526CCE"/>
    <w:rsid w:val="095E1ED5"/>
    <w:rsid w:val="09756E61"/>
    <w:rsid w:val="0978425B"/>
    <w:rsid w:val="097D074F"/>
    <w:rsid w:val="09926C87"/>
    <w:rsid w:val="09960471"/>
    <w:rsid w:val="09AD06F1"/>
    <w:rsid w:val="09BE2A56"/>
    <w:rsid w:val="09E14BEC"/>
    <w:rsid w:val="09E162A4"/>
    <w:rsid w:val="09F62117"/>
    <w:rsid w:val="09FB5325"/>
    <w:rsid w:val="0A15050F"/>
    <w:rsid w:val="0A1B36D6"/>
    <w:rsid w:val="0A2B4BEE"/>
    <w:rsid w:val="0A2C5771"/>
    <w:rsid w:val="0A3F3469"/>
    <w:rsid w:val="0A424F95"/>
    <w:rsid w:val="0A430D0D"/>
    <w:rsid w:val="0A4F1460"/>
    <w:rsid w:val="0A4F605B"/>
    <w:rsid w:val="0A4F76B2"/>
    <w:rsid w:val="0A535E0F"/>
    <w:rsid w:val="0A5C7676"/>
    <w:rsid w:val="0A636CB9"/>
    <w:rsid w:val="0A653A84"/>
    <w:rsid w:val="0A7332A8"/>
    <w:rsid w:val="0A7560ED"/>
    <w:rsid w:val="0A7A254C"/>
    <w:rsid w:val="0A7F59C4"/>
    <w:rsid w:val="0A821835"/>
    <w:rsid w:val="0A825052"/>
    <w:rsid w:val="0A870BFA"/>
    <w:rsid w:val="0A8F74CA"/>
    <w:rsid w:val="0A9D21CB"/>
    <w:rsid w:val="0A9F5D59"/>
    <w:rsid w:val="0AA417AC"/>
    <w:rsid w:val="0AA7304A"/>
    <w:rsid w:val="0AB15C77"/>
    <w:rsid w:val="0AB176BD"/>
    <w:rsid w:val="0AB3379D"/>
    <w:rsid w:val="0AB66FEF"/>
    <w:rsid w:val="0ABF6006"/>
    <w:rsid w:val="0AC26E73"/>
    <w:rsid w:val="0AC41E4E"/>
    <w:rsid w:val="0AC76EA8"/>
    <w:rsid w:val="0ADC2E3D"/>
    <w:rsid w:val="0ADC3A6D"/>
    <w:rsid w:val="0AE0655C"/>
    <w:rsid w:val="0AEA3AA5"/>
    <w:rsid w:val="0AEC3153"/>
    <w:rsid w:val="0AF142C5"/>
    <w:rsid w:val="0AF14803"/>
    <w:rsid w:val="0AF3003D"/>
    <w:rsid w:val="0AFD14DF"/>
    <w:rsid w:val="0B04224A"/>
    <w:rsid w:val="0B093D05"/>
    <w:rsid w:val="0B0B360F"/>
    <w:rsid w:val="0B0C6B37"/>
    <w:rsid w:val="0B0F5B25"/>
    <w:rsid w:val="0B1B7594"/>
    <w:rsid w:val="0B200132"/>
    <w:rsid w:val="0B2B5A29"/>
    <w:rsid w:val="0B2D79F3"/>
    <w:rsid w:val="0B3D2B4A"/>
    <w:rsid w:val="0B462863"/>
    <w:rsid w:val="0B462983"/>
    <w:rsid w:val="0B5B4F86"/>
    <w:rsid w:val="0B5D7BAD"/>
    <w:rsid w:val="0B640F3B"/>
    <w:rsid w:val="0B6E1DBA"/>
    <w:rsid w:val="0B7373D0"/>
    <w:rsid w:val="0B7C007F"/>
    <w:rsid w:val="0B8A3342"/>
    <w:rsid w:val="0B8E420A"/>
    <w:rsid w:val="0B8E7D66"/>
    <w:rsid w:val="0B921F8C"/>
    <w:rsid w:val="0B925AA8"/>
    <w:rsid w:val="0B995089"/>
    <w:rsid w:val="0B9A25AD"/>
    <w:rsid w:val="0BAE21B6"/>
    <w:rsid w:val="0BAF5AD7"/>
    <w:rsid w:val="0BB05F2E"/>
    <w:rsid w:val="0BB772BD"/>
    <w:rsid w:val="0BBA62E2"/>
    <w:rsid w:val="0BBF4A1E"/>
    <w:rsid w:val="0BC1013B"/>
    <w:rsid w:val="0BC55E7E"/>
    <w:rsid w:val="0BC570D4"/>
    <w:rsid w:val="0BC814CA"/>
    <w:rsid w:val="0BCB720C"/>
    <w:rsid w:val="0BD95485"/>
    <w:rsid w:val="0BDE421E"/>
    <w:rsid w:val="0BEE0A4E"/>
    <w:rsid w:val="0BEF4A36"/>
    <w:rsid w:val="0C076B26"/>
    <w:rsid w:val="0C0C64FE"/>
    <w:rsid w:val="0C160487"/>
    <w:rsid w:val="0C3249C2"/>
    <w:rsid w:val="0C3B7EEE"/>
    <w:rsid w:val="0C50326D"/>
    <w:rsid w:val="0C525237"/>
    <w:rsid w:val="0C5C26E6"/>
    <w:rsid w:val="0C76161C"/>
    <w:rsid w:val="0C7E7DDA"/>
    <w:rsid w:val="0C8460D5"/>
    <w:rsid w:val="0CA746F4"/>
    <w:rsid w:val="0CAA3030"/>
    <w:rsid w:val="0CAC0DEC"/>
    <w:rsid w:val="0CBB2DDD"/>
    <w:rsid w:val="0CC14C34"/>
    <w:rsid w:val="0CCA738F"/>
    <w:rsid w:val="0CD13A10"/>
    <w:rsid w:val="0CD45C4C"/>
    <w:rsid w:val="0CD81BE1"/>
    <w:rsid w:val="0CDB64C6"/>
    <w:rsid w:val="0CF276C0"/>
    <w:rsid w:val="0CFA1B57"/>
    <w:rsid w:val="0D005ACD"/>
    <w:rsid w:val="0D0B5B12"/>
    <w:rsid w:val="0D0E71F3"/>
    <w:rsid w:val="0D180633"/>
    <w:rsid w:val="0D197B03"/>
    <w:rsid w:val="0D1A3FA7"/>
    <w:rsid w:val="0D2A621F"/>
    <w:rsid w:val="0D3037CB"/>
    <w:rsid w:val="0D330F98"/>
    <w:rsid w:val="0D366907"/>
    <w:rsid w:val="0D3861DB"/>
    <w:rsid w:val="0D3864C3"/>
    <w:rsid w:val="0D387DF4"/>
    <w:rsid w:val="0D3C216F"/>
    <w:rsid w:val="0D4350B1"/>
    <w:rsid w:val="0D463A32"/>
    <w:rsid w:val="0D520831"/>
    <w:rsid w:val="0D553231"/>
    <w:rsid w:val="0D576FA9"/>
    <w:rsid w:val="0D5D20E6"/>
    <w:rsid w:val="0D6D5D30"/>
    <w:rsid w:val="0D6D7196"/>
    <w:rsid w:val="0D766D04"/>
    <w:rsid w:val="0D8A703E"/>
    <w:rsid w:val="0D9755F8"/>
    <w:rsid w:val="0D9E6986"/>
    <w:rsid w:val="0DA87805"/>
    <w:rsid w:val="0DB937C0"/>
    <w:rsid w:val="0DC43F13"/>
    <w:rsid w:val="0DC7672D"/>
    <w:rsid w:val="0DCB2C80"/>
    <w:rsid w:val="0DCF4D92"/>
    <w:rsid w:val="0DD32A31"/>
    <w:rsid w:val="0DDA7292"/>
    <w:rsid w:val="0DDE102D"/>
    <w:rsid w:val="0DDF0D62"/>
    <w:rsid w:val="0DE54F89"/>
    <w:rsid w:val="0DF1454B"/>
    <w:rsid w:val="0DF26CD2"/>
    <w:rsid w:val="0DF30354"/>
    <w:rsid w:val="0E0802A4"/>
    <w:rsid w:val="0E0F3DF7"/>
    <w:rsid w:val="0E106B7D"/>
    <w:rsid w:val="0E1D1125"/>
    <w:rsid w:val="0E1E1875"/>
    <w:rsid w:val="0E2573BC"/>
    <w:rsid w:val="0E2B5D40"/>
    <w:rsid w:val="0E2C21E4"/>
    <w:rsid w:val="0E323572"/>
    <w:rsid w:val="0E39220B"/>
    <w:rsid w:val="0E3B320C"/>
    <w:rsid w:val="0E3F3599"/>
    <w:rsid w:val="0E411AF2"/>
    <w:rsid w:val="0E5C00B0"/>
    <w:rsid w:val="0E601E8E"/>
    <w:rsid w:val="0E721BC1"/>
    <w:rsid w:val="0E745939"/>
    <w:rsid w:val="0E8F4521"/>
    <w:rsid w:val="0E910299"/>
    <w:rsid w:val="0E981627"/>
    <w:rsid w:val="0EAA02AB"/>
    <w:rsid w:val="0EB126E9"/>
    <w:rsid w:val="0EB57A4D"/>
    <w:rsid w:val="0ECA2A51"/>
    <w:rsid w:val="0ECA7307"/>
    <w:rsid w:val="0ED85EC8"/>
    <w:rsid w:val="0EDB12F2"/>
    <w:rsid w:val="0EE0143B"/>
    <w:rsid w:val="0F0071CD"/>
    <w:rsid w:val="0F0C6950"/>
    <w:rsid w:val="0F117847"/>
    <w:rsid w:val="0F127E5A"/>
    <w:rsid w:val="0F227C81"/>
    <w:rsid w:val="0F2844BF"/>
    <w:rsid w:val="0F307AB2"/>
    <w:rsid w:val="0F31382A"/>
    <w:rsid w:val="0F375DC4"/>
    <w:rsid w:val="0F3A79F3"/>
    <w:rsid w:val="0F3F1AA3"/>
    <w:rsid w:val="0F421593"/>
    <w:rsid w:val="0F4277E5"/>
    <w:rsid w:val="0F452E31"/>
    <w:rsid w:val="0F4946D0"/>
    <w:rsid w:val="0F517A28"/>
    <w:rsid w:val="0F572B3C"/>
    <w:rsid w:val="0F5A5D56"/>
    <w:rsid w:val="0F5A68DD"/>
    <w:rsid w:val="0F5F460A"/>
    <w:rsid w:val="0F6642F1"/>
    <w:rsid w:val="0F6849F5"/>
    <w:rsid w:val="0F6C03BE"/>
    <w:rsid w:val="0F8C02DB"/>
    <w:rsid w:val="0F8C280E"/>
    <w:rsid w:val="0FA638D0"/>
    <w:rsid w:val="0FAF55D0"/>
    <w:rsid w:val="0FB26719"/>
    <w:rsid w:val="0FB7580F"/>
    <w:rsid w:val="0FC87CEA"/>
    <w:rsid w:val="0FCC70AF"/>
    <w:rsid w:val="0FE5156C"/>
    <w:rsid w:val="0FF705D0"/>
    <w:rsid w:val="100128BB"/>
    <w:rsid w:val="10121653"/>
    <w:rsid w:val="101A2510"/>
    <w:rsid w:val="102B64CB"/>
    <w:rsid w:val="102F6012"/>
    <w:rsid w:val="10300DA1"/>
    <w:rsid w:val="1030763E"/>
    <w:rsid w:val="10321608"/>
    <w:rsid w:val="10327F45"/>
    <w:rsid w:val="104650B3"/>
    <w:rsid w:val="105552F6"/>
    <w:rsid w:val="10556DBB"/>
    <w:rsid w:val="105B1AB4"/>
    <w:rsid w:val="105D08B4"/>
    <w:rsid w:val="10666DF7"/>
    <w:rsid w:val="106B1D32"/>
    <w:rsid w:val="106F18A1"/>
    <w:rsid w:val="107D050E"/>
    <w:rsid w:val="108131DF"/>
    <w:rsid w:val="108A31F2"/>
    <w:rsid w:val="10936A4E"/>
    <w:rsid w:val="109C64BB"/>
    <w:rsid w:val="10A06571"/>
    <w:rsid w:val="10A5627E"/>
    <w:rsid w:val="10A65B52"/>
    <w:rsid w:val="10AB4366"/>
    <w:rsid w:val="10AD5132"/>
    <w:rsid w:val="10B62239"/>
    <w:rsid w:val="10B62FD4"/>
    <w:rsid w:val="10B75E3C"/>
    <w:rsid w:val="10BD6418"/>
    <w:rsid w:val="10BE2E9B"/>
    <w:rsid w:val="10C57F43"/>
    <w:rsid w:val="10C76755"/>
    <w:rsid w:val="10D5167D"/>
    <w:rsid w:val="10E36DA6"/>
    <w:rsid w:val="10F20D97"/>
    <w:rsid w:val="10F5698E"/>
    <w:rsid w:val="10F6011B"/>
    <w:rsid w:val="110765F0"/>
    <w:rsid w:val="110C3C07"/>
    <w:rsid w:val="110D2290"/>
    <w:rsid w:val="110F1949"/>
    <w:rsid w:val="111B11A3"/>
    <w:rsid w:val="111F7DDE"/>
    <w:rsid w:val="11230F50"/>
    <w:rsid w:val="11266C1D"/>
    <w:rsid w:val="11344FBA"/>
    <w:rsid w:val="113B5216"/>
    <w:rsid w:val="11407D54"/>
    <w:rsid w:val="1142587A"/>
    <w:rsid w:val="115953C8"/>
    <w:rsid w:val="115D0314"/>
    <w:rsid w:val="116C6D9B"/>
    <w:rsid w:val="117619C8"/>
    <w:rsid w:val="1177112D"/>
    <w:rsid w:val="1178430B"/>
    <w:rsid w:val="11796A10"/>
    <w:rsid w:val="117F087D"/>
    <w:rsid w:val="1184277B"/>
    <w:rsid w:val="118539B9"/>
    <w:rsid w:val="119D51A7"/>
    <w:rsid w:val="11A665C2"/>
    <w:rsid w:val="11AB4A2E"/>
    <w:rsid w:val="11B76268"/>
    <w:rsid w:val="11BE691E"/>
    <w:rsid w:val="11D0690B"/>
    <w:rsid w:val="11D5049D"/>
    <w:rsid w:val="11E15093"/>
    <w:rsid w:val="11F50CA6"/>
    <w:rsid w:val="12080872"/>
    <w:rsid w:val="120D40DA"/>
    <w:rsid w:val="120F710B"/>
    <w:rsid w:val="12107727"/>
    <w:rsid w:val="121865DB"/>
    <w:rsid w:val="12187260"/>
    <w:rsid w:val="121D597E"/>
    <w:rsid w:val="12220029"/>
    <w:rsid w:val="122431D2"/>
    <w:rsid w:val="122B56B0"/>
    <w:rsid w:val="123E43A2"/>
    <w:rsid w:val="12443874"/>
    <w:rsid w:val="12445622"/>
    <w:rsid w:val="124E024F"/>
    <w:rsid w:val="12526649"/>
    <w:rsid w:val="125910CE"/>
    <w:rsid w:val="12614426"/>
    <w:rsid w:val="12617134"/>
    <w:rsid w:val="126637EB"/>
    <w:rsid w:val="12795268"/>
    <w:rsid w:val="127D762D"/>
    <w:rsid w:val="12843C71"/>
    <w:rsid w:val="12920CFF"/>
    <w:rsid w:val="12980823"/>
    <w:rsid w:val="12986485"/>
    <w:rsid w:val="12A46AE1"/>
    <w:rsid w:val="12B44556"/>
    <w:rsid w:val="12B82803"/>
    <w:rsid w:val="12C16C73"/>
    <w:rsid w:val="12C8390D"/>
    <w:rsid w:val="12D0705B"/>
    <w:rsid w:val="12D1335A"/>
    <w:rsid w:val="12D3702E"/>
    <w:rsid w:val="12D544CC"/>
    <w:rsid w:val="12DC1D1F"/>
    <w:rsid w:val="12E36BE9"/>
    <w:rsid w:val="12E52961"/>
    <w:rsid w:val="12EF37E0"/>
    <w:rsid w:val="12F42BA4"/>
    <w:rsid w:val="12F56BD0"/>
    <w:rsid w:val="12F64B6E"/>
    <w:rsid w:val="12FC27FD"/>
    <w:rsid w:val="12FE7EC7"/>
    <w:rsid w:val="1316311F"/>
    <w:rsid w:val="131831F8"/>
    <w:rsid w:val="1319085D"/>
    <w:rsid w:val="131D034D"/>
    <w:rsid w:val="13203715"/>
    <w:rsid w:val="13223736"/>
    <w:rsid w:val="13223BB5"/>
    <w:rsid w:val="13225964"/>
    <w:rsid w:val="13226DD8"/>
    <w:rsid w:val="132316DC"/>
    <w:rsid w:val="13290E76"/>
    <w:rsid w:val="132A0CBC"/>
    <w:rsid w:val="1331204B"/>
    <w:rsid w:val="133E565C"/>
    <w:rsid w:val="134104D7"/>
    <w:rsid w:val="134F0723"/>
    <w:rsid w:val="134F24D1"/>
    <w:rsid w:val="13510A26"/>
    <w:rsid w:val="13516249"/>
    <w:rsid w:val="13533D6F"/>
    <w:rsid w:val="1354132A"/>
    <w:rsid w:val="13693592"/>
    <w:rsid w:val="137B32EF"/>
    <w:rsid w:val="137E6912"/>
    <w:rsid w:val="13857CA0"/>
    <w:rsid w:val="138C59F5"/>
    <w:rsid w:val="138E6210"/>
    <w:rsid w:val="13906D71"/>
    <w:rsid w:val="13914897"/>
    <w:rsid w:val="1393060F"/>
    <w:rsid w:val="139E0D62"/>
    <w:rsid w:val="13A251E3"/>
    <w:rsid w:val="13A520F1"/>
    <w:rsid w:val="13A75F38"/>
    <w:rsid w:val="13AF648A"/>
    <w:rsid w:val="13C56851"/>
    <w:rsid w:val="13C57705"/>
    <w:rsid w:val="13CB5FFB"/>
    <w:rsid w:val="13CF716E"/>
    <w:rsid w:val="13D75A7D"/>
    <w:rsid w:val="13D9346A"/>
    <w:rsid w:val="13DD0699"/>
    <w:rsid w:val="13E07139"/>
    <w:rsid w:val="13ED0BAA"/>
    <w:rsid w:val="13ED41C3"/>
    <w:rsid w:val="13F15336"/>
    <w:rsid w:val="13F37300"/>
    <w:rsid w:val="13F526A6"/>
    <w:rsid w:val="13F84916"/>
    <w:rsid w:val="13FC2895"/>
    <w:rsid w:val="13FF371A"/>
    <w:rsid w:val="14021994"/>
    <w:rsid w:val="141546EB"/>
    <w:rsid w:val="14193629"/>
    <w:rsid w:val="141A5AA2"/>
    <w:rsid w:val="141A6BFD"/>
    <w:rsid w:val="141D25CF"/>
    <w:rsid w:val="141E744B"/>
    <w:rsid w:val="14241EC3"/>
    <w:rsid w:val="14327A64"/>
    <w:rsid w:val="14427960"/>
    <w:rsid w:val="14467430"/>
    <w:rsid w:val="144731A8"/>
    <w:rsid w:val="144813FA"/>
    <w:rsid w:val="144B722E"/>
    <w:rsid w:val="145108B5"/>
    <w:rsid w:val="146C1316"/>
    <w:rsid w:val="146E56F1"/>
    <w:rsid w:val="148D1387"/>
    <w:rsid w:val="149D0158"/>
    <w:rsid w:val="14B00D4D"/>
    <w:rsid w:val="14BB6070"/>
    <w:rsid w:val="14BC7C26"/>
    <w:rsid w:val="14BD423A"/>
    <w:rsid w:val="14C667C2"/>
    <w:rsid w:val="14CD5DA3"/>
    <w:rsid w:val="14DA3A3B"/>
    <w:rsid w:val="14E44484"/>
    <w:rsid w:val="14E76E65"/>
    <w:rsid w:val="14E92027"/>
    <w:rsid w:val="14F11A91"/>
    <w:rsid w:val="15035321"/>
    <w:rsid w:val="150A2B53"/>
    <w:rsid w:val="15124670"/>
    <w:rsid w:val="15155054"/>
    <w:rsid w:val="152359C3"/>
    <w:rsid w:val="15273705"/>
    <w:rsid w:val="152B4878"/>
    <w:rsid w:val="152C2570"/>
    <w:rsid w:val="152F4368"/>
    <w:rsid w:val="153726BC"/>
    <w:rsid w:val="15453B8B"/>
    <w:rsid w:val="15480FC4"/>
    <w:rsid w:val="15484F82"/>
    <w:rsid w:val="154D3E45"/>
    <w:rsid w:val="1554671D"/>
    <w:rsid w:val="15577F47"/>
    <w:rsid w:val="156E6CB3"/>
    <w:rsid w:val="157224A6"/>
    <w:rsid w:val="15793CEC"/>
    <w:rsid w:val="15806971"/>
    <w:rsid w:val="158D1A3D"/>
    <w:rsid w:val="15973CBB"/>
    <w:rsid w:val="159E5571"/>
    <w:rsid w:val="15A84FF5"/>
    <w:rsid w:val="15B14D7D"/>
    <w:rsid w:val="15C92298"/>
    <w:rsid w:val="15CB0E3F"/>
    <w:rsid w:val="15CE5EDB"/>
    <w:rsid w:val="15D60C87"/>
    <w:rsid w:val="15D60E23"/>
    <w:rsid w:val="15D942D4"/>
    <w:rsid w:val="15DB103F"/>
    <w:rsid w:val="15DD1E52"/>
    <w:rsid w:val="15DF7B3C"/>
    <w:rsid w:val="15E36499"/>
    <w:rsid w:val="15FA2BC8"/>
    <w:rsid w:val="15FC6940"/>
    <w:rsid w:val="16025A0A"/>
    <w:rsid w:val="162E25C4"/>
    <w:rsid w:val="16300397"/>
    <w:rsid w:val="16445BF1"/>
    <w:rsid w:val="16461969"/>
    <w:rsid w:val="165A5414"/>
    <w:rsid w:val="166167A3"/>
    <w:rsid w:val="166444E5"/>
    <w:rsid w:val="1666200B"/>
    <w:rsid w:val="167F4E7B"/>
    <w:rsid w:val="168B7F10"/>
    <w:rsid w:val="16970417"/>
    <w:rsid w:val="169F1079"/>
    <w:rsid w:val="16A82624"/>
    <w:rsid w:val="16A91EF8"/>
    <w:rsid w:val="16AC0D70"/>
    <w:rsid w:val="16B56AEF"/>
    <w:rsid w:val="16C330E9"/>
    <w:rsid w:val="16D4778E"/>
    <w:rsid w:val="16D52CED"/>
    <w:rsid w:val="16E01DBD"/>
    <w:rsid w:val="16E11692"/>
    <w:rsid w:val="16E217E2"/>
    <w:rsid w:val="16EA2C3C"/>
    <w:rsid w:val="16F5338F"/>
    <w:rsid w:val="16FA5342"/>
    <w:rsid w:val="16FC64CC"/>
    <w:rsid w:val="16FF0B97"/>
    <w:rsid w:val="1703785A"/>
    <w:rsid w:val="17051824"/>
    <w:rsid w:val="17067A85"/>
    <w:rsid w:val="170B4961"/>
    <w:rsid w:val="170F4451"/>
    <w:rsid w:val="171E4694"/>
    <w:rsid w:val="17220448"/>
    <w:rsid w:val="17255A22"/>
    <w:rsid w:val="172F064F"/>
    <w:rsid w:val="1730233A"/>
    <w:rsid w:val="17302D4B"/>
    <w:rsid w:val="173C4B1A"/>
    <w:rsid w:val="17413EFC"/>
    <w:rsid w:val="1752258F"/>
    <w:rsid w:val="17623F18"/>
    <w:rsid w:val="1768590F"/>
    <w:rsid w:val="17740758"/>
    <w:rsid w:val="177469AA"/>
    <w:rsid w:val="17964C9D"/>
    <w:rsid w:val="179970D0"/>
    <w:rsid w:val="17AC07CE"/>
    <w:rsid w:val="17AF79E2"/>
    <w:rsid w:val="17B47C1F"/>
    <w:rsid w:val="17C54CCA"/>
    <w:rsid w:val="17C70BCA"/>
    <w:rsid w:val="17CA481C"/>
    <w:rsid w:val="17D11E8B"/>
    <w:rsid w:val="17D343AA"/>
    <w:rsid w:val="17D80CE7"/>
    <w:rsid w:val="17DB31AB"/>
    <w:rsid w:val="17DD07B3"/>
    <w:rsid w:val="17E34202"/>
    <w:rsid w:val="17EA27C8"/>
    <w:rsid w:val="17EE50F6"/>
    <w:rsid w:val="17FB70E9"/>
    <w:rsid w:val="17FF3FA5"/>
    <w:rsid w:val="18096F46"/>
    <w:rsid w:val="180A2E6A"/>
    <w:rsid w:val="180A5720"/>
    <w:rsid w:val="180C3835"/>
    <w:rsid w:val="18141FD9"/>
    <w:rsid w:val="1816180F"/>
    <w:rsid w:val="18187335"/>
    <w:rsid w:val="181B6E25"/>
    <w:rsid w:val="181E2472"/>
    <w:rsid w:val="182B47C5"/>
    <w:rsid w:val="182C2DE0"/>
    <w:rsid w:val="183323C1"/>
    <w:rsid w:val="18365A0D"/>
    <w:rsid w:val="1840102A"/>
    <w:rsid w:val="18420856"/>
    <w:rsid w:val="18451E60"/>
    <w:rsid w:val="184719C8"/>
    <w:rsid w:val="184B14B9"/>
    <w:rsid w:val="184E71FB"/>
    <w:rsid w:val="18561C0B"/>
    <w:rsid w:val="18595A12"/>
    <w:rsid w:val="185A2440"/>
    <w:rsid w:val="18730A0F"/>
    <w:rsid w:val="18786026"/>
    <w:rsid w:val="187C0550"/>
    <w:rsid w:val="187C12F9"/>
    <w:rsid w:val="18884FEC"/>
    <w:rsid w:val="188C2000"/>
    <w:rsid w:val="18950242"/>
    <w:rsid w:val="189C385F"/>
    <w:rsid w:val="18A1707D"/>
    <w:rsid w:val="18AD504A"/>
    <w:rsid w:val="18B46CBB"/>
    <w:rsid w:val="18B85D9C"/>
    <w:rsid w:val="18C33745"/>
    <w:rsid w:val="18C41040"/>
    <w:rsid w:val="18CA5B7E"/>
    <w:rsid w:val="18DA283C"/>
    <w:rsid w:val="18DD40DB"/>
    <w:rsid w:val="18E216F1"/>
    <w:rsid w:val="18E24523"/>
    <w:rsid w:val="18E436BB"/>
    <w:rsid w:val="18E671C1"/>
    <w:rsid w:val="18E67566"/>
    <w:rsid w:val="18F13F5B"/>
    <w:rsid w:val="190C7705"/>
    <w:rsid w:val="19151728"/>
    <w:rsid w:val="191A0E8B"/>
    <w:rsid w:val="19287532"/>
    <w:rsid w:val="192A2BF3"/>
    <w:rsid w:val="192A37C4"/>
    <w:rsid w:val="192F0DDA"/>
    <w:rsid w:val="193463F1"/>
    <w:rsid w:val="19464A54"/>
    <w:rsid w:val="194D1260"/>
    <w:rsid w:val="19575A09"/>
    <w:rsid w:val="195760DB"/>
    <w:rsid w:val="195866BF"/>
    <w:rsid w:val="19624E13"/>
    <w:rsid w:val="196C22BE"/>
    <w:rsid w:val="197A7537"/>
    <w:rsid w:val="19810F0A"/>
    <w:rsid w:val="1981715C"/>
    <w:rsid w:val="198A6011"/>
    <w:rsid w:val="198B3B37"/>
    <w:rsid w:val="19924EC5"/>
    <w:rsid w:val="19940803"/>
    <w:rsid w:val="19990B5D"/>
    <w:rsid w:val="199A427B"/>
    <w:rsid w:val="199E35B5"/>
    <w:rsid w:val="19A3587E"/>
    <w:rsid w:val="19A47EFE"/>
    <w:rsid w:val="19AF7825"/>
    <w:rsid w:val="19B2356A"/>
    <w:rsid w:val="19C21571"/>
    <w:rsid w:val="19C40040"/>
    <w:rsid w:val="19C9198C"/>
    <w:rsid w:val="19D6213C"/>
    <w:rsid w:val="19DB2D10"/>
    <w:rsid w:val="19E80F89"/>
    <w:rsid w:val="19EE47F1"/>
    <w:rsid w:val="19F25BCA"/>
    <w:rsid w:val="19F30E24"/>
    <w:rsid w:val="19FB2A6A"/>
    <w:rsid w:val="19FD4712"/>
    <w:rsid w:val="1A051B3B"/>
    <w:rsid w:val="1A0758B3"/>
    <w:rsid w:val="1A0A0EFF"/>
    <w:rsid w:val="1A160D20"/>
    <w:rsid w:val="1A163D48"/>
    <w:rsid w:val="1A1A3838"/>
    <w:rsid w:val="1A2226ED"/>
    <w:rsid w:val="1A283CCD"/>
    <w:rsid w:val="1A2C70C8"/>
    <w:rsid w:val="1A2E7863"/>
    <w:rsid w:val="1A2F6BB8"/>
    <w:rsid w:val="1A330456"/>
    <w:rsid w:val="1A3348FA"/>
    <w:rsid w:val="1A381F10"/>
    <w:rsid w:val="1A4D7B34"/>
    <w:rsid w:val="1A516B2E"/>
    <w:rsid w:val="1A534654"/>
    <w:rsid w:val="1A5B074E"/>
    <w:rsid w:val="1A5B0CDC"/>
    <w:rsid w:val="1A672A11"/>
    <w:rsid w:val="1A737243"/>
    <w:rsid w:val="1A7E1F9E"/>
    <w:rsid w:val="1A8011C2"/>
    <w:rsid w:val="1A840009"/>
    <w:rsid w:val="1A842C7A"/>
    <w:rsid w:val="1A89276C"/>
    <w:rsid w:val="1ABC7133"/>
    <w:rsid w:val="1ABD24AC"/>
    <w:rsid w:val="1ADC6182"/>
    <w:rsid w:val="1AE651D0"/>
    <w:rsid w:val="1AEB27C0"/>
    <w:rsid w:val="1AFA5418"/>
    <w:rsid w:val="1B09565B"/>
    <w:rsid w:val="1B1464DA"/>
    <w:rsid w:val="1B1C60D2"/>
    <w:rsid w:val="1B1F4E7E"/>
    <w:rsid w:val="1B3F107D"/>
    <w:rsid w:val="1B47366A"/>
    <w:rsid w:val="1B4F7512"/>
    <w:rsid w:val="1B5543FC"/>
    <w:rsid w:val="1B57452A"/>
    <w:rsid w:val="1B6D73B8"/>
    <w:rsid w:val="1B702335"/>
    <w:rsid w:val="1B7156DA"/>
    <w:rsid w:val="1B777AC9"/>
    <w:rsid w:val="1B7B0307"/>
    <w:rsid w:val="1B865E71"/>
    <w:rsid w:val="1B9C5D53"/>
    <w:rsid w:val="1BA1317C"/>
    <w:rsid w:val="1BA45BF2"/>
    <w:rsid w:val="1BA50EE0"/>
    <w:rsid w:val="1BB12438"/>
    <w:rsid w:val="1BBE4697"/>
    <w:rsid w:val="1BC0585B"/>
    <w:rsid w:val="1BC51676"/>
    <w:rsid w:val="1BC55971"/>
    <w:rsid w:val="1BCD6688"/>
    <w:rsid w:val="1BD25A4D"/>
    <w:rsid w:val="1BD956BB"/>
    <w:rsid w:val="1BE13EE2"/>
    <w:rsid w:val="1BE840AA"/>
    <w:rsid w:val="1BEC4D61"/>
    <w:rsid w:val="1BEE4005"/>
    <w:rsid w:val="1BEF2AA3"/>
    <w:rsid w:val="1BF14125"/>
    <w:rsid w:val="1BF33D0B"/>
    <w:rsid w:val="1C071B9A"/>
    <w:rsid w:val="1C142509"/>
    <w:rsid w:val="1C273A04"/>
    <w:rsid w:val="1C2A6A69"/>
    <w:rsid w:val="1C313837"/>
    <w:rsid w:val="1C392FEE"/>
    <w:rsid w:val="1C4531E9"/>
    <w:rsid w:val="1C533032"/>
    <w:rsid w:val="1C550B58"/>
    <w:rsid w:val="1C590715"/>
    <w:rsid w:val="1C592F71"/>
    <w:rsid w:val="1C7D00AF"/>
    <w:rsid w:val="1C7D2273"/>
    <w:rsid w:val="1C7F3E27"/>
    <w:rsid w:val="1C8957B3"/>
    <w:rsid w:val="1C8E1008"/>
    <w:rsid w:val="1C8E5E18"/>
    <w:rsid w:val="1C8F27F1"/>
    <w:rsid w:val="1C922D83"/>
    <w:rsid w:val="1C9F6761"/>
    <w:rsid w:val="1CA05134"/>
    <w:rsid w:val="1CA8161F"/>
    <w:rsid w:val="1CA92C52"/>
    <w:rsid w:val="1CA97FFC"/>
    <w:rsid w:val="1CB533A4"/>
    <w:rsid w:val="1CBA6C0D"/>
    <w:rsid w:val="1CBE0FA4"/>
    <w:rsid w:val="1CBF2475"/>
    <w:rsid w:val="1CDC4DD5"/>
    <w:rsid w:val="1CEE4B08"/>
    <w:rsid w:val="1CEF2088"/>
    <w:rsid w:val="1CFD4D4B"/>
    <w:rsid w:val="1D02138A"/>
    <w:rsid w:val="1D061E52"/>
    <w:rsid w:val="1D077978"/>
    <w:rsid w:val="1D0929C7"/>
    <w:rsid w:val="1D097B94"/>
    <w:rsid w:val="1D165EF5"/>
    <w:rsid w:val="1D1C73D0"/>
    <w:rsid w:val="1D2247B2"/>
    <w:rsid w:val="1D39421B"/>
    <w:rsid w:val="1D3D40AF"/>
    <w:rsid w:val="1D411164"/>
    <w:rsid w:val="1D5801D4"/>
    <w:rsid w:val="1D626E38"/>
    <w:rsid w:val="1D6416CF"/>
    <w:rsid w:val="1D683148"/>
    <w:rsid w:val="1D686669"/>
    <w:rsid w:val="1D70551D"/>
    <w:rsid w:val="1D725739"/>
    <w:rsid w:val="1D7F1C04"/>
    <w:rsid w:val="1D813F95"/>
    <w:rsid w:val="1D943902"/>
    <w:rsid w:val="1D964A85"/>
    <w:rsid w:val="1D976F4E"/>
    <w:rsid w:val="1D9C6312"/>
    <w:rsid w:val="1DA06A01"/>
    <w:rsid w:val="1DA11B7B"/>
    <w:rsid w:val="1DAD49C3"/>
    <w:rsid w:val="1DB573D4"/>
    <w:rsid w:val="1DB775F0"/>
    <w:rsid w:val="1DB95116"/>
    <w:rsid w:val="1DC3129A"/>
    <w:rsid w:val="1DCB4E4A"/>
    <w:rsid w:val="1DD81269"/>
    <w:rsid w:val="1DDC2C90"/>
    <w:rsid w:val="1DDC7057"/>
    <w:rsid w:val="1DDE2DCF"/>
    <w:rsid w:val="1DE06B47"/>
    <w:rsid w:val="1DEA2B95"/>
    <w:rsid w:val="1DEF0A08"/>
    <w:rsid w:val="1DF92643"/>
    <w:rsid w:val="1DFE5056"/>
    <w:rsid w:val="1E053CB1"/>
    <w:rsid w:val="1E127C5C"/>
    <w:rsid w:val="1E1D56A5"/>
    <w:rsid w:val="1E220F0E"/>
    <w:rsid w:val="1E2524D6"/>
    <w:rsid w:val="1E2D2246"/>
    <w:rsid w:val="1E312EFF"/>
    <w:rsid w:val="1E3429EF"/>
    <w:rsid w:val="1E4A3FC0"/>
    <w:rsid w:val="1E4A68BD"/>
    <w:rsid w:val="1E4B7D84"/>
    <w:rsid w:val="1E4E1D03"/>
    <w:rsid w:val="1E5135A1"/>
    <w:rsid w:val="1E585428"/>
    <w:rsid w:val="1E594203"/>
    <w:rsid w:val="1E5A1105"/>
    <w:rsid w:val="1E5D3CF4"/>
    <w:rsid w:val="1E641526"/>
    <w:rsid w:val="1E74728F"/>
    <w:rsid w:val="1E78203F"/>
    <w:rsid w:val="1E7828DC"/>
    <w:rsid w:val="1E81189E"/>
    <w:rsid w:val="1E8307FC"/>
    <w:rsid w:val="1E8355CD"/>
    <w:rsid w:val="1E8468DF"/>
    <w:rsid w:val="1E9020C1"/>
    <w:rsid w:val="1EA01E32"/>
    <w:rsid w:val="1EA22DC0"/>
    <w:rsid w:val="1EAE7F57"/>
    <w:rsid w:val="1EB458DE"/>
    <w:rsid w:val="1EB8717C"/>
    <w:rsid w:val="1EBC3110"/>
    <w:rsid w:val="1EBD4792"/>
    <w:rsid w:val="1EC6252F"/>
    <w:rsid w:val="1ECB5101"/>
    <w:rsid w:val="1ECF408D"/>
    <w:rsid w:val="1EDD4EAF"/>
    <w:rsid w:val="1EE461C3"/>
    <w:rsid w:val="1EF94D01"/>
    <w:rsid w:val="1EF95283"/>
    <w:rsid w:val="1EFD246F"/>
    <w:rsid w:val="1EFE5A5C"/>
    <w:rsid w:val="1F046865"/>
    <w:rsid w:val="1F0979D8"/>
    <w:rsid w:val="1F0B2A59"/>
    <w:rsid w:val="1F182311"/>
    <w:rsid w:val="1F183FC9"/>
    <w:rsid w:val="1F187937"/>
    <w:rsid w:val="1F1C595D"/>
    <w:rsid w:val="1F2B3EFC"/>
    <w:rsid w:val="1F2E78EB"/>
    <w:rsid w:val="1F320081"/>
    <w:rsid w:val="1F346382"/>
    <w:rsid w:val="1F347175"/>
    <w:rsid w:val="1F382194"/>
    <w:rsid w:val="1F4713AC"/>
    <w:rsid w:val="1F4E75F0"/>
    <w:rsid w:val="1F5570C1"/>
    <w:rsid w:val="1F563467"/>
    <w:rsid w:val="1F5F3A9B"/>
    <w:rsid w:val="1F645556"/>
    <w:rsid w:val="1F860520"/>
    <w:rsid w:val="1F881244"/>
    <w:rsid w:val="1F8B2AE2"/>
    <w:rsid w:val="1F8D685B"/>
    <w:rsid w:val="1F8F3A4E"/>
    <w:rsid w:val="1F957B50"/>
    <w:rsid w:val="1F9C62B6"/>
    <w:rsid w:val="1FAE057F"/>
    <w:rsid w:val="1FB72055"/>
    <w:rsid w:val="1FBB33C8"/>
    <w:rsid w:val="1FC14756"/>
    <w:rsid w:val="1FC61D6D"/>
    <w:rsid w:val="1FCB7383"/>
    <w:rsid w:val="1FD955FC"/>
    <w:rsid w:val="1FDA33CA"/>
    <w:rsid w:val="1FE733DD"/>
    <w:rsid w:val="1FE82E8E"/>
    <w:rsid w:val="20067663"/>
    <w:rsid w:val="2010348F"/>
    <w:rsid w:val="20232D1B"/>
    <w:rsid w:val="20270A5D"/>
    <w:rsid w:val="20285494"/>
    <w:rsid w:val="202F0727"/>
    <w:rsid w:val="203E5DA7"/>
    <w:rsid w:val="204A78A6"/>
    <w:rsid w:val="20583874"/>
    <w:rsid w:val="2059498F"/>
    <w:rsid w:val="206570E6"/>
    <w:rsid w:val="20694119"/>
    <w:rsid w:val="206953D0"/>
    <w:rsid w:val="20814F2F"/>
    <w:rsid w:val="20832336"/>
    <w:rsid w:val="20882FAB"/>
    <w:rsid w:val="20887022"/>
    <w:rsid w:val="208C6B12"/>
    <w:rsid w:val="2096336D"/>
    <w:rsid w:val="209B711A"/>
    <w:rsid w:val="20A94E3B"/>
    <w:rsid w:val="20AB7EDE"/>
    <w:rsid w:val="20AF45AF"/>
    <w:rsid w:val="20B56020"/>
    <w:rsid w:val="20B56069"/>
    <w:rsid w:val="20C52024"/>
    <w:rsid w:val="20C77ED3"/>
    <w:rsid w:val="20D22E6A"/>
    <w:rsid w:val="20DB1848"/>
    <w:rsid w:val="20E0724A"/>
    <w:rsid w:val="20E24984"/>
    <w:rsid w:val="20E56222"/>
    <w:rsid w:val="20EA55E7"/>
    <w:rsid w:val="21076199"/>
    <w:rsid w:val="210855E3"/>
    <w:rsid w:val="21093CBF"/>
    <w:rsid w:val="210B2A97"/>
    <w:rsid w:val="210B37A2"/>
    <w:rsid w:val="210E2693"/>
    <w:rsid w:val="2112637F"/>
    <w:rsid w:val="212A0427"/>
    <w:rsid w:val="21352DAF"/>
    <w:rsid w:val="213F1DD6"/>
    <w:rsid w:val="21482ECD"/>
    <w:rsid w:val="21525EF8"/>
    <w:rsid w:val="21533CD8"/>
    <w:rsid w:val="21556F04"/>
    <w:rsid w:val="216A4942"/>
    <w:rsid w:val="216C24A0"/>
    <w:rsid w:val="218B74B9"/>
    <w:rsid w:val="218C0453"/>
    <w:rsid w:val="21922F14"/>
    <w:rsid w:val="21986917"/>
    <w:rsid w:val="21A12149"/>
    <w:rsid w:val="21A32365"/>
    <w:rsid w:val="21B05A03"/>
    <w:rsid w:val="21BD28B8"/>
    <w:rsid w:val="21BE719F"/>
    <w:rsid w:val="21D40771"/>
    <w:rsid w:val="21D818E3"/>
    <w:rsid w:val="21DC7625"/>
    <w:rsid w:val="21E32762"/>
    <w:rsid w:val="21E51FEE"/>
    <w:rsid w:val="21F20BF7"/>
    <w:rsid w:val="21F506E7"/>
    <w:rsid w:val="21FA7AAB"/>
    <w:rsid w:val="21FE134A"/>
    <w:rsid w:val="22136474"/>
    <w:rsid w:val="22155F34"/>
    <w:rsid w:val="222172B1"/>
    <w:rsid w:val="22274D44"/>
    <w:rsid w:val="222D1C2F"/>
    <w:rsid w:val="22342FBD"/>
    <w:rsid w:val="22433B81"/>
    <w:rsid w:val="224376A4"/>
    <w:rsid w:val="22536AC3"/>
    <w:rsid w:val="225B49EE"/>
    <w:rsid w:val="22753DAC"/>
    <w:rsid w:val="227549FE"/>
    <w:rsid w:val="22851A6B"/>
    <w:rsid w:val="22870F72"/>
    <w:rsid w:val="2290347C"/>
    <w:rsid w:val="22995516"/>
    <w:rsid w:val="229D400A"/>
    <w:rsid w:val="229E01BC"/>
    <w:rsid w:val="229F41AA"/>
    <w:rsid w:val="22A9437E"/>
    <w:rsid w:val="22AD4512"/>
    <w:rsid w:val="22AF0896"/>
    <w:rsid w:val="22AF3D5F"/>
    <w:rsid w:val="22C34341"/>
    <w:rsid w:val="22D80C7C"/>
    <w:rsid w:val="22D8603F"/>
    <w:rsid w:val="22D93B65"/>
    <w:rsid w:val="22DF0DA2"/>
    <w:rsid w:val="22E545B0"/>
    <w:rsid w:val="22EF1C2D"/>
    <w:rsid w:val="22F10596"/>
    <w:rsid w:val="22F369D5"/>
    <w:rsid w:val="22F562D7"/>
    <w:rsid w:val="22F866E1"/>
    <w:rsid w:val="23044CCC"/>
    <w:rsid w:val="231B4538"/>
    <w:rsid w:val="231B5F2B"/>
    <w:rsid w:val="231D7EF5"/>
    <w:rsid w:val="231E77CA"/>
    <w:rsid w:val="231F668C"/>
    <w:rsid w:val="232748D0"/>
    <w:rsid w:val="23405970"/>
    <w:rsid w:val="23456A1E"/>
    <w:rsid w:val="23493CB7"/>
    <w:rsid w:val="235167AB"/>
    <w:rsid w:val="235551CF"/>
    <w:rsid w:val="235A6A54"/>
    <w:rsid w:val="235D4796"/>
    <w:rsid w:val="235E0C64"/>
    <w:rsid w:val="23624E4D"/>
    <w:rsid w:val="236553F8"/>
    <w:rsid w:val="23675615"/>
    <w:rsid w:val="23700025"/>
    <w:rsid w:val="237F64BA"/>
    <w:rsid w:val="238A3A61"/>
    <w:rsid w:val="239A1BA6"/>
    <w:rsid w:val="239A7798"/>
    <w:rsid w:val="23A14683"/>
    <w:rsid w:val="23AD5F15"/>
    <w:rsid w:val="23BF0FAD"/>
    <w:rsid w:val="23C67E2F"/>
    <w:rsid w:val="23DA5DE6"/>
    <w:rsid w:val="23DE58D7"/>
    <w:rsid w:val="23EE53EE"/>
    <w:rsid w:val="23F70746"/>
    <w:rsid w:val="23F92711"/>
    <w:rsid w:val="23FC256D"/>
    <w:rsid w:val="24002495"/>
    <w:rsid w:val="2409047A"/>
    <w:rsid w:val="24155071"/>
    <w:rsid w:val="241A2FBB"/>
    <w:rsid w:val="24212D64"/>
    <w:rsid w:val="242343C7"/>
    <w:rsid w:val="24295F23"/>
    <w:rsid w:val="243C25FD"/>
    <w:rsid w:val="243E1712"/>
    <w:rsid w:val="24415E66"/>
    <w:rsid w:val="24417C14"/>
    <w:rsid w:val="24482D50"/>
    <w:rsid w:val="24516432"/>
    <w:rsid w:val="24556B3E"/>
    <w:rsid w:val="24594095"/>
    <w:rsid w:val="245F0100"/>
    <w:rsid w:val="24653902"/>
    <w:rsid w:val="246758CC"/>
    <w:rsid w:val="24715184"/>
    <w:rsid w:val="247E6772"/>
    <w:rsid w:val="247E76DD"/>
    <w:rsid w:val="24813CEA"/>
    <w:rsid w:val="24861ACA"/>
    <w:rsid w:val="24912949"/>
    <w:rsid w:val="249409BC"/>
    <w:rsid w:val="24986BEB"/>
    <w:rsid w:val="24B04318"/>
    <w:rsid w:val="24B97FD8"/>
    <w:rsid w:val="24C5104D"/>
    <w:rsid w:val="24D23370"/>
    <w:rsid w:val="24D26ABE"/>
    <w:rsid w:val="24D67678"/>
    <w:rsid w:val="24E068D1"/>
    <w:rsid w:val="24E74595"/>
    <w:rsid w:val="24E9150F"/>
    <w:rsid w:val="24EB5209"/>
    <w:rsid w:val="24F408C1"/>
    <w:rsid w:val="24F5112A"/>
    <w:rsid w:val="24FA1078"/>
    <w:rsid w:val="25050981"/>
    <w:rsid w:val="25074388"/>
    <w:rsid w:val="25180851"/>
    <w:rsid w:val="251A0B90"/>
    <w:rsid w:val="251D43AD"/>
    <w:rsid w:val="251E2BDA"/>
    <w:rsid w:val="25205A7B"/>
    <w:rsid w:val="25232C86"/>
    <w:rsid w:val="252D2D77"/>
    <w:rsid w:val="253701F7"/>
    <w:rsid w:val="253B5FF2"/>
    <w:rsid w:val="256635DC"/>
    <w:rsid w:val="256C2A6E"/>
    <w:rsid w:val="25771DB0"/>
    <w:rsid w:val="257E7C48"/>
    <w:rsid w:val="258129BE"/>
    <w:rsid w:val="2584425C"/>
    <w:rsid w:val="258E6E89"/>
    <w:rsid w:val="25900E53"/>
    <w:rsid w:val="2593624D"/>
    <w:rsid w:val="25956469"/>
    <w:rsid w:val="259721E1"/>
    <w:rsid w:val="25A14E0E"/>
    <w:rsid w:val="25A313AD"/>
    <w:rsid w:val="25A64EF2"/>
    <w:rsid w:val="25B54EF4"/>
    <w:rsid w:val="25B763DF"/>
    <w:rsid w:val="25B82E9A"/>
    <w:rsid w:val="25C153AE"/>
    <w:rsid w:val="25C26B32"/>
    <w:rsid w:val="25C36217"/>
    <w:rsid w:val="25D05644"/>
    <w:rsid w:val="25D24FC7"/>
    <w:rsid w:val="25DC396D"/>
    <w:rsid w:val="25DC3EE8"/>
    <w:rsid w:val="25EA08C1"/>
    <w:rsid w:val="25ED591A"/>
    <w:rsid w:val="25F018F1"/>
    <w:rsid w:val="25F53506"/>
    <w:rsid w:val="25FF04CF"/>
    <w:rsid w:val="260333D3"/>
    <w:rsid w:val="26067582"/>
    <w:rsid w:val="2608026F"/>
    <w:rsid w:val="26105AEF"/>
    <w:rsid w:val="262A4E03"/>
    <w:rsid w:val="26345C82"/>
    <w:rsid w:val="26345ECF"/>
    <w:rsid w:val="26663961"/>
    <w:rsid w:val="266C2E7A"/>
    <w:rsid w:val="267B565F"/>
    <w:rsid w:val="2684130D"/>
    <w:rsid w:val="26887D7C"/>
    <w:rsid w:val="268D0EEE"/>
    <w:rsid w:val="2691660B"/>
    <w:rsid w:val="26971D6D"/>
    <w:rsid w:val="269C55D5"/>
    <w:rsid w:val="269D6920"/>
    <w:rsid w:val="269F0C21"/>
    <w:rsid w:val="26AD77E2"/>
    <w:rsid w:val="26B26BA7"/>
    <w:rsid w:val="26B96187"/>
    <w:rsid w:val="26D62895"/>
    <w:rsid w:val="26D9216F"/>
    <w:rsid w:val="26DA6531"/>
    <w:rsid w:val="26DB493C"/>
    <w:rsid w:val="26EB5285"/>
    <w:rsid w:val="26ED7BDF"/>
    <w:rsid w:val="26F13BBA"/>
    <w:rsid w:val="26F25493"/>
    <w:rsid w:val="26F27547"/>
    <w:rsid w:val="26F471BF"/>
    <w:rsid w:val="270A253F"/>
    <w:rsid w:val="27123FD3"/>
    <w:rsid w:val="27147861"/>
    <w:rsid w:val="27174C5C"/>
    <w:rsid w:val="274434D9"/>
    <w:rsid w:val="27473793"/>
    <w:rsid w:val="275418CC"/>
    <w:rsid w:val="27545EB0"/>
    <w:rsid w:val="276D1D14"/>
    <w:rsid w:val="276E6F72"/>
    <w:rsid w:val="27702CEA"/>
    <w:rsid w:val="277D3FBB"/>
    <w:rsid w:val="27834D0B"/>
    <w:rsid w:val="278B6531"/>
    <w:rsid w:val="27912C60"/>
    <w:rsid w:val="27960276"/>
    <w:rsid w:val="27A504B9"/>
    <w:rsid w:val="27A91D58"/>
    <w:rsid w:val="27AA04E1"/>
    <w:rsid w:val="27B34984"/>
    <w:rsid w:val="27B933ED"/>
    <w:rsid w:val="27C72D41"/>
    <w:rsid w:val="27C93064"/>
    <w:rsid w:val="27D03788"/>
    <w:rsid w:val="27D33279"/>
    <w:rsid w:val="27D35027"/>
    <w:rsid w:val="27DB7654"/>
    <w:rsid w:val="27E233D1"/>
    <w:rsid w:val="27E47234"/>
    <w:rsid w:val="27EC7E96"/>
    <w:rsid w:val="27F21951"/>
    <w:rsid w:val="27F31225"/>
    <w:rsid w:val="2802234F"/>
    <w:rsid w:val="28025A1A"/>
    <w:rsid w:val="28144C96"/>
    <w:rsid w:val="28152C19"/>
    <w:rsid w:val="281A740B"/>
    <w:rsid w:val="28294F99"/>
    <w:rsid w:val="2829733C"/>
    <w:rsid w:val="282D5012"/>
    <w:rsid w:val="282F4953"/>
    <w:rsid w:val="283770FF"/>
    <w:rsid w:val="28402029"/>
    <w:rsid w:val="28447CD2"/>
    <w:rsid w:val="2851105D"/>
    <w:rsid w:val="28550131"/>
    <w:rsid w:val="285861CA"/>
    <w:rsid w:val="2859377E"/>
    <w:rsid w:val="28594428"/>
    <w:rsid w:val="286101FF"/>
    <w:rsid w:val="286B1703"/>
    <w:rsid w:val="28771E56"/>
    <w:rsid w:val="288B3B53"/>
    <w:rsid w:val="2893029D"/>
    <w:rsid w:val="2899456E"/>
    <w:rsid w:val="289E3886"/>
    <w:rsid w:val="28A7322C"/>
    <w:rsid w:val="28AC2DD8"/>
    <w:rsid w:val="28B5297E"/>
    <w:rsid w:val="28B91818"/>
    <w:rsid w:val="28C8445F"/>
    <w:rsid w:val="28CD229B"/>
    <w:rsid w:val="28CF517E"/>
    <w:rsid w:val="28CF5334"/>
    <w:rsid w:val="28D76F62"/>
    <w:rsid w:val="28E03B60"/>
    <w:rsid w:val="28E03E9F"/>
    <w:rsid w:val="28EA00D2"/>
    <w:rsid w:val="28EF5E90"/>
    <w:rsid w:val="28F263D7"/>
    <w:rsid w:val="28F951A2"/>
    <w:rsid w:val="28FE4325"/>
    <w:rsid w:val="290E5B2E"/>
    <w:rsid w:val="290F6532"/>
    <w:rsid w:val="29191FC1"/>
    <w:rsid w:val="291B0A33"/>
    <w:rsid w:val="292673D8"/>
    <w:rsid w:val="2936060A"/>
    <w:rsid w:val="29361D11"/>
    <w:rsid w:val="29373393"/>
    <w:rsid w:val="29392739"/>
    <w:rsid w:val="293D309F"/>
    <w:rsid w:val="2947617E"/>
    <w:rsid w:val="29487354"/>
    <w:rsid w:val="294A30C6"/>
    <w:rsid w:val="296E3259"/>
    <w:rsid w:val="29946A38"/>
    <w:rsid w:val="299B7DC6"/>
    <w:rsid w:val="29AE18A7"/>
    <w:rsid w:val="29AE18C7"/>
    <w:rsid w:val="29B35110"/>
    <w:rsid w:val="29B63617"/>
    <w:rsid w:val="29C15A7E"/>
    <w:rsid w:val="29C404B3"/>
    <w:rsid w:val="29C64B97"/>
    <w:rsid w:val="29C70970"/>
    <w:rsid w:val="29C92A5E"/>
    <w:rsid w:val="29CB4750"/>
    <w:rsid w:val="29DF4157"/>
    <w:rsid w:val="29E21551"/>
    <w:rsid w:val="29E60AA3"/>
    <w:rsid w:val="29E654E5"/>
    <w:rsid w:val="29E84951"/>
    <w:rsid w:val="29EB48A9"/>
    <w:rsid w:val="29F55728"/>
    <w:rsid w:val="2A006E22"/>
    <w:rsid w:val="2A0430AA"/>
    <w:rsid w:val="2A0616E3"/>
    <w:rsid w:val="2A0F3106"/>
    <w:rsid w:val="2A1060BE"/>
    <w:rsid w:val="2A135965"/>
    <w:rsid w:val="2A141C7C"/>
    <w:rsid w:val="2A2B19F8"/>
    <w:rsid w:val="2A303B9E"/>
    <w:rsid w:val="2A31538D"/>
    <w:rsid w:val="2A336250"/>
    <w:rsid w:val="2A3F0751"/>
    <w:rsid w:val="2A496354"/>
    <w:rsid w:val="2A4E06CB"/>
    <w:rsid w:val="2A562888"/>
    <w:rsid w:val="2A68129C"/>
    <w:rsid w:val="2A720E15"/>
    <w:rsid w:val="2A795124"/>
    <w:rsid w:val="2A80338B"/>
    <w:rsid w:val="2A831228"/>
    <w:rsid w:val="2A883040"/>
    <w:rsid w:val="2AA66A22"/>
    <w:rsid w:val="2AA7245F"/>
    <w:rsid w:val="2AAC3D8E"/>
    <w:rsid w:val="2AB73A3B"/>
    <w:rsid w:val="2AC0284D"/>
    <w:rsid w:val="2ACB541A"/>
    <w:rsid w:val="2AD4533E"/>
    <w:rsid w:val="2ADA7BF2"/>
    <w:rsid w:val="2AE535E3"/>
    <w:rsid w:val="2AE76B06"/>
    <w:rsid w:val="2AF36A99"/>
    <w:rsid w:val="2B041E31"/>
    <w:rsid w:val="2B0E2C74"/>
    <w:rsid w:val="2B1020EE"/>
    <w:rsid w:val="2B1051C0"/>
    <w:rsid w:val="2B2160A9"/>
    <w:rsid w:val="2B2202DA"/>
    <w:rsid w:val="2B22254D"/>
    <w:rsid w:val="2B2D0EF2"/>
    <w:rsid w:val="2B4333D0"/>
    <w:rsid w:val="2B4A275E"/>
    <w:rsid w:val="2B4D3EA0"/>
    <w:rsid w:val="2B5143E8"/>
    <w:rsid w:val="2B51698E"/>
    <w:rsid w:val="2B5808A4"/>
    <w:rsid w:val="2B5D6A7B"/>
    <w:rsid w:val="2B5E554F"/>
    <w:rsid w:val="2B6128FD"/>
    <w:rsid w:val="2B724B56"/>
    <w:rsid w:val="2B735A06"/>
    <w:rsid w:val="2B754F92"/>
    <w:rsid w:val="2B785CA2"/>
    <w:rsid w:val="2B7E52A9"/>
    <w:rsid w:val="2B876702"/>
    <w:rsid w:val="2B8E7BE2"/>
    <w:rsid w:val="2B9E56D0"/>
    <w:rsid w:val="2B9E76FA"/>
    <w:rsid w:val="2BA271EA"/>
    <w:rsid w:val="2BB944CC"/>
    <w:rsid w:val="2BBE52BC"/>
    <w:rsid w:val="2BC039B7"/>
    <w:rsid w:val="2BC45765"/>
    <w:rsid w:val="2BC90C1A"/>
    <w:rsid w:val="2BCC4267"/>
    <w:rsid w:val="2BD4136D"/>
    <w:rsid w:val="2BD559B4"/>
    <w:rsid w:val="2BD575BF"/>
    <w:rsid w:val="2BD82C0B"/>
    <w:rsid w:val="2BDA67DF"/>
    <w:rsid w:val="2BDB26FC"/>
    <w:rsid w:val="2BDE442F"/>
    <w:rsid w:val="2BE249AF"/>
    <w:rsid w:val="2BE90339"/>
    <w:rsid w:val="2BEE242F"/>
    <w:rsid w:val="2BEF0B9E"/>
    <w:rsid w:val="2BFC2575"/>
    <w:rsid w:val="2BFE4989"/>
    <w:rsid w:val="2C057779"/>
    <w:rsid w:val="2C077995"/>
    <w:rsid w:val="2C11436F"/>
    <w:rsid w:val="2C1F4CDE"/>
    <w:rsid w:val="2C2654FA"/>
    <w:rsid w:val="2C2E6CCF"/>
    <w:rsid w:val="2C3473EA"/>
    <w:rsid w:val="2C3A0D65"/>
    <w:rsid w:val="2C3B578E"/>
    <w:rsid w:val="2C416A03"/>
    <w:rsid w:val="2C636112"/>
    <w:rsid w:val="2C687FA0"/>
    <w:rsid w:val="2C6B1CD2"/>
    <w:rsid w:val="2C6E4518"/>
    <w:rsid w:val="2C7A0167"/>
    <w:rsid w:val="2C927733"/>
    <w:rsid w:val="2C9E6366"/>
    <w:rsid w:val="2CA1196F"/>
    <w:rsid w:val="2CA14FEA"/>
    <w:rsid w:val="2CA714E1"/>
    <w:rsid w:val="2CAF099A"/>
    <w:rsid w:val="2CB24570"/>
    <w:rsid w:val="2CBC58D1"/>
    <w:rsid w:val="2CC75AAB"/>
    <w:rsid w:val="2CCF04B2"/>
    <w:rsid w:val="2CD15207"/>
    <w:rsid w:val="2CD4753C"/>
    <w:rsid w:val="2CD47877"/>
    <w:rsid w:val="2CD72733"/>
    <w:rsid w:val="2CD930DF"/>
    <w:rsid w:val="2CDD392A"/>
    <w:rsid w:val="2CE63C69"/>
    <w:rsid w:val="2CEF46B1"/>
    <w:rsid w:val="2CF63500"/>
    <w:rsid w:val="2CFA4E04"/>
    <w:rsid w:val="2CFC5020"/>
    <w:rsid w:val="2CFC6DCE"/>
    <w:rsid w:val="2D0154CC"/>
    <w:rsid w:val="2D0C126B"/>
    <w:rsid w:val="2D0F347B"/>
    <w:rsid w:val="2D145EC5"/>
    <w:rsid w:val="2D1B54A6"/>
    <w:rsid w:val="2D1C7470"/>
    <w:rsid w:val="2D1F486A"/>
    <w:rsid w:val="2D376058"/>
    <w:rsid w:val="2D486799"/>
    <w:rsid w:val="2D55028C"/>
    <w:rsid w:val="2D592B06"/>
    <w:rsid w:val="2D5D1A6D"/>
    <w:rsid w:val="2D5D4D92"/>
    <w:rsid w:val="2D5E1836"/>
    <w:rsid w:val="2D6C6BBF"/>
    <w:rsid w:val="2D727090"/>
    <w:rsid w:val="2D756F06"/>
    <w:rsid w:val="2D770EE5"/>
    <w:rsid w:val="2D7921CC"/>
    <w:rsid w:val="2D8079FF"/>
    <w:rsid w:val="2D850B71"/>
    <w:rsid w:val="2D88240F"/>
    <w:rsid w:val="2D9069C1"/>
    <w:rsid w:val="2D940B3D"/>
    <w:rsid w:val="2D950C87"/>
    <w:rsid w:val="2D9F07E7"/>
    <w:rsid w:val="2D9F779D"/>
    <w:rsid w:val="2DA27975"/>
    <w:rsid w:val="2DA84860"/>
    <w:rsid w:val="2DA97277"/>
    <w:rsid w:val="2DAD1E76"/>
    <w:rsid w:val="2DAF3E40"/>
    <w:rsid w:val="2DB273D4"/>
    <w:rsid w:val="2DB4536F"/>
    <w:rsid w:val="2DCD5952"/>
    <w:rsid w:val="2DDE17CF"/>
    <w:rsid w:val="2DF46BEA"/>
    <w:rsid w:val="2E112962"/>
    <w:rsid w:val="2E1F7F71"/>
    <w:rsid w:val="2E254102"/>
    <w:rsid w:val="2E294258"/>
    <w:rsid w:val="2E314855"/>
    <w:rsid w:val="2E33681F"/>
    <w:rsid w:val="2E374561"/>
    <w:rsid w:val="2E3A7BAD"/>
    <w:rsid w:val="2E4C168F"/>
    <w:rsid w:val="2E4E1C48"/>
    <w:rsid w:val="2E505623"/>
    <w:rsid w:val="2E555585"/>
    <w:rsid w:val="2E5F36B7"/>
    <w:rsid w:val="2E6B53DA"/>
    <w:rsid w:val="2E6C0D11"/>
    <w:rsid w:val="2E6E7857"/>
    <w:rsid w:val="2E760AE8"/>
    <w:rsid w:val="2E7908F2"/>
    <w:rsid w:val="2E80408C"/>
    <w:rsid w:val="2E8250B1"/>
    <w:rsid w:val="2E935510"/>
    <w:rsid w:val="2EAE40F8"/>
    <w:rsid w:val="2EBA6279"/>
    <w:rsid w:val="2EBC6814"/>
    <w:rsid w:val="2EC15BD9"/>
    <w:rsid w:val="2EC42D07"/>
    <w:rsid w:val="2EC86B30"/>
    <w:rsid w:val="2EC92CDF"/>
    <w:rsid w:val="2ECC27BA"/>
    <w:rsid w:val="2EDC0C65"/>
    <w:rsid w:val="2EEB534C"/>
    <w:rsid w:val="2F041F69"/>
    <w:rsid w:val="2F113003"/>
    <w:rsid w:val="2F120B2A"/>
    <w:rsid w:val="2F142472"/>
    <w:rsid w:val="2F2919D0"/>
    <w:rsid w:val="2F2B1BEC"/>
    <w:rsid w:val="2F302D5E"/>
    <w:rsid w:val="2F326AD7"/>
    <w:rsid w:val="2F38757B"/>
    <w:rsid w:val="2F3C1703"/>
    <w:rsid w:val="2F3C4A2B"/>
    <w:rsid w:val="2F45680A"/>
    <w:rsid w:val="2F48454C"/>
    <w:rsid w:val="2F4B0757"/>
    <w:rsid w:val="2F4F58DB"/>
    <w:rsid w:val="2F662DFD"/>
    <w:rsid w:val="2F6E2275"/>
    <w:rsid w:val="2F8A06C1"/>
    <w:rsid w:val="2F950E14"/>
    <w:rsid w:val="2F994DA8"/>
    <w:rsid w:val="2FA4632B"/>
    <w:rsid w:val="2FA86D99"/>
    <w:rsid w:val="2FAE39FC"/>
    <w:rsid w:val="2FB724B6"/>
    <w:rsid w:val="2FCC0CD9"/>
    <w:rsid w:val="2FCF4325"/>
    <w:rsid w:val="2FD47B8E"/>
    <w:rsid w:val="2FE604DE"/>
    <w:rsid w:val="2FE83639"/>
    <w:rsid w:val="2FEB68F0"/>
    <w:rsid w:val="2FEE5D77"/>
    <w:rsid w:val="2FF16992"/>
    <w:rsid w:val="2FFC5071"/>
    <w:rsid w:val="2FFD0BB1"/>
    <w:rsid w:val="2FFD70E5"/>
    <w:rsid w:val="300425E8"/>
    <w:rsid w:val="30055F99"/>
    <w:rsid w:val="300F1252"/>
    <w:rsid w:val="300F506A"/>
    <w:rsid w:val="3010584B"/>
    <w:rsid w:val="302831EE"/>
    <w:rsid w:val="30350060"/>
    <w:rsid w:val="303A20E7"/>
    <w:rsid w:val="303F598D"/>
    <w:rsid w:val="30425274"/>
    <w:rsid w:val="304D174B"/>
    <w:rsid w:val="305A62E5"/>
    <w:rsid w:val="30626EBE"/>
    <w:rsid w:val="307914ED"/>
    <w:rsid w:val="307D0225"/>
    <w:rsid w:val="307F7AFA"/>
    <w:rsid w:val="308447F3"/>
    <w:rsid w:val="30861B2B"/>
    <w:rsid w:val="30890F6E"/>
    <w:rsid w:val="308B46F0"/>
    <w:rsid w:val="30AA08EF"/>
    <w:rsid w:val="30B067B7"/>
    <w:rsid w:val="30BA3228"/>
    <w:rsid w:val="30C61BCC"/>
    <w:rsid w:val="30CD2F5B"/>
    <w:rsid w:val="30CF3E7E"/>
    <w:rsid w:val="30DD2A72"/>
    <w:rsid w:val="30F143BD"/>
    <w:rsid w:val="30F46712"/>
    <w:rsid w:val="30F71D86"/>
    <w:rsid w:val="30F75301"/>
    <w:rsid w:val="30FB1CFD"/>
    <w:rsid w:val="30FF2AB2"/>
    <w:rsid w:val="310444A3"/>
    <w:rsid w:val="31045E00"/>
    <w:rsid w:val="31143B5A"/>
    <w:rsid w:val="311E18EB"/>
    <w:rsid w:val="31224929"/>
    <w:rsid w:val="31290232"/>
    <w:rsid w:val="313D3DBA"/>
    <w:rsid w:val="314446D7"/>
    <w:rsid w:val="31480833"/>
    <w:rsid w:val="314E49B7"/>
    <w:rsid w:val="31562849"/>
    <w:rsid w:val="315E3BB3"/>
    <w:rsid w:val="316513E5"/>
    <w:rsid w:val="3168719E"/>
    <w:rsid w:val="316D3DF6"/>
    <w:rsid w:val="31771119"/>
    <w:rsid w:val="3179279B"/>
    <w:rsid w:val="318B5B06"/>
    <w:rsid w:val="31905D36"/>
    <w:rsid w:val="319546BD"/>
    <w:rsid w:val="31986CE4"/>
    <w:rsid w:val="31A136ED"/>
    <w:rsid w:val="31A57A34"/>
    <w:rsid w:val="31AB491E"/>
    <w:rsid w:val="31B77767"/>
    <w:rsid w:val="31C30439"/>
    <w:rsid w:val="31C559E0"/>
    <w:rsid w:val="31C71C42"/>
    <w:rsid w:val="31CA72F4"/>
    <w:rsid w:val="31D352F5"/>
    <w:rsid w:val="31E340B8"/>
    <w:rsid w:val="31E96BB7"/>
    <w:rsid w:val="31F47BCD"/>
    <w:rsid w:val="32026C34"/>
    <w:rsid w:val="32085AE3"/>
    <w:rsid w:val="32140715"/>
    <w:rsid w:val="32146851"/>
    <w:rsid w:val="321A3CB5"/>
    <w:rsid w:val="321B2412"/>
    <w:rsid w:val="32211FA2"/>
    <w:rsid w:val="322F44D8"/>
    <w:rsid w:val="32450CC1"/>
    <w:rsid w:val="32465D30"/>
    <w:rsid w:val="324F79A0"/>
    <w:rsid w:val="325A081E"/>
    <w:rsid w:val="325B00F2"/>
    <w:rsid w:val="326E1871"/>
    <w:rsid w:val="326E7E26"/>
    <w:rsid w:val="32780143"/>
    <w:rsid w:val="328716F8"/>
    <w:rsid w:val="32AE5736"/>
    <w:rsid w:val="32BF2D77"/>
    <w:rsid w:val="32CB171C"/>
    <w:rsid w:val="32CD6060"/>
    <w:rsid w:val="32D40438"/>
    <w:rsid w:val="32E02EED"/>
    <w:rsid w:val="32E53E60"/>
    <w:rsid w:val="32F347CF"/>
    <w:rsid w:val="32FA7732"/>
    <w:rsid w:val="330B7D6A"/>
    <w:rsid w:val="331035D3"/>
    <w:rsid w:val="33117B09"/>
    <w:rsid w:val="331A61FF"/>
    <w:rsid w:val="331A7FAD"/>
    <w:rsid w:val="33233306"/>
    <w:rsid w:val="33265597"/>
    <w:rsid w:val="332668AB"/>
    <w:rsid w:val="3331413E"/>
    <w:rsid w:val="33380434"/>
    <w:rsid w:val="333E1EEE"/>
    <w:rsid w:val="334C31B7"/>
    <w:rsid w:val="335631BA"/>
    <w:rsid w:val="335C4122"/>
    <w:rsid w:val="336D6F11"/>
    <w:rsid w:val="337551E4"/>
    <w:rsid w:val="33857B1D"/>
    <w:rsid w:val="33997124"/>
    <w:rsid w:val="339A6BE6"/>
    <w:rsid w:val="33A37FA3"/>
    <w:rsid w:val="33AA7583"/>
    <w:rsid w:val="33BA709B"/>
    <w:rsid w:val="33C5238D"/>
    <w:rsid w:val="33C57F19"/>
    <w:rsid w:val="33CE622D"/>
    <w:rsid w:val="33D12D62"/>
    <w:rsid w:val="33D40A5F"/>
    <w:rsid w:val="33D73CC9"/>
    <w:rsid w:val="33E365F1"/>
    <w:rsid w:val="33E52369"/>
    <w:rsid w:val="33EF1CAD"/>
    <w:rsid w:val="33FE167D"/>
    <w:rsid w:val="3402116D"/>
    <w:rsid w:val="34091E7E"/>
    <w:rsid w:val="340F73E6"/>
    <w:rsid w:val="3410331E"/>
    <w:rsid w:val="343B01DB"/>
    <w:rsid w:val="344203C9"/>
    <w:rsid w:val="34420A2C"/>
    <w:rsid w:val="344D7F0F"/>
    <w:rsid w:val="34513BC3"/>
    <w:rsid w:val="34545741"/>
    <w:rsid w:val="34594B05"/>
    <w:rsid w:val="345A08AC"/>
    <w:rsid w:val="345E3E55"/>
    <w:rsid w:val="346911EC"/>
    <w:rsid w:val="347100A1"/>
    <w:rsid w:val="347D6A46"/>
    <w:rsid w:val="347E631A"/>
    <w:rsid w:val="3491429F"/>
    <w:rsid w:val="349B5B6B"/>
    <w:rsid w:val="34A52E51"/>
    <w:rsid w:val="34B166F0"/>
    <w:rsid w:val="34B41D3C"/>
    <w:rsid w:val="34B955A4"/>
    <w:rsid w:val="34C12DD7"/>
    <w:rsid w:val="34C21AA9"/>
    <w:rsid w:val="34CC3529"/>
    <w:rsid w:val="34E22D4D"/>
    <w:rsid w:val="34E77A20"/>
    <w:rsid w:val="34E84184"/>
    <w:rsid w:val="34F12F90"/>
    <w:rsid w:val="34FA1E45"/>
    <w:rsid w:val="352A3B88"/>
    <w:rsid w:val="3538471B"/>
    <w:rsid w:val="35496928"/>
    <w:rsid w:val="35514718"/>
    <w:rsid w:val="35531555"/>
    <w:rsid w:val="355619D4"/>
    <w:rsid w:val="355F439E"/>
    <w:rsid w:val="3566572C"/>
    <w:rsid w:val="35696FCA"/>
    <w:rsid w:val="356E45E1"/>
    <w:rsid w:val="35707AA6"/>
    <w:rsid w:val="357A187A"/>
    <w:rsid w:val="357E384A"/>
    <w:rsid w:val="3584522D"/>
    <w:rsid w:val="35905B64"/>
    <w:rsid w:val="359532C6"/>
    <w:rsid w:val="359D3326"/>
    <w:rsid w:val="359D6D3A"/>
    <w:rsid w:val="35A26311"/>
    <w:rsid w:val="35A478FC"/>
    <w:rsid w:val="35A77929"/>
    <w:rsid w:val="35B51C3E"/>
    <w:rsid w:val="35BF6203"/>
    <w:rsid w:val="35C10BB4"/>
    <w:rsid w:val="35C366DA"/>
    <w:rsid w:val="35C44C2A"/>
    <w:rsid w:val="35C66F06"/>
    <w:rsid w:val="35C81F43"/>
    <w:rsid w:val="35D22DC1"/>
    <w:rsid w:val="35D5640E"/>
    <w:rsid w:val="35DB7D3C"/>
    <w:rsid w:val="35DD550A"/>
    <w:rsid w:val="35E30B2B"/>
    <w:rsid w:val="35E81A42"/>
    <w:rsid w:val="35EE7899"/>
    <w:rsid w:val="35F04BD8"/>
    <w:rsid w:val="35F72828"/>
    <w:rsid w:val="36054306"/>
    <w:rsid w:val="3609643F"/>
    <w:rsid w:val="360C2337"/>
    <w:rsid w:val="360D5BA8"/>
    <w:rsid w:val="361E4508"/>
    <w:rsid w:val="36215112"/>
    <w:rsid w:val="362416AD"/>
    <w:rsid w:val="362C24D2"/>
    <w:rsid w:val="363746DE"/>
    <w:rsid w:val="363A115B"/>
    <w:rsid w:val="363A6AD9"/>
    <w:rsid w:val="363B44C3"/>
    <w:rsid w:val="363F05CE"/>
    <w:rsid w:val="36483097"/>
    <w:rsid w:val="366E1051"/>
    <w:rsid w:val="366F0610"/>
    <w:rsid w:val="3676199F"/>
    <w:rsid w:val="36785717"/>
    <w:rsid w:val="3683401A"/>
    <w:rsid w:val="36861CA2"/>
    <w:rsid w:val="368B16FF"/>
    <w:rsid w:val="368D0A96"/>
    <w:rsid w:val="368F0CB2"/>
    <w:rsid w:val="369C4D87"/>
    <w:rsid w:val="36AD0EA9"/>
    <w:rsid w:val="36B129D7"/>
    <w:rsid w:val="36B50140"/>
    <w:rsid w:val="36BD137C"/>
    <w:rsid w:val="36CC5A63"/>
    <w:rsid w:val="36D6068F"/>
    <w:rsid w:val="36DB7A54"/>
    <w:rsid w:val="36E975FA"/>
    <w:rsid w:val="36F17277"/>
    <w:rsid w:val="36F6263B"/>
    <w:rsid w:val="36F771B3"/>
    <w:rsid w:val="36F772C2"/>
    <w:rsid w:val="36F77460"/>
    <w:rsid w:val="37005586"/>
    <w:rsid w:val="37021484"/>
    <w:rsid w:val="37022B95"/>
    <w:rsid w:val="37036E21"/>
    <w:rsid w:val="370945C1"/>
    <w:rsid w:val="3713004F"/>
    <w:rsid w:val="37167102"/>
    <w:rsid w:val="37173BE5"/>
    <w:rsid w:val="371A057C"/>
    <w:rsid w:val="37203BD2"/>
    <w:rsid w:val="37210F1A"/>
    <w:rsid w:val="372B4B9D"/>
    <w:rsid w:val="373F6235"/>
    <w:rsid w:val="374101FF"/>
    <w:rsid w:val="37441A9D"/>
    <w:rsid w:val="374E7FD2"/>
    <w:rsid w:val="375021F0"/>
    <w:rsid w:val="375241BA"/>
    <w:rsid w:val="37620175"/>
    <w:rsid w:val="37667C65"/>
    <w:rsid w:val="3768578B"/>
    <w:rsid w:val="37697025"/>
    <w:rsid w:val="37753A04"/>
    <w:rsid w:val="377C4D93"/>
    <w:rsid w:val="37826121"/>
    <w:rsid w:val="37893954"/>
    <w:rsid w:val="37AE6CFA"/>
    <w:rsid w:val="37B2470D"/>
    <w:rsid w:val="37C06060"/>
    <w:rsid w:val="37C26948"/>
    <w:rsid w:val="37C504B7"/>
    <w:rsid w:val="37C938BC"/>
    <w:rsid w:val="37CF580A"/>
    <w:rsid w:val="37D42E21"/>
    <w:rsid w:val="37DB73DF"/>
    <w:rsid w:val="37DF1F1A"/>
    <w:rsid w:val="37E40B8A"/>
    <w:rsid w:val="37EB016A"/>
    <w:rsid w:val="37ED5C91"/>
    <w:rsid w:val="37F41886"/>
    <w:rsid w:val="37FC2378"/>
    <w:rsid w:val="37FC5ED4"/>
    <w:rsid w:val="381551E7"/>
    <w:rsid w:val="38196A9A"/>
    <w:rsid w:val="381C1A1C"/>
    <w:rsid w:val="381E03A7"/>
    <w:rsid w:val="382673F4"/>
    <w:rsid w:val="38283597"/>
    <w:rsid w:val="382A2A41"/>
    <w:rsid w:val="382D6BF0"/>
    <w:rsid w:val="38343917"/>
    <w:rsid w:val="38392C84"/>
    <w:rsid w:val="383A7BF4"/>
    <w:rsid w:val="383E025E"/>
    <w:rsid w:val="384F24A7"/>
    <w:rsid w:val="385775AE"/>
    <w:rsid w:val="38602906"/>
    <w:rsid w:val="38607C8C"/>
    <w:rsid w:val="3862361F"/>
    <w:rsid w:val="386C12AB"/>
    <w:rsid w:val="386F3749"/>
    <w:rsid w:val="3871469D"/>
    <w:rsid w:val="388A1EF2"/>
    <w:rsid w:val="388F0AF6"/>
    <w:rsid w:val="388F3AA5"/>
    <w:rsid w:val="388F4F9A"/>
    <w:rsid w:val="389C3213"/>
    <w:rsid w:val="389D1465"/>
    <w:rsid w:val="38AE308F"/>
    <w:rsid w:val="38C641BE"/>
    <w:rsid w:val="38CA251C"/>
    <w:rsid w:val="38CA5FD2"/>
    <w:rsid w:val="38D13A7E"/>
    <w:rsid w:val="38D81C97"/>
    <w:rsid w:val="38D96215"/>
    <w:rsid w:val="38F1355F"/>
    <w:rsid w:val="38F56304"/>
    <w:rsid w:val="38FF6D29"/>
    <w:rsid w:val="39007C46"/>
    <w:rsid w:val="390112E6"/>
    <w:rsid w:val="391060DB"/>
    <w:rsid w:val="3916107C"/>
    <w:rsid w:val="392A6A70"/>
    <w:rsid w:val="39301503"/>
    <w:rsid w:val="39335925"/>
    <w:rsid w:val="39385CD4"/>
    <w:rsid w:val="39481E18"/>
    <w:rsid w:val="394915ED"/>
    <w:rsid w:val="394E6C03"/>
    <w:rsid w:val="395F496C"/>
    <w:rsid w:val="39643D30"/>
    <w:rsid w:val="39665CFB"/>
    <w:rsid w:val="39687B0A"/>
    <w:rsid w:val="396D1307"/>
    <w:rsid w:val="39797168"/>
    <w:rsid w:val="397E31BD"/>
    <w:rsid w:val="398120AD"/>
    <w:rsid w:val="3985480A"/>
    <w:rsid w:val="398F324F"/>
    <w:rsid w:val="39924DA5"/>
    <w:rsid w:val="399E6112"/>
    <w:rsid w:val="39A120BA"/>
    <w:rsid w:val="39A516E9"/>
    <w:rsid w:val="39AC16A8"/>
    <w:rsid w:val="39BE7C92"/>
    <w:rsid w:val="39CE641A"/>
    <w:rsid w:val="39D709A6"/>
    <w:rsid w:val="39D921F1"/>
    <w:rsid w:val="39E430C3"/>
    <w:rsid w:val="39E45E7D"/>
    <w:rsid w:val="39E5694E"/>
    <w:rsid w:val="39F134B9"/>
    <w:rsid w:val="39F23A32"/>
    <w:rsid w:val="39F264F7"/>
    <w:rsid w:val="39F50E2C"/>
    <w:rsid w:val="39FD5F33"/>
    <w:rsid w:val="3A053765"/>
    <w:rsid w:val="3A0727C4"/>
    <w:rsid w:val="3A081A7A"/>
    <w:rsid w:val="3A145757"/>
    <w:rsid w:val="3A1E073A"/>
    <w:rsid w:val="3A2C4CBA"/>
    <w:rsid w:val="3A2F32A9"/>
    <w:rsid w:val="3A303670"/>
    <w:rsid w:val="3A30455A"/>
    <w:rsid w:val="3A325BDD"/>
    <w:rsid w:val="3A327E40"/>
    <w:rsid w:val="3A372F4A"/>
    <w:rsid w:val="3A480946"/>
    <w:rsid w:val="3A4F3FEF"/>
    <w:rsid w:val="3A52627F"/>
    <w:rsid w:val="3A557B1D"/>
    <w:rsid w:val="3A5F5CDD"/>
    <w:rsid w:val="3A606BEE"/>
    <w:rsid w:val="3A63067F"/>
    <w:rsid w:val="3A6A698E"/>
    <w:rsid w:val="3A6A7A6C"/>
    <w:rsid w:val="3A6B04DA"/>
    <w:rsid w:val="3A6C5593"/>
    <w:rsid w:val="3A6F0BDF"/>
    <w:rsid w:val="3A826478"/>
    <w:rsid w:val="3A83468A"/>
    <w:rsid w:val="3A8975F0"/>
    <w:rsid w:val="3A8A3C6B"/>
    <w:rsid w:val="3A94460B"/>
    <w:rsid w:val="3A9B7C26"/>
    <w:rsid w:val="3AA35841"/>
    <w:rsid w:val="3AA54601"/>
    <w:rsid w:val="3AA80595"/>
    <w:rsid w:val="3AB64A60"/>
    <w:rsid w:val="3ABA3B8B"/>
    <w:rsid w:val="3ABE3914"/>
    <w:rsid w:val="3ACB0053"/>
    <w:rsid w:val="3AD83856"/>
    <w:rsid w:val="3AD969A0"/>
    <w:rsid w:val="3AEA64B7"/>
    <w:rsid w:val="3AF92B9E"/>
    <w:rsid w:val="3B057795"/>
    <w:rsid w:val="3B070E17"/>
    <w:rsid w:val="3B1672AC"/>
    <w:rsid w:val="3B1D0143"/>
    <w:rsid w:val="3B2D45F6"/>
    <w:rsid w:val="3B301622"/>
    <w:rsid w:val="3B352BBE"/>
    <w:rsid w:val="3B451940"/>
    <w:rsid w:val="3B456F36"/>
    <w:rsid w:val="3B4E4C98"/>
    <w:rsid w:val="3B5878C5"/>
    <w:rsid w:val="3B602C1D"/>
    <w:rsid w:val="3B693880"/>
    <w:rsid w:val="3B6C3370"/>
    <w:rsid w:val="3B7127D3"/>
    <w:rsid w:val="3B7A3CDF"/>
    <w:rsid w:val="3B854432"/>
    <w:rsid w:val="3B883620"/>
    <w:rsid w:val="3B9308FD"/>
    <w:rsid w:val="3BB30F9F"/>
    <w:rsid w:val="3BB508EB"/>
    <w:rsid w:val="3BB865B6"/>
    <w:rsid w:val="3BBB7E54"/>
    <w:rsid w:val="3BC209E7"/>
    <w:rsid w:val="3BD827B4"/>
    <w:rsid w:val="3BE62FF1"/>
    <w:rsid w:val="3BFC64A2"/>
    <w:rsid w:val="3C042BB7"/>
    <w:rsid w:val="3C065573"/>
    <w:rsid w:val="3C0E61D6"/>
    <w:rsid w:val="3C177780"/>
    <w:rsid w:val="3C1C6C37"/>
    <w:rsid w:val="3C333E8E"/>
    <w:rsid w:val="3C37397E"/>
    <w:rsid w:val="3C3F2833"/>
    <w:rsid w:val="3C4936B2"/>
    <w:rsid w:val="3C4E16A3"/>
    <w:rsid w:val="3C604C1E"/>
    <w:rsid w:val="3C650EDD"/>
    <w:rsid w:val="3C687BA4"/>
    <w:rsid w:val="3C6B3628"/>
    <w:rsid w:val="3C7249B6"/>
    <w:rsid w:val="3C7A1D8D"/>
    <w:rsid w:val="3C7A7AF3"/>
    <w:rsid w:val="3C7F7B81"/>
    <w:rsid w:val="3C892485"/>
    <w:rsid w:val="3C9C1AD8"/>
    <w:rsid w:val="3CA110A6"/>
    <w:rsid w:val="3CB27223"/>
    <w:rsid w:val="3CB53A2C"/>
    <w:rsid w:val="3CC976F6"/>
    <w:rsid w:val="3CCF3BB7"/>
    <w:rsid w:val="3CD93138"/>
    <w:rsid w:val="3CF072E7"/>
    <w:rsid w:val="3CF7075F"/>
    <w:rsid w:val="3CFA1BFB"/>
    <w:rsid w:val="3CFF7179"/>
    <w:rsid w:val="3D006466"/>
    <w:rsid w:val="3D0426E1"/>
    <w:rsid w:val="3D0A2E41"/>
    <w:rsid w:val="3D0B2E43"/>
    <w:rsid w:val="3D0F2205"/>
    <w:rsid w:val="3D112DA0"/>
    <w:rsid w:val="3D121CF5"/>
    <w:rsid w:val="3D163594"/>
    <w:rsid w:val="3D167A38"/>
    <w:rsid w:val="3D22462E"/>
    <w:rsid w:val="3D271A98"/>
    <w:rsid w:val="3D404AB5"/>
    <w:rsid w:val="3D474095"/>
    <w:rsid w:val="3D4A4B6E"/>
    <w:rsid w:val="3D540560"/>
    <w:rsid w:val="3D545582"/>
    <w:rsid w:val="3D5642D8"/>
    <w:rsid w:val="3D5B369C"/>
    <w:rsid w:val="3D606F05"/>
    <w:rsid w:val="3D632551"/>
    <w:rsid w:val="3D650BDA"/>
    <w:rsid w:val="3D6F0EF6"/>
    <w:rsid w:val="3D6F17D9"/>
    <w:rsid w:val="3D70539A"/>
    <w:rsid w:val="3D774728"/>
    <w:rsid w:val="3D820C29"/>
    <w:rsid w:val="3D8C5B98"/>
    <w:rsid w:val="3D8F7224"/>
    <w:rsid w:val="3D916C9B"/>
    <w:rsid w:val="3DA45043"/>
    <w:rsid w:val="3DAE7C70"/>
    <w:rsid w:val="3DC5440C"/>
    <w:rsid w:val="3DC76F84"/>
    <w:rsid w:val="3DC95D08"/>
    <w:rsid w:val="3DDE7D1F"/>
    <w:rsid w:val="3DE47B36"/>
    <w:rsid w:val="3DFD4754"/>
    <w:rsid w:val="3E032184"/>
    <w:rsid w:val="3E090A77"/>
    <w:rsid w:val="3E0B65A7"/>
    <w:rsid w:val="3E155F41"/>
    <w:rsid w:val="3E1D4DF6"/>
    <w:rsid w:val="3E246184"/>
    <w:rsid w:val="3E33630F"/>
    <w:rsid w:val="3E344619"/>
    <w:rsid w:val="3E605A42"/>
    <w:rsid w:val="3E661BA9"/>
    <w:rsid w:val="3E6622F9"/>
    <w:rsid w:val="3E693B97"/>
    <w:rsid w:val="3E6E09EE"/>
    <w:rsid w:val="3E8E2BBD"/>
    <w:rsid w:val="3E8E35FE"/>
    <w:rsid w:val="3E9D13CA"/>
    <w:rsid w:val="3EA13331"/>
    <w:rsid w:val="3EC15781"/>
    <w:rsid w:val="3EC81EEB"/>
    <w:rsid w:val="3ECA0379"/>
    <w:rsid w:val="3ECA2888"/>
    <w:rsid w:val="3ED25BE0"/>
    <w:rsid w:val="3ED54FA4"/>
    <w:rsid w:val="3F103E47"/>
    <w:rsid w:val="3F160A41"/>
    <w:rsid w:val="3F1C50AD"/>
    <w:rsid w:val="3F2A77CA"/>
    <w:rsid w:val="3F32667F"/>
    <w:rsid w:val="3F3643C1"/>
    <w:rsid w:val="3F47212A"/>
    <w:rsid w:val="3F5059F5"/>
    <w:rsid w:val="3F5370DC"/>
    <w:rsid w:val="3F593C0C"/>
    <w:rsid w:val="3F5B7984"/>
    <w:rsid w:val="3F647673"/>
    <w:rsid w:val="3F7C39B5"/>
    <w:rsid w:val="3F7D78FA"/>
    <w:rsid w:val="3F8F3AD1"/>
    <w:rsid w:val="3F9335C1"/>
    <w:rsid w:val="3F93536F"/>
    <w:rsid w:val="3F966C0E"/>
    <w:rsid w:val="3F9A4A1F"/>
    <w:rsid w:val="3FA7706D"/>
    <w:rsid w:val="3FAD59F5"/>
    <w:rsid w:val="3FB54092"/>
    <w:rsid w:val="3FB9540B"/>
    <w:rsid w:val="3FB95B3B"/>
    <w:rsid w:val="3FC9475C"/>
    <w:rsid w:val="3FCD6CB5"/>
    <w:rsid w:val="3FD730B5"/>
    <w:rsid w:val="3FD86D6B"/>
    <w:rsid w:val="3FD905A6"/>
    <w:rsid w:val="3FDB2873"/>
    <w:rsid w:val="3FDE5E53"/>
    <w:rsid w:val="3FE44447"/>
    <w:rsid w:val="3FE46DFA"/>
    <w:rsid w:val="3FF322B2"/>
    <w:rsid w:val="3FFE6FD7"/>
    <w:rsid w:val="4002645D"/>
    <w:rsid w:val="4004001B"/>
    <w:rsid w:val="40044CA3"/>
    <w:rsid w:val="40061FE5"/>
    <w:rsid w:val="40076CDF"/>
    <w:rsid w:val="400B526A"/>
    <w:rsid w:val="40100349"/>
    <w:rsid w:val="401E041B"/>
    <w:rsid w:val="40226500"/>
    <w:rsid w:val="402406BD"/>
    <w:rsid w:val="402A0336"/>
    <w:rsid w:val="402F3569"/>
    <w:rsid w:val="4039289E"/>
    <w:rsid w:val="40404335"/>
    <w:rsid w:val="40477F08"/>
    <w:rsid w:val="40555D23"/>
    <w:rsid w:val="405C1C05"/>
    <w:rsid w:val="405D7976"/>
    <w:rsid w:val="405D7F41"/>
    <w:rsid w:val="405F7F51"/>
    <w:rsid w:val="4072322D"/>
    <w:rsid w:val="40747CE6"/>
    <w:rsid w:val="40752CC7"/>
    <w:rsid w:val="40866C82"/>
    <w:rsid w:val="408841A4"/>
    <w:rsid w:val="408A49C4"/>
    <w:rsid w:val="408B77D1"/>
    <w:rsid w:val="40907B01"/>
    <w:rsid w:val="409741F1"/>
    <w:rsid w:val="409E221E"/>
    <w:rsid w:val="40A35A86"/>
    <w:rsid w:val="40B01F51"/>
    <w:rsid w:val="40C44FE1"/>
    <w:rsid w:val="40C619BC"/>
    <w:rsid w:val="40CB1356"/>
    <w:rsid w:val="40CE4185"/>
    <w:rsid w:val="40CE4D5C"/>
    <w:rsid w:val="40D12A83"/>
    <w:rsid w:val="40D21EC7"/>
    <w:rsid w:val="40D70E27"/>
    <w:rsid w:val="40D7128C"/>
    <w:rsid w:val="40E1035D"/>
    <w:rsid w:val="40E96760"/>
    <w:rsid w:val="40F300AD"/>
    <w:rsid w:val="40F76BA7"/>
    <w:rsid w:val="41031EBC"/>
    <w:rsid w:val="410D2F00"/>
    <w:rsid w:val="411C3143"/>
    <w:rsid w:val="411D26A2"/>
    <w:rsid w:val="41276809"/>
    <w:rsid w:val="412A70A5"/>
    <w:rsid w:val="412F0F7D"/>
    <w:rsid w:val="41342D6A"/>
    <w:rsid w:val="4138711A"/>
    <w:rsid w:val="413C37E5"/>
    <w:rsid w:val="413E755D"/>
    <w:rsid w:val="414601C0"/>
    <w:rsid w:val="41477862"/>
    <w:rsid w:val="414F52C6"/>
    <w:rsid w:val="41517290"/>
    <w:rsid w:val="415821A3"/>
    <w:rsid w:val="415B010F"/>
    <w:rsid w:val="416D4677"/>
    <w:rsid w:val="41711D42"/>
    <w:rsid w:val="41735459"/>
    <w:rsid w:val="417B0D69"/>
    <w:rsid w:val="417D34D1"/>
    <w:rsid w:val="4185518C"/>
    <w:rsid w:val="418C2076"/>
    <w:rsid w:val="418F72B8"/>
    <w:rsid w:val="41912610"/>
    <w:rsid w:val="4194717D"/>
    <w:rsid w:val="41961147"/>
    <w:rsid w:val="41986C6D"/>
    <w:rsid w:val="41A23DED"/>
    <w:rsid w:val="41A30F3F"/>
    <w:rsid w:val="41A35612"/>
    <w:rsid w:val="41B03A6A"/>
    <w:rsid w:val="41B676E4"/>
    <w:rsid w:val="41C03676"/>
    <w:rsid w:val="41C826C6"/>
    <w:rsid w:val="41DA15EE"/>
    <w:rsid w:val="41DB2C8D"/>
    <w:rsid w:val="41DF59E2"/>
    <w:rsid w:val="41E023C2"/>
    <w:rsid w:val="41E16D96"/>
    <w:rsid w:val="41E54506"/>
    <w:rsid w:val="41E55C2A"/>
    <w:rsid w:val="41E97F67"/>
    <w:rsid w:val="41EF6464"/>
    <w:rsid w:val="41F9158F"/>
    <w:rsid w:val="420C765B"/>
    <w:rsid w:val="420F0249"/>
    <w:rsid w:val="420F2CA7"/>
    <w:rsid w:val="422A188F"/>
    <w:rsid w:val="422D6232"/>
    <w:rsid w:val="423A41C8"/>
    <w:rsid w:val="423E2404"/>
    <w:rsid w:val="423F533B"/>
    <w:rsid w:val="42494CAC"/>
    <w:rsid w:val="424E45D2"/>
    <w:rsid w:val="42552869"/>
    <w:rsid w:val="425F31D5"/>
    <w:rsid w:val="4267663F"/>
    <w:rsid w:val="426923B8"/>
    <w:rsid w:val="426B4382"/>
    <w:rsid w:val="426E68BC"/>
    <w:rsid w:val="427174BE"/>
    <w:rsid w:val="4272159B"/>
    <w:rsid w:val="427D5E63"/>
    <w:rsid w:val="42846E8E"/>
    <w:rsid w:val="4289658E"/>
    <w:rsid w:val="428D254A"/>
    <w:rsid w:val="428F507D"/>
    <w:rsid w:val="429531AD"/>
    <w:rsid w:val="42A311F7"/>
    <w:rsid w:val="42A66459"/>
    <w:rsid w:val="42AB0C22"/>
    <w:rsid w:val="42AD499A"/>
    <w:rsid w:val="42AF7B59"/>
    <w:rsid w:val="42B21F0C"/>
    <w:rsid w:val="42BD71F4"/>
    <w:rsid w:val="42C65A5C"/>
    <w:rsid w:val="42C910A8"/>
    <w:rsid w:val="42CA6F78"/>
    <w:rsid w:val="42CB56FB"/>
    <w:rsid w:val="42D10155"/>
    <w:rsid w:val="42D1467F"/>
    <w:rsid w:val="42D43182"/>
    <w:rsid w:val="42EA174A"/>
    <w:rsid w:val="42F56341"/>
    <w:rsid w:val="42FC76D0"/>
    <w:rsid w:val="4303280C"/>
    <w:rsid w:val="4305012C"/>
    <w:rsid w:val="430F7596"/>
    <w:rsid w:val="43100201"/>
    <w:rsid w:val="431F6F1A"/>
    <w:rsid w:val="4327340C"/>
    <w:rsid w:val="432A370C"/>
    <w:rsid w:val="433C5D1E"/>
    <w:rsid w:val="43455072"/>
    <w:rsid w:val="4352109E"/>
    <w:rsid w:val="4359067E"/>
    <w:rsid w:val="435D6CE3"/>
    <w:rsid w:val="436808C1"/>
    <w:rsid w:val="437152C3"/>
    <w:rsid w:val="4374370A"/>
    <w:rsid w:val="43754D8C"/>
    <w:rsid w:val="439233B5"/>
    <w:rsid w:val="43985621"/>
    <w:rsid w:val="43A075A0"/>
    <w:rsid w:val="43A240BA"/>
    <w:rsid w:val="43A86BFE"/>
    <w:rsid w:val="43A92944"/>
    <w:rsid w:val="43A93C98"/>
    <w:rsid w:val="43A9453B"/>
    <w:rsid w:val="43AC33C1"/>
    <w:rsid w:val="43AD7EAD"/>
    <w:rsid w:val="43BC2106"/>
    <w:rsid w:val="43BD6A0C"/>
    <w:rsid w:val="43C17D1F"/>
    <w:rsid w:val="43D45F57"/>
    <w:rsid w:val="43DE2931"/>
    <w:rsid w:val="43E20674"/>
    <w:rsid w:val="43EB0589"/>
    <w:rsid w:val="4407632C"/>
    <w:rsid w:val="440B5E1C"/>
    <w:rsid w:val="44113205"/>
    <w:rsid w:val="4420119C"/>
    <w:rsid w:val="44240C8C"/>
    <w:rsid w:val="44281AE8"/>
    <w:rsid w:val="444C01E3"/>
    <w:rsid w:val="44531571"/>
    <w:rsid w:val="44584C4A"/>
    <w:rsid w:val="44590772"/>
    <w:rsid w:val="446B0669"/>
    <w:rsid w:val="446F6CAC"/>
    <w:rsid w:val="4473751E"/>
    <w:rsid w:val="447C2876"/>
    <w:rsid w:val="44873867"/>
    <w:rsid w:val="44A04749"/>
    <w:rsid w:val="44A82FE7"/>
    <w:rsid w:val="44AB6CB7"/>
    <w:rsid w:val="44B02520"/>
    <w:rsid w:val="44B55D88"/>
    <w:rsid w:val="44D212C3"/>
    <w:rsid w:val="44D81A76"/>
    <w:rsid w:val="44D92F06"/>
    <w:rsid w:val="44E41F02"/>
    <w:rsid w:val="44E623E5"/>
    <w:rsid w:val="44EB306C"/>
    <w:rsid w:val="44EB3558"/>
    <w:rsid w:val="44EE3048"/>
    <w:rsid w:val="44F529B8"/>
    <w:rsid w:val="44F66DB2"/>
    <w:rsid w:val="44FC5765"/>
    <w:rsid w:val="4501304F"/>
    <w:rsid w:val="45112C97"/>
    <w:rsid w:val="45184AC0"/>
    <w:rsid w:val="45213E32"/>
    <w:rsid w:val="45275A63"/>
    <w:rsid w:val="452846FA"/>
    <w:rsid w:val="45303661"/>
    <w:rsid w:val="45430328"/>
    <w:rsid w:val="4545710C"/>
    <w:rsid w:val="455530C7"/>
    <w:rsid w:val="45592BB7"/>
    <w:rsid w:val="456D21BF"/>
    <w:rsid w:val="45717F01"/>
    <w:rsid w:val="45723C10"/>
    <w:rsid w:val="45723C79"/>
    <w:rsid w:val="45727881"/>
    <w:rsid w:val="45751B5A"/>
    <w:rsid w:val="4577303D"/>
    <w:rsid w:val="457B7A9D"/>
    <w:rsid w:val="457E261E"/>
    <w:rsid w:val="458A0FC3"/>
    <w:rsid w:val="45A3402D"/>
    <w:rsid w:val="45A43FD4"/>
    <w:rsid w:val="45B536DD"/>
    <w:rsid w:val="45B93C95"/>
    <w:rsid w:val="45B93E4A"/>
    <w:rsid w:val="45C75D73"/>
    <w:rsid w:val="45CD7101"/>
    <w:rsid w:val="45D54A22"/>
    <w:rsid w:val="45E47D3F"/>
    <w:rsid w:val="45E52BA0"/>
    <w:rsid w:val="45E701C3"/>
    <w:rsid w:val="45EA1A61"/>
    <w:rsid w:val="45F309C4"/>
    <w:rsid w:val="45F428E0"/>
    <w:rsid w:val="45F564CE"/>
    <w:rsid w:val="45FA6330"/>
    <w:rsid w:val="4601070F"/>
    <w:rsid w:val="460C7C2A"/>
    <w:rsid w:val="46113492"/>
    <w:rsid w:val="46193ED7"/>
    <w:rsid w:val="461C3E68"/>
    <w:rsid w:val="461E795D"/>
    <w:rsid w:val="463158E2"/>
    <w:rsid w:val="463F555D"/>
    <w:rsid w:val="4642364B"/>
    <w:rsid w:val="46464936"/>
    <w:rsid w:val="464A0752"/>
    <w:rsid w:val="46593687"/>
    <w:rsid w:val="465C2E57"/>
    <w:rsid w:val="465D66D7"/>
    <w:rsid w:val="46701BA1"/>
    <w:rsid w:val="4678706D"/>
    <w:rsid w:val="467A2DE5"/>
    <w:rsid w:val="467A4462"/>
    <w:rsid w:val="467E3F53"/>
    <w:rsid w:val="46816594"/>
    <w:rsid w:val="46853538"/>
    <w:rsid w:val="4686308E"/>
    <w:rsid w:val="468D3940"/>
    <w:rsid w:val="469814BD"/>
    <w:rsid w:val="469A6746"/>
    <w:rsid w:val="469D2F78"/>
    <w:rsid w:val="469F45FA"/>
    <w:rsid w:val="46A14816"/>
    <w:rsid w:val="46AC6D17"/>
    <w:rsid w:val="46B23E09"/>
    <w:rsid w:val="46BA7686"/>
    <w:rsid w:val="46BD2CD2"/>
    <w:rsid w:val="46DD15C6"/>
    <w:rsid w:val="46E22739"/>
    <w:rsid w:val="46E5150B"/>
    <w:rsid w:val="46EC00C4"/>
    <w:rsid w:val="46FC0B29"/>
    <w:rsid w:val="47060B1D"/>
    <w:rsid w:val="470D2D84"/>
    <w:rsid w:val="472618CF"/>
    <w:rsid w:val="47266C62"/>
    <w:rsid w:val="47351B7B"/>
    <w:rsid w:val="47451645"/>
    <w:rsid w:val="47465F41"/>
    <w:rsid w:val="47545E09"/>
    <w:rsid w:val="4755115C"/>
    <w:rsid w:val="4759615C"/>
    <w:rsid w:val="47666D96"/>
    <w:rsid w:val="47683A8C"/>
    <w:rsid w:val="47732328"/>
    <w:rsid w:val="47796C1F"/>
    <w:rsid w:val="47841A42"/>
    <w:rsid w:val="478F28C0"/>
    <w:rsid w:val="47947ED7"/>
    <w:rsid w:val="479E2B03"/>
    <w:rsid w:val="47B916EB"/>
    <w:rsid w:val="47BF7F9B"/>
    <w:rsid w:val="47C344DF"/>
    <w:rsid w:val="47CB7671"/>
    <w:rsid w:val="47CC58C3"/>
    <w:rsid w:val="47D305A4"/>
    <w:rsid w:val="47D54E16"/>
    <w:rsid w:val="47D96245"/>
    <w:rsid w:val="47F22E4F"/>
    <w:rsid w:val="47F6649C"/>
    <w:rsid w:val="480212E4"/>
    <w:rsid w:val="480706A9"/>
    <w:rsid w:val="480D7C89"/>
    <w:rsid w:val="480E290B"/>
    <w:rsid w:val="48142DC6"/>
    <w:rsid w:val="481E3C44"/>
    <w:rsid w:val="48223734"/>
    <w:rsid w:val="48270D4B"/>
    <w:rsid w:val="48272AF9"/>
    <w:rsid w:val="48276F9D"/>
    <w:rsid w:val="48383FBF"/>
    <w:rsid w:val="483D231C"/>
    <w:rsid w:val="48562747"/>
    <w:rsid w:val="48575393"/>
    <w:rsid w:val="48621D83"/>
    <w:rsid w:val="486F7FBB"/>
    <w:rsid w:val="487622FE"/>
    <w:rsid w:val="487877F8"/>
    <w:rsid w:val="48795655"/>
    <w:rsid w:val="48822425"/>
    <w:rsid w:val="48931F3C"/>
    <w:rsid w:val="4893466B"/>
    <w:rsid w:val="48A2300D"/>
    <w:rsid w:val="48A501F5"/>
    <w:rsid w:val="48A75872"/>
    <w:rsid w:val="48AC1250"/>
    <w:rsid w:val="48AF2AEE"/>
    <w:rsid w:val="48BA38C7"/>
    <w:rsid w:val="48C0302F"/>
    <w:rsid w:val="48C733FB"/>
    <w:rsid w:val="48CB6F2A"/>
    <w:rsid w:val="48D34A2F"/>
    <w:rsid w:val="48D82045"/>
    <w:rsid w:val="48E15DFA"/>
    <w:rsid w:val="48E704DA"/>
    <w:rsid w:val="48E7672C"/>
    <w:rsid w:val="48EC5AF0"/>
    <w:rsid w:val="48F826E7"/>
    <w:rsid w:val="48FF7C20"/>
    <w:rsid w:val="49035F39"/>
    <w:rsid w:val="49044BE8"/>
    <w:rsid w:val="492B03C7"/>
    <w:rsid w:val="493C57C4"/>
    <w:rsid w:val="493F29DA"/>
    <w:rsid w:val="494B1F0D"/>
    <w:rsid w:val="494D4D8B"/>
    <w:rsid w:val="494D7E90"/>
    <w:rsid w:val="494E6498"/>
    <w:rsid w:val="495A6EFE"/>
    <w:rsid w:val="496C1153"/>
    <w:rsid w:val="497307BE"/>
    <w:rsid w:val="49793828"/>
    <w:rsid w:val="49866E84"/>
    <w:rsid w:val="49942243"/>
    <w:rsid w:val="49971F00"/>
    <w:rsid w:val="499A379E"/>
    <w:rsid w:val="499B076C"/>
    <w:rsid w:val="499D7C4A"/>
    <w:rsid w:val="499E503D"/>
    <w:rsid w:val="49B06B1E"/>
    <w:rsid w:val="49B53780"/>
    <w:rsid w:val="49B8094B"/>
    <w:rsid w:val="49BE48FF"/>
    <w:rsid w:val="49C10D2B"/>
    <w:rsid w:val="49CA7BE0"/>
    <w:rsid w:val="49CD76D0"/>
    <w:rsid w:val="49E358CC"/>
    <w:rsid w:val="49EE7C1F"/>
    <w:rsid w:val="49EF1838"/>
    <w:rsid w:val="49F566E4"/>
    <w:rsid w:val="49F904C5"/>
    <w:rsid w:val="49FB248F"/>
    <w:rsid w:val="49FE3D2D"/>
    <w:rsid w:val="4A023568"/>
    <w:rsid w:val="4A096AC9"/>
    <w:rsid w:val="4A0B1011"/>
    <w:rsid w:val="4A162AC6"/>
    <w:rsid w:val="4A230B6C"/>
    <w:rsid w:val="4A235542"/>
    <w:rsid w:val="4A2D6F53"/>
    <w:rsid w:val="4A38340B"/>
    <w:rsid w:val="4A397D7D"/>
    <w:rsid w:val="4A477482"/>
    <w:rsid w:val="4A4F4589"/>
    <w:rsid w:val="4A4F6AC4"/>
    <w:rsid w:val="4A58168F"/>
    <w:rsid w:val="4A58343D"/>
    <w:rsid w:val="4A592677"/>
    <w:rsid w:val="4A5A1E95"/>
    <w:rsid w:val="4A5B2F2E"/>
    <w:rsid w:val="4A6242BC"/>
    <w:rsid w:val="4A6E2C61"/>
    <w:rsid w:val="4A7162AD"/>
    <w:rsid w:val="4A7A7858"/>
    <w:rsid w:val="4A83348B"/>
    <w:rsid w:val="4A9159E8"/>
    <w:rsid w:val="4A9A1CA8"/>
    <w:rsid w:val="4AA46683"/>
    <w:rsid w:val="4AA76173"/>
    <w:rsid w:val="4AAC7922"/>
    <w:rsid w:val="4AB12665"/>
    <w:rsid w:val="4AB938C0"/>
    <w:rsid w:val="4ABA0D1E"/>
    <w:rsid w:val="4ABB0A02"/>
    <w:rsid w:val="4ABD7C9A"/>
    <w:rsid w:val="4ABF34BD"/>
    <w:rsid w:val="4AC029D5"/>
    <w:rsid w:val="4AC41D00"/>
    <w:rsid w:val="4AC46D25"/>
    <w:rsid w:val="4ACB00B3"/>
    <w:rsid w:val="4ACB55CE"/>
    <w:rsid w:val="4AD104B8"/>
    <w:rsid w:val="4AE3317C"/>
    <w:rsid w:val="4AE578A4"/>
    <w:rsid w:val="4AE72A13"/>
    <w:rsid w:val="4AE9678B"/>
    <w:rsid w:val="4AF63135"/>
    <w:rsid w:val="4AF66DF5"/>
    <w:rsid w:val="4B012F86"/>
    <w:rsid w:val="4B013AD5"/>
    <w:rsid w:val="4B09298A"/>
    <w:rsid w:val="4B09418D"/>
    <w:rsid w:val="4B1F5D09"/>
    <w:rsid w:val="4B257098"/>
    <w:rsid w:val="4B2E0642"/>
    <w:rsid w:val="4B364920"/>
    <w:rsid w:val="4B55484E"/>
    <w:rsid w:val="4B641FA9"/>
    <w:rsid w:val="4B6E05C6"/>
    <w:rsid w:val="4B83606E"/>
    <w:rsid w:val="4B876E79"/>
    <w:rsid w:val="4BB621F1"/>
    <w:rsid w:val="4BBC17AA"/>
    <w:rsid w:val="4BBC4315"/>
    <w:rsid w:val="4BBD7E33"/>
    <w:rsid w:val="4BC04C6C"/>
    <w:rsid w:val="4BC073B4"/>
    <w:rsid w:val="4BC51105"/>
    <w:rsid w:val="4BD56D10"/>
    <w:rsid w:val="4BDD19BC"/>
    <w:rsid w:val="4BEA425F"/>
    <w:rsid w:val="4BEB4F4A"/>
    <w:rsid w:val="4BEC2AF7"/>
    <w:rsid w:val="4BF165EF"/>
    <w:rsid w:val="4BF36A73"/>
    <w:rsid w:val="4BFB5A47"/>
    <w:rsid w:val="4C012815"/>
    <w:rsid w:val="4C0C31F6"/>
    <w:rsid w:val="4C1459B8"/>
    <w:rsid w:val="4C2E570F"/>
    <w:rsid w:val="4C3140B6"/>
    <w:rsid w:val="4C3B4DC5"/>
    <w:rsid w:val="4C4243A5"/>
    <w:rsid w:val="4C424D60"/>
    <w:rsid w:val="4C43229D"/>
    <w:rsid w:val="4C482E4C"/>
    <w:rsid w:val="4C485734"/>
    <w:rsid w:val="4C5A7366"/>
    <w:rsid w:val="4C63431C"/>
    <w:rsid w:val="4C693DDE"/>
    <w:rsid w:val="4C730C63"/>
    <w:rsid w:val="4C7622A1"/>
    <w:rsid w:val="4C771B75"/>
    <w:rsid w:val="4C8A7F11"/>
    <w:rsid w:val="4C946B75"/>
    <w:rsid w:val="4C9957E9"/>
    <w:rsid w:val="4CAA019C"/>
    <w:rsid w:val="4CAF553F"/>
    <w:rsid w:val="4CBA5818"/>
    <w:rsid w:val="4CBA612F"/>
    <w:rsid w:val="4CC06900"/>
    <w:rsid w:val="4CC53AED"/>
    <w:rsid w:val="4CD174D7"/>
    <w:rsid w:val="4CDD6094"/>
    <w:rsid w:val="4CE07CE4"/>
    <w:rsid w:val="4CE248EC"/>
    <w:rsid w:val="4CE4647E"/>
    <w:rsid w:val="4CE63B56"/>
    <w:rsid w:val="4CE94821"/>
    <w:rsid w:val="4CEF795D"/>
    <w:rsid w:val="4CFC00E1"/>
    <w:rsid w:val="4D035C4F"/>
    <w:rsid w:val="4D0A067B"/>
    <w:rsid w:val="4D0B0C3B"/>
    <w:rsid w:val="4D127FA2"/>
    <w:rsid w:val="4D13189E"/>
    <w:rsid w:val="4D1A0F3A"/>
    <w:rsid w:val="4D2A6BE7"/>
    <w:rsid w:val="4D31441A"/>
    <w:rsid w:val="4D3426D1"/>
    <w:rsid w:val="4D4759EB"/>
    <w:rsid w:val="4D4A6CA3"/>
    <w:rsid w:val="4D4E6D7A"/>
    <w:rsid w:val="4D5F2D35"/>
    <w:rsid w:val="4D7F7D7C"/>
    <w:rsid w:val="4D81300F"/>
    <w:rsid w:val="4D950505"/>
    <w:rsid w:val="4D994D5A"/>
    <w:rsid w:val="4D9E2555"/>
    <w:rsid w:val="4DA1334D"/>
    <w:rsid w:val="4DA370C6"/>
    <w:rsid w:val="4DA64866"/>
    <w:rsid w:val="4DAB0C3F"/>
    <w:rsid w:val="4DAE072C"/>
    <w:rsid w:val="4DAF0D21"/>
    <w:rsid w:val="4DB24E9F"/>
    <w:rsid w:val="4DB52955"/>
    <w:rsid w:val="4DB921AD"/>
    <w:rsid w:val="4DBF37D4"/>
    <w:rsid w:val="4DC4703C"/>
    <w:rsid w:val="4DC74318"/>
    <w:rsid w:val="4DCA28A4"/>
    <w:rsid w:val="4DE33966"/>
    <w:rsid w:val="4DE84AD8"/>
    <w:rsid w:val="4DF416CF"/>
    <w:rsid w:val="4DFE42FC"/>
    <w:rsid w:val="4E0A0EF3"/>
    <w:rsid w:val="4E1B3100"/>
    <w:rsid w:val="4E201A58"/>
    <w:rsid w:val="4E3221F7"/>
    <w:rsid w:val="4E326A7F"/>
    <w:rsid w:val="4E3715BC"/>
    <w:rsid w:val="4E4B21F7"/>
    <w:rsid w:val="4E501653"/>
    <w:rsid w:val="4E6032F9"/>
    <w:rsid w:val="4E7312E2"/>
    <w:rsid w:val="4E7520E4"/>
    <w:rsid w:val="4E7B3B9E"/>
    <w:rsid w:val="4E7C04E6"/>
    <w:rsid w:val="4E821B43"/>
    <w:rsid w:val="4E82265C"/>
    <w:rsid w:val="4E88393A"/>
    <w:rsid w:val="4E994025"/>
    <w:rsid w:val="4EAC3D58"/>
    <w:rsid w:val="4EB032D6"/>
    <w:rsid w:val="4EB90223"/>
    <w:rsid w:val="4ED432AF"/>
    <w:rsid w:val="4ED71862"/>
    <w:rsid w:val="4EDB38E7"/>
    <w:rsid w:val="4EDE5BC3"/>
    <w:rsid w:val="4EE43D85"/>
    <w:rsid w:val="4EE96D5A"/>
    <w:rsid w:val="4EF37BD9"/>
    <w:rsid w:val="4F0A72CD"/>
    <w:rsid w:val="4F1837F1"/>
    <w:rsid w:val="4F193610"/>
    <w:rsid w:val="4F1B2E5D"/>
    <w:rsid w:val="4F1C071F"/>
    <w:rsid w:val="4F237DE7"/>
    <w:rsid w:val="4F287EEA"/>
    <w:rsid w:val="4F2A2ECF"/>
    <w:rsid w:val="4F350314"/>
    <w:rsid w:val="4F365D17"/>
    <w:rsid w:val="4F5F701C"/>
    <w:rsid w:val="4F610FE6"/>
    <w:rsid w:val="4F6876A9"/>
    <w:rsid w:val="4F732AC8"/>
    <w:rsid w:val="4F781E8C"/>
    <w:rsid w:val="4F7B372A"/>
    <w:rsid w:val="4F846A83"/>
    <w:rsid w:val="4F871C87"/>
    <w:rsid w:val="4F9402D2"/>
    <w:rsid w:val="4F9F566B"/>
    <w:rsid w:val="4FAD4335"/>
    <w:rsid w:val="4FBF7ABB"/>
    <w:rsid w:val="4FC852ED"/>
    <w:rsid w:val="4FCC6A67"/>
    <w:rsid w:val="4FF263FB"/>
    <w:rsid w:val="4FF4200C"/>
    <w:rsid w:val="4FFC0D0F"/>
    <w:rsid w:val="4FFF435B"/>
    <w:rsid w:val="4FFF6109"/>
    <w:rsid w:val="500104BA"/>
    <w:rsid w:val="500715DF"/>
    <w:rsid w:val="501222E0"/>
    <w:rsid w:val="501740DB"/>
    <w:rsid w:val="501D6352"/>
    <w:rsid w:val="50231D83"/>
    <w:rsid w:val="50245B70"/>
    <w:rsid w:val="502B5150"/>
    <w:rsid w:val="502E69EF"/>
    <w:rsid w:val="50324731"/>
    <w:rsid w:val="503404A9"/>
    <w:rsid w:val="503612DD"/>
    <w:rsid w:val="505226DD"/>
    <w:rsid w:val="50565954"/>
    <w:rsid w:val="5057498A"/>
    <w:rsid w:val="505869A7"/>
    <w:rsid w:val="50587331"/>
    <w:rsid w:val="50595DB0"/>
    <w:rsid w:val="505B3FB1"/>
    <w:rsid w:val="505F4DFA"/>
    <w:rsid w:val="50602CD6"/>
    <w:rsid w:val="50710398"/>
    <w:rsid w:val="507C59AC"/>
    <w:rsid w:val="508278E3"/>
    <w:rsid w:val="50852AB2"/>
    <w:rsid w:val="50873D52"/>
    <w:rsid w:val="508B5BEF"/>
    <w:rsid w:val="50926F7D"/>
    <w:rsid w:val="50970A38"/>
    <w:rsid w:val="50AA565F"/>
    <w:rsid w:val="50AE32FC"/>
    <w:rsid w:val="50B36B51"/>
    <w:rsid w:val="50D37CC2"/>
    <w:rsid w:val="50D82199"/>
    <w:rsid w:val="50E00577"/>
    <w:rsid w:val="50E579F5"/>
    <w:rsid w:val="50E615A0"/>
    <w:rsid w:val="50E7551B"/>
    <w:rsid w:val="50EB5FCD"/>
    <w:rsid w:val="50EB71F1"/>
    <w:rsid w:val="50F9524E"/>
    <w:rsid w:val="51024103"/>
    <w:rsid w:val="510B2768"/>
    <w:rsid w:val="51131E91"/>
    <w:rsid w:val="51184FE8"/>
    <w:rsid w:val="51191F35"/>
    <w:rsid w:val="51234079"/>
    <w:rsid w:val="51271DBC"/>
    <w:rsid w:val="51283FA1"/>
    <w:rsid w:val="513070BA"/>
    <w:rsid w:val="51412457"/>
    <w:rsid w:val="51414393"/>
    <w:rsid w:val="514364CA"/>
    <w:rsid w:val="51453FF0"/>
    <w:rsid w:val="51510455"/>
    <w:rsid w:val="51560A3B"/>
    <w:rsid w:val="515F72D3"/>
    <w:rsid w:val="51624BA2"/>
    <w:rsid w:val="517A638F"/>
    <w:rsid w:val="517A75BA"/>
    <w:rsid w:val="517E622A"/>
    <w:rsid w:val="517F5754"/>
    <w:rsid w:val="51932FAD"/>
    <w:rsid w:val="51A96C75"/>
    <w:rsid w:val="51AE6D34"/>
    <w:rsid w:val="51B60ACF"/>
    <w:rsid w:val="51B82A14"/>
    <w:rsid w:val="51BC0756"/>
    <w:rsid w:val="51C4760A"/>
    <w:rsid w:val="51C70EA9"/>
    <w:rsid w:val="51C92E73"/>
    <w:rsid w:val="51E21A12"/>
    <w:rsid w:val="51E31F75"/>
    <w:rsid w:val="51E8273B"/>
    <w:rsid w:val="51E8779D"/>
    <w:rsid w:val="51E9739D"/>
    <w:rsid w:val="51EB103B"/>
    <w:rsid w:val="51F138FE"/>
    <w:rsid w:val="52036385"/>
    <w:rsid w:val="52052226"/>
    <w:rsid w:val="520B7551"/>
    <w:rsid w:val="520D7203"/>
    <w:rsid w:val="52160268"/>
    <w:rsid w:val="52195BA8"/>
    <w:rsid w:val="521B1346"/>
    <w:rsid w:val="521B14FE"/>
    <w:rsid w:val="52220934"/>
    <w:rsid w:val="522E5B2D"/>
    <w:rsid w:val="52310D91"/>
    <w:rsid w:val="5234518C"/>
    <w:rsid w:val="5239232C"/>
    <w:rsid w:val="52410C5B"/>
    <w:rsid w:val="52416547"/>
    <w:rsid w:val="52554706"/>
    <w:rsid w:val="52562935"/>
    <w:rsid w:val="525B3A47"/>
    <w:rsid w:val="525C3CE7"/>
    <w:rsid w:val="525C3D4D"/>
    <w:rsid w:val="52623EE9"/>
    <w:rsid w:val="52672D70"/>
    <w:rsid w:val="52697A92"/>
    <w:rsid w:val="5285323E"/>
    <w:rsid w:val="52865A20"/>
    <w:rsid w:val="528D316F"/>
    <w:rsid w:val="52903990"/>
    <w:rsid w:val="52946FDD"/>
    <w:rsid w:val="529F755C"/>
    <w:rsid w:val="52A86F2C"/>
    <w:rsid w:val="52AC7CF6"/>
    <w:rsid w:val="52B23907"/>
    <w:rsid w:val="52B96A43"/>
    <w:rsid w:val="52C06024"/>
    <w:rsid w:val="52D84252"/>
    <w:rsid w:val="52E36EE9"/>
    <w:rsid w:val="52E46A9D"/>
    <w:rsid w:val="52EA44E5"/>
    <w:rsid w:val="52F45CCD"/>
    <w:rsid w:val="52F932E4"/>
    <w:rsid w:val="52FF3B12"/>
    <w:rsid w:val="53043434"/>
    <w:rsid w:val="53047EE4"/>
    <w:rsid w:val="53057EDB"/>
    <w:rsid w:val="5311062D"/>
    <w:rsid w:val="531E2D4A"/>
    <w:rsid w:val="53226CDE"/>
    <w:rsid w:val="53295D4D"/>
    <w:rsid w:val="53304FC0"/>
    <w:rsid w:val="53312A7E"/>
    <w:rsid w:val="533D58C6"/>
    <w:rsid w:val="533F163E"/>
    <w:rsid w:val="53400F13"/>
    <w:rsid w:val="5342112A"/>
    <w:rsid w:val="53484562"/>
    <w:rsid w:val="53662BB9"/>
    <w:rsid w:val="536A41E2"/>
    <w:rsid w:val="536B3982"/>
    <w:rsid w:val="5371731E"/>
    <w:rsid w:val="5373002E"/>
    <w:rsid w:val="537A2677"/>
    <w:rsid w:val="538779D4"/>
    <w:rsid w:val="538C4D66"/>
    <w:rsid w:val="539D3474"/>
    <w:rsid w:val="53AE2320"/>
    <w:rsid w:val="53B86CFB"/>
    <w:rsid w:val="53CD0E8F"/>
    <w:rsid w:val="53CF45E6"/>
    <w:rsid w:val="53D67D7B"/>
    <w:rsid w:val="53D8739D"/>
    <w:rsid w:val="53DB7C04"/>
    <w:rsid w:val="53DF697E"/>
    <w:rsid w:val="53E977FC"/>
    <w:rsid w:val="53F43D78"/>
    <w:rsid w:val="53FA7B3D"/>
    <w:rsid w:val="54001ABA"/>
    <w:rsid w:val="5402441A"/>
    <w:rsid w:val="54041B2C"/>
    <w:rsid w:val="54077E93"/>
    <w:rsid w:val="540B3A04"/>
    <w:rsid w:val="54134879"/>
    <w:rsid w:val="54137527"/>
    <w:rsid w:val="541801C8"/>
    <w:rsid w:val="54236EAC"/>
    <w:rsid w:val="543A64C5"/>
    <w:rsid w:val="545125A3"/>
    <w:rsid w:val="54534C76"/>
    <w:rsid w:val="5458228C"/>
    <w:rsid w:val="545F186C"/>
    <w:rsid w:val="5463135D"/>
    <w:rsid w:val="546724CF"/>
    <w:rsid w:val="546B44E4"/>
    <w:rsid w:val="547277F2"/>
    <w:rsid w:val="547B5380"/>
    <w:rsid w:val="547E7BE1"/>
    <w:rsid w:val="547F57C7"/>
    <w:rsid w:val="547F5A6B"/>
    <w:rsid w:val="548C26F2"/>
    <w:rsid w:val="548C4DC5"/>
    <w:rsid w:val="54931516"/>
    <w:rsid w:val="54973DD2"/>
    <w:rsid w:val="54A05CAD"/>
    <w:rsid w:val="54C650D9"/>
    <w:rsid w:val="54E03D30"/>
    <w:rsid w:val="54F77CF7"/>
    <w:rsid w:val="54FB1595"/>
    <w:rsid w:val="55055F70"/>
    <w:rsid w:val="55113871"/>
    <w:rsid w:val="551268DF"/>
    <w:rsid w:val="55152B68"/>
    <w:rsid w:val="551C150B"/>
    <w:rsid w:val="55230AEC"/>
    <w:rsid w:val="55275A0F"/>
    <w:rsid w:val="55325D46"/>
    <w:rsid w:val="55342710"/>
    <w:rsid w:val="55376515"/>
    <w:rsid w:val="554224B3"/>
    <w:rsid w:val="554967A4"/>
    <w:rsid w:val="5552474F"/>
    <w:rsid w:val="555832F7"/>
    <w:rsid w:val="556D7D11"/>
    <w:rsid w:val="55713605"/>
    <w:rsid w:val="55733821"/>
    <w:rsid w:val="55780E38"/>
    <w:rsid w:val="557914C7"/>
    <w:rsid w:val="557F48A2"/>
    <w:rsid w:val="558024C8"/>
    <w:rsid w:val="55805F3E"/>
    <w:rsid w:val="5588094F"/>
    <w:rsid w:val="558E7C26"/>
    <w:rsid w:val="5593102F"/>
    <w:rsid w:val="55A90FF1"/>
    <w:rsid w:val="55AC288F"/>
    <w:rsid w:val="55C15684"/>
    <w:rsid w:val="55C951EF"/>
    <w:rsid w:val="55D17F37"/>
    <w:rsid w:val="55D23DAF"/>
    <w:rsid w:val="55D44A61"/>
    <w:rsid w:val="55E4027B"/>
    <w:rsid w:val="55EA5788"/>
    <w:rsid w:val="55F51599"/>
    <w:rsid w:val="560F4B06"/>
    <w:rsid w:val="561346BC"/>
    <w:rsid w:val="56157577"/>
    <w:rsid w:val="56224E06"/>
    <w:rsid w:val="56275A01"/>
    <w:rsid w:val="562F6473"/>
    <w:rsid w:val="56313D9D"/>
    <w:rsid w:val="56323178"/>
    <w:rsid w:val="563332FB"/>
    <w:rsid w:val="563805C7"/>
    <w:rsid w:val="563C00B7"/>
    <w:rsid w:val="56427A20"/>
    <w:rsid w:val="56432178"/>
    <w:rsid w:val="564D7C8C"/>
    <w:rsid w:val="56517F8A"/>
    <w:rsid w:val="56530F5D"/>
    <w:rsid w:val="565A22EB"/>
    <w:rsid w:val="565D3B8A"/>
    <w:rsid w:val="5661367A"/>
    <w:rsid w:val="566D64C3"/>
    <w:rsid w:val="566E5F5F"/>
    <w:rsid w:val="56717A3B"/>
    <w:rsid w:val="56772E9D"/>
    <w:rsid w:val="567D15B1"/>
    <w:rsid w:val="56892B21"/>
    <w:rsid w:val="568F468B"/>
    <w:rsid w:val="569A4429"/>
    <w:rsid w:val="569A4669"/>
    <w:rsid w:val="569A5A4B"/>
    <w:rsid w:val="56AB6FEB"/>
    <w:rsid w:val="56B20635"/>
    <w:rsid w:val="56B656D9"/>
    <w:rsid w:val="56BC2FA6"/>
    <w:rsid w:val="56C06DE5"/>
    <w:rsid w:val="56C802FA"/>
    <w:rsid w:val="56C97471"/>
    <w:rsid w:val="56D91391"/>
    <w:rsid w:val="56E532E7"/>
    <w:rsid w:val="56E568B0"/>
    <w:rsid w:val="56E956F1"/>
    <w:rsid w:val="56F03D6C"/>
    <w:rsid w:val="56F4689F"/>
    <w:rsid w:val="56FE35BF"/>
    <w:rsid w:val="56FE6576"/>
    <w:rsid w:val="57087DD5"/>
    <w:rsid w:val="571050A0"/>
    <w:rsid w:val="57167C83"/>
    <w:rsid w:val="57193E63"/>
    <w:rsid w:val="572052E3"/>
    <w:rsid w:val="57276FB3"/>
    <w:rsid w:val="572A7F10"/>
    <w:rsid w:val="572D64B0"/>
    <w:rsid w:val="573174F0"/>
    <w:rsid w:val="57332BC0"/>
    <w:rsid w:val="574865E8"/>
    <w:rsid w:val="57491B08"/>
    <w:rsid w:val="574D00A2"/>
    <w:rsid w:val="57511940"/>
    <w:rsid w:val="57554022"/>
    <w:rsid w:val="57572833"/>
    <w:rsid w:val="5760609E"/>
    <w:rsid w:val="57684EDC"/>
    <w:rsid w:val="576D0776"/>
    <w:rsid w:val="577949F3"/>
    <w:rsid w:val="577B7393"/>
    <w:rsid w:val="577E200A"/>
    <w:rsid w:val="57833AC4"/>
    <w:rsid w:val="578E18E9"/>
    <w:rsid w:val="57931F59"/>
    <w:rsid w:val="579841DB"/>
    <w:rsid w:val="57A16D62"/>
    <w:rsid w:val="57AC48C8"/>
    <w:rsid w:val="57B27F05"/>
    <w:rsid w:val="57BB791D"/>
    <w:rsid w:val="57BE68AA"/>
    <w:rsid w:val="57BF68F2"/>
    <w:rsid w:val="57C245EC"/>
    <w:rsid w:val="57C95906"/>
    <w:rsid w:val="57CD51B3"/>
    <w:rsid w:val="57D936E4"/>
    <w:rsid w:val="57E02CC4"/>
    <w:rsid w:val="57E36310"/>
    <w:rsid w:val="57E5652D"/>
    <w:rsid w:val="57EC78BB"/>
    <w:rsid w:val="57F606DA"/>
    <w:rsid w:val="57F8095F"/>
    <w:rsid w:val="58003366"/>
    <w:rsid w:val="58030761"/>
    <w:rsid w:val="580573A0"/>
    <w:rsid w:val="580C5867"/>
    <w:rsid w:val="580D7A60"/>
    <w:rsid w:val="581513A4"/>
    <w:rsid w:val="58337298"/>
    <w:rsid w:val="58371F07"/>
    <w:rsid w:val="583A6878"/>
    <w:rsid w:val="583C439E"/>
    <w:rsid w:val="583F7EB4"/>
    <w:rsid w:val="58405511"/>
    <w:rsid w:val="58510FF6"/>
    <w:rsid w:val="585225C8"/>
    <w:rsid w:val="5866766D"/>
    <w:rsid w:val="58670CF0"/>
    <w:rsid w:val="5876416D"/>
    <w:rsid w:val="58794897"/>
    <w:rsid w:val="5889335C"/>
    <w:rsid w:val="58896EB8"/>
    <w:rsid w:val="588C69A8"/>
    <w:rsid w:val="589179B7"/>
    <w:rsid w:val="58935F89"/>
    <w:rsid w:val="58987305"/>
    <w:rsid w:val="58A106A5"/>
    <w:rsid w:val="58A27F7A"/>
    <w:rsid w:val="58A600B4"/>
    <w:rsid w:val="58AB7467"/>
    <w:rsid w:val="58AD4FF9"/>
    <w:rsid w:val="58B32187"/>
    <w:rsid w:val="58CB127E"/>
    <w:rsid w:val="58CD149A"/>
    <w:rsid w:val="58CE6FC1"/>
    <w:rsid w:val="58D00F8B"/>
    <w:rsid w:val="58D56D16"/>
    <w:rsid w:val="58D72319"/>
    <w:rsid w:val="58E176B6"/>
    <w:rsid w:val="58E541FA"/>
    <w:rsid w:val="58E97957"/>
    <w:rsid w:val="58FD3402"/>
    <w:rsid w:val="591744C4"/>
    <w:rsid w:val="59350DEE"/>
    <w:rsid w:val="593C217C"/>
    <w:rsid w:val="59486D73"/>
    <w:rsid w:val="595474C6"/>
    <w:rsid w:val="59554FEC"/>
    <w:rsid w:val="59700B18"/>
    <w:rsid w:val="59741916"/>
    <w:rsid w:val="598002BB"/>
    <w:rsid w:val="598C3546"/>
    <w:rsid w:val="598C7161"/>
    <w:rsid w:val="599A01AB"/>
    <w:rsid w:val="59B3123E"/>
    <w:rsid w:val="59B60548"/>
    <w:rsid w:val="59BA2900"/>
    <w:rsid w:val="59C103E0"/>
    <w:rsid w:val="59C81C62"/>
    <w:rsid w:val="59D72E3D"/>
    <w:rsid w:val="59DB7BE7"/>
    <w:rsid w:val="59DE3233"/>
    <w:rsid w:val="59E24A40"/>
    <w:rsid w:val="59F100A9"/>
    <w:rsid w:val="5A021030"/>
    <w:rsid w:val="5A033D79"/>
    <w:rsid w:val="5A1F56FD"/>
    <w:rsid w:val="5A1F5D26"/>
    <w:rsid w:val="5A246070"/>
    <w:rsid w:val="5A255C83"/>
    <w:rsid w:val="5A2A5929"/>
    <w:rsid w:val="5A2E1517"/>
    <w:rsid w:val="5A3474B7"/>
    <w:rsid w:val="5A4412E8"/>
    <w:rsid w:val="5A462ABB"/>
    <w:rsid w:val="5A4C63EF"/>
    <w:rsid w:val="5A4E0540"/>
    <w:rsid w:val="5A653116"/>
    <w:rsid w:val="5A827394"/>
    <w:rsid w:val="5A870A2D"/>
    <w:rsid w:val="5A882BDD"/>
    <w:rsid w:val="5A934F9E"/>
    <w:rsid w:val="5A955FE8"/>
    <w:rsid w:val="5A957D96"/>
    <w:rsid w:val="5A985AD8"/>
    <w:rsid w:val="5AA004E9"/>
    <w:rsid w:val="5AB87F28"/>
    <w:rsid w:val="5AB973BA"/>
    <w:rsid w:val="5AD970DA"/>
    <w:rsid w:val="5AE605F2"/>
    <w:rsid w:val="5B044468"/>
    <w:rsid w:val="5B0B1E06"/>
    <w:rsid w:val="5B0D5B7E"/>
    <w:rsid w:val="5B0E1B7D"/>
    <w:rsid w:val="5B12008E"/>
    <w:rsid w:val="5B157066"/>
    <w:rsid w:val="5B157129"/>
    <w:rsid w:val="5B1A36BA"/>
    <w:rsid w:val="5B1E422F"/>
    <w:rsid w:val="5B3022D8"/>
    <w:rsid w:val="5B44356A"/>
    <w:rsid w:val="5B455C3C"/>
    <w:rsid w:val="5B506589"/>
    <w:rsid w:val="5B5279BC"/>
    <w:rsid w:val="5B540F34"/>
    <w:rsid w:val="5B59555D"/>
    <w:rsid w:val="5B5E0922"/>
    <w:rsid w:val="5B5F3995"/>
    <w:rsid w:val="5B687515"/>
    <w:rsid w:val="5B70585B"/>
    <w:rsid w:val="5B70610D"/>
    <w:rsid w:val="5B715ABB"/>
    <w:rsid w:val="5B7200D7"/>
    <w:rsid w:val="5B772776"/>
    <w:rsid w:val="5B7A6F8C"/>
    <w:rsid w:val="5B7B6070"/>
    <w:rsid w:val="5B871DD5"/>
    <w:rsid w:val="5B920779"/>
    <w:rsid w:val="5B935A55"/>
    <w:rsid w:val="5B972821"/>
    <w:rsid w:val="5B9938B6"/>
    <w:rsid w:val="5B9C33A6"/>
    <w:rsid w:val="5B9C40EF"/>
    <w:rsid w:val="5BA2287A"/>
    <w:rsid w:val="5BB76D09"/>
    <w:rsid w:val="5BB95D06"/>
    <w:rsid w:val="5BC06890"/>
    <w:rsid w:val="5BC85F49"/>
    <w:rsid w:val="5BCA7F13"/>
    <w:rsid w:val="5BDA5B74"/>
    <w:rsid w:val="5BDB7A2A"/>
    <w:rsid w:val="5BEA3E7B"/>
    <w:rsid w:val="5BF6533F"/>
    <w:rsid w:val="5BFE196B"/>
    <w:rsid w:val="5C043425"/>
    <w:rsid w:val="5C094047"/>
    <w:rsid w:val="5C1C79E2"/>
    <w:rsid w:val="5C2F1899"/>
    <w:rsid w:val="5C2F1C57"/>
    <w:rsid w:val="5C3B2BBF"/>
    <w:rsid w:val="5C5767C2"/>
    <w:rsid w:val="5C58551F"/>
    <w:rsid w:val="5C6217A0"/>
    <w:rsid w:val="5C6A7000"/>
    <w:rsid w:val="5C6F5B09"/>
    <w:rsid w:val="5C743C9D"/>
    <w:rsid w:val="5C7B120D"/>
    <w:rsid w:val="5C7F509B"/>
    <w:rsid w:val="5C813644"/>
    <w:rsid w:val="5C826B51"/>
    <w:rsid w:val="5C9F1788"/>
    <w:rsid w:val="5CA44A95"/>
    <w:rsid w:val="5CAA7F35"/>
    <w:rsid w:val="5CB63FF4"/>
    <w:rsid w:val="5CBD2518"/>
    <w:rsid w:val="5CC52489"/>
    <w:rsid w:val="5CC52530"/>
    <w:rsid w:val="5CC65382"/>
    <w:rsid w:val="5CCD2734"/>
    <w:rsid w:val="5CCE758F"/>
    <w:rsid w:val="5CD46C0D"/>
    <w:rsid w:val="5CD728E8"/>
    <w:rsid w:val="5CDA12A8"/>
    <w:rsid w:val="5CDA5F34"/>
    <w:rsid w:val="5CF70133"/>
    <w:rsid w:val="5CFF3502"/>
    <w:rsid w:val="5D0830F3"/>
    <w:rsid w:val="5D0E3E30"/>
    <w:rsid w:val="5D172CE4"/>
    <w:rsid w:val="5D1A4582"/>
    <w:rsid w:val="5D215911"/>
    <w:rsid w:val="5D2673CB"/>
    <w:rsid w:val="5D2C42B6"/>
    <w:rsid w:val="5D2D2508"/>
    <w:rsid w:val="5D302478"/>
    <w:rsid w:val="5D3119D1"/>
    <w:rsid w:val="5D3563A6"/>
    <w:rsid w:val="5D3E57E7"/>
    <w:rsid w:val="5D4B5084"/>
    <w:rsid w:val="5D4B6E32"/>
    <w:rsid w:val="5D513E8F"/>
    <w:rsid w:val="5D537A94"/>
    <w:rsid w:val="5D632EDA"/>
    <w:rsid w:val="5D657191"/>
    <w:rsid w:val="5D700646"/>
    <w:rsid w:val="5D775E79"/>
    <w:rsid w:val="5D7E639E"/>
    <w:rsid w:val="5D884755"/>
    <w:rsid w:val="5D9C7507"/>
    <w:rsid w:val="5D9C768D"/>
    <w:rsid w:val="5D9F0A5C"/>
    <w:rsid w:val="5DA6050C"/>
    <w:rsid w:val="5DAE5781"/>
    <w:rsid w:val="5DC56BE4"/>
    <w:rsid w:val="5DD65765"/>
    <w:rsid w:val="5DE80B25"/>
    <w:rsid w:val="5DF9688E"/>
    <w:rsid w:val="5DFD637E"/>
    <w:rsid w:val="5E085E20"/>
    <w:rsid w:val="5E0C4813"/>
    <w:rsid w:val="5E1611EE"/>
    <w:rsid w:val="5E1831B8"/>
    <w:rsid w:val="5E1B6804"/>
    <w:rsid w:val="5E231B5D"/>
    <w:rsid w:val="5E240266"/>
    <w:rsid w:val="5E280F21"/>
    <w:rsid w:val="5E371DF4"/>
    <w:rsid w:val="5E37504F"/>
    <w:rsid w:val="5E394479"/>
    <w:rsid w:val="5E3E74AE"/>
    <w:rsid w:val="5E4072C9"/>
    <w:rsid w:val="5E453881"/>
    <w:rsid w:val="5E4562C8"/>
    <w:rsid w:val="5E485775"/>
    <w:rsid w:val="5E4A533B"/>
    <w:rsid w:val="5E4A70E9"/>
    <w:rsid w:val="5E590518"/>
    <w:rsid w:val="5E622685"/>
    <w:rsid w:val="5E653F23"/>
    <w:rsid w:val="5E69180F"/>
    <w:rsid w:val="5E7344CD"/>
    <w:rsid w:val="5E783C56"/>
    <w:rsid w:val="5E7B72A3"/>
    <w:rsid w:val="5E833EFA"/>
    <w:rsid w:val="5E853F66"/>
    <w:rsid w:val="5E8A398A"/>
    <w:rsid w:val="5EA852B4"/>
    <w:rsid w:val="5EA902B4"/>
    <w:rsid w:val="5EAF519E"/>
    <w:rsid w:val="5EB01642"/>
    <w:rsid w:val="5EB91B59"/>
    <w:rsid w:val="5EB91C34"/>
    <w:rsid w:val="5EBD78BB"/>
    <w:rsid w:val="5EC76EBC"/>
    <w:rsid w:val="5ED30E8D"/>
    <w:rsid w:val="5ED45536"/>
    <w:rsid w:val="5ED62855"/>
    <w:rsid w:val="5EFC4888"/>
    <w:rsid w:val="5EFF39EF"/>
    <w:rsid w:val="5F0721D5"/>
    <w:rsid w:val="5F116CFA"/>
    <w:rsid w:val="5F1D1E82"/>
    <w:rsid w:val="5F2D4A41"/>
    <w:rsid w:val="5F2D60E0"/>
    <w:rsid w:val="5F3309F8"/>
    <w:rsid w:val="5F3538F6"/>
    <w:rsid w:val="5F463D55"/>
    <w:rsid w:val="5F49114F"/>
    <w:rsid w:val="5F4D2BFA"/>
    <w:rsid w:val="5F4E6765"/>
    <w:rsid w:val="5F5226F9"/>
    <w:rsid w:val="5F544E26"/>
    <w:rsid w:val="5F5C5326"/>
    <w:rsid w:val="5F610B6B"/>
    <w:rsid w:val="5F667F53"/>
    <w:rsid w:val="5F684B10"/>
    <w:rsid w:val="5F6D12E1"/>
    <w:rsid w:val="5F7773A1"/>
    <w:rsid w:val="5F824661"/>
    <w:rsid w:val="5F8B5C0B"/>
    <w:rsid w:val="5F8E6BF5"/>
    <w:rsid w:val="5FA23C0D"/>
    <w:rsid w:val="5FA74963"/>
    <w:rsid w:val="5FB172A3"/>
    <w:rsid w:val="5FB44F9D"/>
    <w:rsid w:val="5FD255E8"/>
    <w:rsid w:val="5FE13A7D"/>
    <w:rsid w:val="5FF7504F"/>
    <w:rsid w:val="5FF94923"/>
    <w:rsid w:val="5FFE3A50"/>
    <w:rsid w:val="60023E62"/>
    <w:rsid w:val="600339F4"/>
    <w:rsid w:val="6005151A"/>
    <w:rsid w:val="6008100A"/>
    <w:rsid w:val="600B23EC"/>
    <w:rsid w:val="60144BDF"/>
    <w:rsid w:val="601B0D3D"/>
    <w:rsid w:val="601D5FF6"/>
    <w:rsid w:val="602C2C2C"/>
    <w:rsid w:val="602D0A71"/>
    <w:rsid w:val="60343BAD"/>
    <w:rsid w:val="603D5158"/>
    <w:rsid w:val="604E4759"/>
    <w:rsid w:val="604F450B"/>
    <w:rsid w:val="60566219"/>
    <w:rsid w:val="605729A1"/>
    <w:rsid w:val="605B55DE"/>
    <w:rsid w:val="60651C9D"/>
    <w:rsid w:val="606D0EC4"/>
    <w:rsid w:val="606F18A4"/>
    <w:rsid w:val="607E367C"/>
    <w:rsid w:val="607E751E"/>
    <w:rsid w:val="60814A35"/>
    <w:rsid w:val="60816D1E"/>
    <w:rsid w:val="6082700E"/>
    <w:rsid w:val="608A4330"/>
    <w:rsid w:val="608D22C5"/>
    <w:rsid w:val="609127A3"/>
    <w:rsid w:val="60995EA1"/>
    <w:rsid w:val="609D5B69"/>
    <w:rsid w:val="609F5D58"/>
    <w:rsid w:val="60A31375"/>
    <w:rsid w:val="60AD0C9F"/>
    <w:rsid w:val="60B151FE"/>
    <w:rsid w:val="60B65125"/>
    <w:rsid w:val="60B66CB8"/>
    <w:rsid w:val="60B91215"/>
    <w:rsid w:val="60BB607C"/>
    <w:rsid w:val="60C41052"/>
    <w:rsid w:val="60CE0BC4"/>
    <w:rsid w:val="60D66A94"/>
    <w:rsid w:val="60DB663A"/>
    <w:rsid w:val="60E02CC9"/>
    <w:rsid w:val="60EB6185"/>
    <w:rsid w:val="60F4333C"/>
    <w:rsid w:val="60FB1283"/>
    <w:rsid w:val="610B779A"/>
    <w:rsid w:val="61324CCE"/>
    <w:rsid w:val="613A1697"/>
    <w:rsid w:val="61436F52"/>
    <w:rsid w:val="61461DEA"/>
    <w:rsid w:val="614B7400"/>
    <w:rsid w:val="615C160D"/>
    <w:rsid w:val="61655970"/>
    <w:rsid w:val="61707F91"/>
    <w:rsid w:val="61727781"/>
    <w:rsid w:val="61785D1C"/>
    <w:rsid w:val="61813CAC"/>
    <w:rsid w:val="619F148F"/>
    <w:rsid w:val="61AE5BE1"/>
    <w:rsid w:val="61B41449"/>
    <w:rsid w:val="61B61C8F"/>
    <w:rsid w:val="61B63755"/>
    <w:rsid w:val="61BC16FD"/>
    <w:rsid w:val="61BD3385"/>
    <w:rsid w:val="61C15914"/>
    <w:rsid w:val="61C222D4"/>
    <w:rsid w:val="61C564E0"/>
    <w:rsid w:val="61C63AB4"/>
    <w:rsid w:val="61C70CE7"/>
    <w:rsid w:val="61C84EF5"/>
    <w:rsid w:val="61CE544F"/>
    <w:rsid w:val="61DE2022"/>
    <w:rsid w:val="61EB0BE3"/>
    <w:rsid w:val="61F061FA"/>
    <w:rsid w:val="61F5736C"/>
    <w:rsid w:val="61FE4473"/>
    <w:rsid w:val="620228DB"/>
    <w:rsid w:val="62072ADB"/>
    <w:rsid w:val="620A5A4A"/>
    <w:rsid w:val="620E5678"/>
    <w:rsid w:val="620F3203"/>
    <w:rsid w:val="621232AC"/>
    <w:rsid w:val="6223037D"/>
    <w:rsid w:val="623065F6"/>
    <w:rsid w:val="62351636"/>
    <w:rsid w:val="623B7475"/>
    <w:rsid w:val="624502F4"/>
    <w:rsid w:val="62467BC8"/>
    <w:rsid w:val="62477F0C"/>
    <w:rsid w:val="625D388F"/>
    <w:rsid w:val="626369CC"/>
    <w:rsid w:val="626C652F"/>
    <w:rsid w:val="62732C9C"/>
    <w:rsid w:val="627604AD"/>
    <w:rsid w:val="627853E3"/>
    <w:rsid w:val="627A6F10"/>
    <w:rsid w:val="627F48F3"/>
    <w:rsid w:val="62A52B40"/>
    <w:rsid w:val="62AA5D73"/>
    <w:rsid w:val="62AD72DE"/>
    <w:rsid w:val="62B334AF"/>
    <w:rsid w:val="62C03E1E"/>
    <w:rsid w:val="62C31218"/>
    <w:rsid w:val="62D003E9"/>
    <w:rsid w:val="62DF285B"/>
    <w:rsid w:val="62E61009"/>
    <w:rsid w:val="62F01AC0"/>
    <w:rsid w:val="62F15D85"/>
    <w:rsid w:val="63043D0B"/>
    <w:rsid w:val="63111C43"/>
    <w:rsid w:val="63161C90"/>
    <w:rsid w:val="63162532"/>
    <w:rsid w:val="63266E51"/>
    <w:rsid w:val="632A2B8E"/>
    <w:rsid w:val="63301F64"/>
    <w:rsid w:val="633914DA"/>
    <w:rsid w:val="633C6F6C"/>
    <w:rsid w:val="634405AB"/>
    <w:rsid w:val="634467FD"/>
    <w:rsid w:val="63493E13"/>
    <w:rsid w:val="6353259C"/>
    <w:rsid w:val="63626CF1"/>
    <w:rsid w:val="63660521"/>
    <w:rsid w:val="636724EC"/>
    <w:rsid w:val="636E73D6"/>
    <w:rsid w:val="63715118"/>
    <w:rsid w:val="6376278D"/>
    <w:rsid w:val="637B1AF3"/>
    <w:rsid w:val="6385682E"/>
    <w:rsid w:val="638B442C"/>
    <w:rsid w:val="63901A42"/>
    <w:rsid w:val="639E2FFA"/>
    <w:rsid w:val="63A376E5"/>
    <w:rsid w:val="63A421B8"/>
    <w:rsid w:val="63A5471B"/>
    <w:rsid w:val="63A60CCA"/>
    <w:rsid w:val="63B00791"/>
    <w:rsid w:val="63B5373F"/>
    <w:rsid w:val="63BA6ABF"/>
    <w:rsid w:val="63BC76BF"/>
    <w:rsid w:val="63C210E6"/>
    <w:rsid w:val="63C67883"/>
    <w:rsid w:val="63CC234F"/>
    <w:rsid w:val="63CF40B9"/>
    <w:rsid w:val="63D23E09"/>
    <w:rsid w:val="63D74F7B"/>
    <w:rsid w:val="63D77671"/>
    <w:rsid w:val="63DC6A36"/>
    <w:rsid w:val="63E44B2A"/>
    <w:rsid w:val="63E8362C"/>
    <w:rsid w:val="63E91153"/>
    <w:rsid w:val="63EE0517"/>
    <w:rsid w:val="63EF49BB"/>
    <w:rsid w:val="63F0603D"/>
    <w:rsid w:val="63F21E60"/>
    <w:rsid w:val="64030466"/>
    <w:rsid w:val="64056B95"/>
    <w:rsid w:val="64091019"/>
    <w:rsid w:val="64167E4C"/>
    <w:rsid w:val="641E2BAA"/>
    <w:rsid w:val="64234664"/>
    <w:rsid w:val="642559F9"/>
    <w:rsid w:val="64260D50"/>
    <w:rsid w:val="642C5238"/>
    <w:rsid w:val="64372C9D"/>
    <w:rsid w:val="644B7E9A"/>
    <w:rsid w:val="644C3BBB"/>
    <w:rsid w:val="644E27B5"/>
    <w:rsid w:val="644F3769"/>
    <w:rsid w:val="64567872"/>
    <w:rsid w:val="646C600B"/>
    <w:rsid w:val="646D58E0"/>
    <w:rsid w:val="646F1658"/>
    <w:rsid w:val="64764597"/>
    <w:rsid w:val="647924D6"/>
    <w:rsid w:val="647B41E6"/>
    <w:rsid w:val="64800B74"/>
    <w:rsid w:val="64942F00"/>
    <w:rsid w:val="64964E36"/>
    <w:rsid w:val="649A1ADF"/>
    <w:rsid w:val="649E018F"/>
    <w:rsid w:val="64A01811"/>
    <w:rsid w:val="64A62BA0"/>
    <w:rsid w:val="64B74DAD"/>
    <w:rsid w:val="64B85C5F"/>
    <w:rsid w:val="64BD0615"/>
    <w:rsid w:val="64BF68B6"/>
    <w:rsid w:val="64C5571C"/>
    <w:rsid w:val="64D15EF4"/>
    <w:rsid w:val="64D616D7"/>
    <w:rsid w:val="64E262CE"/>
    <w:rsid w:val="64E35EB0"/>
    <w:rsid w:val="64E738E4"/>
    <w:rsid w:val="64ED07CF"/>
    <w:rsid w:val="64EE4C72"/>
    <w:rsid w:val="64F14763"/>
    <w:rsid w:val="64F57D59"/>
    <w:rsid w:val="650049A6"/>
    <w:rsid w:val="650A75D2"/>
    <w:rsid w:val="650C334B"/>
    <w:rsid w:val="651641C9"/>
    <w:rsid w:val="651E6BDA"/>
    <w:rsid w:val="65235E30"/>
    <w:rsid w:val="653B2028"/>
    <w:rsid w:val="653F3F71"/>
    <w:rsid w:val="65436640"/>
    <w:rsid w:val="6549634D"/>
    <w:rsid w:val="654B2592"/>
    <w:rsid w:val="65533E25"/>
    <w:rsid w:val="655F4AD1"/>
    <w:rsid w:val="65640EC5"/>
    <w:rsid w:val="656E64A3"/>
    <w:rsid w:val="65711400"/>
    <w:rsid w:val="65737881"/>
    <w:rsid w:val="65837903"/>
    <w:rsid w:val="6589499B"/>
    <w:rsid w:val="65907AD8"/>
    <w:rsid w:val="65907E7F"/>
    <w:rsid w:val="65993318"/>
    <w:rsid w:val="65A73073"/>
    <w:rsid w:val="65AB66C0"/>
    <w:rsid w:val="65AE61B0"/>
    <w:rsid w:val="65B2572B"/>
    <w:rsid w:val="65B50F95"/>
    <w:rsid w:val="65B8702E"/>
    <w:rsid w:val="65C42092"/>
    <w:rsid w:val="65C47B38"/>
    <w:rsid w:val="65CE23AE"/>
    <w:rsid w:val="65D33E68"/>
    <w:rsid w:val="65D348F4"/>
    <w:rsid w:val="65D62FC5"/>
    <w:rsid w:val="65DC6FA7"/>
    <w:rsid w:val="65E322FD"/>
    <w:rsid w:val="65E41BD1"/>
    <w:rsid w:val="65E87073"/>
    <w:rsid w:val="65E87A1C"/>
    <w:rsid w:val="65F50E75"/>
    <w:rsid w:val="65F965E7"/>
    <w:rsid w:val="65FA13F5"/>
    <w:rsid w:val="65FD2C93"/>
    <w:rsid w:val="66074602"/>
    <w:rsid w:val="660B53B0"/>
    <w:rsid w:val="660C5529"/>
    <w:rsid w:val="660C59AD"/>
    <w:rsid w:val="660F30F2"/>
    <w:rsid w:val="661B4D9F"/>
    <w:rsid w:val="661C580F"/>
    <w:rsid w:val="661C75BD"/>
    <w:rsid w:val="662E7ECC"/>
    <w:rsid w:val="663C1A0D"/>
    <w:rsid w:val="66456B14"/>
    <w:rsid w:val="664B3306"/>
    <w:rsid w:val="6661413C"/>
    <w:rsid w:val="6683763C"/>
    <w:rsid w:val="66884C53"/>
    <w:rsid w:val="669C24AC"/>
    <w:rsid w:val="66AB26EF"/>
    <w:rsid w:val="66AF6428"/>
    <w:rsid w:val="66B030F5"/>
    <w:rsid w:val="66B4528E"/>
    <w:rsid w:val="66BC1D92"/>
    <w:rsid w:val="66BC66AA"/>
    <w:rsid w:val="66BE5159"/>
    <w:rsid w:val="66C0619B"/>
    <w:rsid w:val="66C96BA8"/>
    <w:rsid w:val="66D101C2"/>
    <w:rsid w:val="66D14F9A"/>
    <w:rsid w:val="66D512E8"/>
    <w:rsid w:val="66E31E89"/>
    <w:rsid w:val="66EC2AFF"/>
    <w:rsid w:val="66F05688"/>
    <w:rsid w:val="66F7131F"/>
    <w:rsid w:val="67057182"/>
    <w:rsid w:val="670A63F8"/>
    <w:rsid w:val="670C5884"/>
    <w:rsid w:val="670E5EC0"/>
    <w:rsid w:val="67201E9A"/>
    <w:rsid w:val="67207AD7"/>
    <w:rsid w:val="672A7AB8"/>
    <w:rsid w:val="673A2DBF"/>
    <w:rsid w:val="6740552D"/>
    <w:rsid w:val="67561ABE"/>
    <w:rsid w:val="676034DA"/>
    <w:rsid w:val="67674908"/>
    <w:rsid w:val="676F715A"/>
    <w:rsid w:val="676F7BC1"/>
    <w:rsid w:val="677B47B7"/>
    <w:rsid w:val="678039F5"/>
    <w:rsid w:val="67817DD1"/>
    <w:rsid w:val="678216A2"/>
    <w:rsid w:val="6787315C"/>
    <w:rsid w:val="678A0D07"/>
    <w:rsid w:val="678B49FB"/>
    <w:rsid w:val="6796339F"/>
    <w:rsid w:val="679A4DB2"/>
    <w:rsid w:val="67A21D44"/>
    <w:rsid w:val="67A45F44"/>
    <w:rsid w:val="67B11F87"/>
    <w:rsid w:val="67B716DE"/>
    <w:rsid w:val="67BA5974"/>
    <w:rsid w:val="67C972D1"/>
    <w:rsid w:val="67D16185"/>
    <w:rsid w:val="67DE2123"/>
    <w:rsid w:val="67E1553D"/>
    <w:rsid w:val="67E97973"/>
    <w:rsid w:val="67EB5567"/>
    <w:rsid w:val="67F00FBF"/>
    <w:rsid w:val="680622D3"/>
    <w:rsid w:val="680B1697"/>
    <w:rsid w:val="68126ECA"/>
    <w:rsid w:val="681349F0"/>
    <w:rsid w:val="681A18DB"/>
    <w:rsid w:val="681D5C69"/>
    <w:rsid w:val="68250F41"/>
    <w:rsid w:val="68316682"/>
    <w:rsid w:val="683C7AA3"/>
    <w:rsid w:val="683F75E0"/>
    <w:rsid w:val="684C6066"/>
    <w:rsid w:val="6850354E"/>
    <w:rsid w:val="685F00CD"/>
    <w:rsid w:val="68694BBB"/>
    <w:rsid w:val="686A0AB4"/>
    <w:rsid w:val="686F2A5A"/>
    <w:rsid w:val="68774F7F"/>
    <w:rsid w:val="687C4343"/>
    <w:rsid w:val="687D1AAA"/>
    <w:rsid w:val="68815DFE"/>
    <w:rsid w:val="688651C2"/>
    <w:rsid w:val="688C2D3E"/>
    <w:rsid w:val="6894168D"/>
    <w:rsid w:val="68984679"/>
    <w:rsid w:val="68996277"/>
    <w:rsid w:val="689A7BCB"/>
    <w:rsid w:val="689B6EBF"/>
    <w:rsid w:val="689C49E5"/>
    <w:rsid w:val="689E08CF"/>
    <w:rsid w:val="68A140BF"/>
    <w:rsid w:val="68A555D8"/>
    <w:rsid w:val="68A65864"/>
    <w:rsid w:val="68A67612"/>
    <w:rsid w:val="68AA0EB0"/>
    <w:rsid w:val="68AB6624"/>
    <w:rsid w:val="68B97345"/>
    <w:rsid w:val="68C76C42"/>
    <w:rsid w:val="68CB08C9"/>
    <w:rsid w:val="68CB0E27"/>
    <w:rsid w:val="68CE7F5A"/>
    <w:rsid w:val="68D4417F"/>
    <w:rsid w:val="68D50A5C"/>
    <w:rsid w:val="68D8057C"/>
    <w:rsid w:val="68E35FDC"/>
    <w:rsid w:val="68E72104"/>
    <w:rsid w:val="68ED5241"/>
    <w:rsid w:val="68F4037D"/>
    <w:rsid w:val="68F6059A"/>
    <w:rsid w:val="68FC3120"/>
    <w:rsid w:val="6900306C"/>
    <w:rsid w:val="690251E8"/>
    <w:rsid w:val="69034A64"/>
    <w:rsid w:val="690C3314"/>
    <w:rsid w:val="690C3919"/>
    <w:rsid w:val="69194288"/>
    <w:rsid w:val="692B758E"/>
    <w:rsid w:val="69315862"/>
    <w:rsid w:val="6938470E"/>
    <w:rsid w:val="693A042A"/>
    <w:rsid w:val="69450BD9"/>
    <w:rsid w:val="6949691B"/>
    <w:rsid w:val="694C3FC0"/>
    <w:rsid w:val="694C640B"/>
    <w:rsid w:val="6953779A"/>
    <w:rsid w:val="695F4E26"/>
    <w:rsid w:val="696574CD"/>
    <w:rsid w:val="69702ECB"/>
    <w:rsid w:val="697B0A9F"/>
    <w:rsid w:val="69810E26"/>
    <w:rsid w:val="698711F2"/>
    <w:rsid w:val="69886D18"/>
    <w:rsid w:val="698C6E3A"/>
    <w:rsid w:val="69956513"/>
    <w:rsid w:val="699E02E9"/>
    <w:rsid w:val="69A2602B"/>
    <w:rsid w:val="69AC2A06"/>
    <w:rsid w:val="69BC7204"/>
    <w:rsid w:val="69D00DEB"/>
    <w:rsid w:val="69DA2DF3"/>
    <w:rsid w:val="69EC374B"/>
    <w:rsid w:val="69F94996"/>
    <w:rsid w:val="69FF6FDA"/>
    <w:rsid w:val="6A010FA4"/>
    <w:rsid w:val="6A021AE1"/>
    <w:rsid w:val="6A0E36C1"/>
    <w:rsid w:val="6A1F02B5"/>
    <w:rsid w:val="6A2627B9"/>
    <w:rsid w:val="6A45273F"/>
    <w:rsid w:val="6A465B2D"/>
    <w:rsid w:val="6A4E0D05"/>
    <w:rsid w:val="6A507835"/>
    <w:rsid w:val="6A554E4C"/>
    <w:rsid w:val="6A641533"/>
    <w:rsid w:val="6A770E80"/>
    <w:rsid w:val="6A7936F5"/>
    <w:rsid w:val="6A7A0676"/>
    <w:rsid w:val="6A83400D"/>
    <w:rsid w:val="6A8D7E41"/>
    <w:rsid w:val="6A94006A"/>
    <w:rsid w:val="6A952428"/>
    <w:rsid w:val="6A9A4F55"/>
    <w:rsid w:val="6A9D076F"/>
    <w:rsid w:val="6AC662F6"/>
    <w:rsid w:val="6ACA63DC"/>
    <w:rsid w:val="6ACB47D4"/>
    <w:rsid w:val="6ACF64C8"/>
    <w:rsid w:val="6AE514B7"/>
    <w:rsid w:val="6AEA1A38"/>
    <w:rsid w:val="6AED0313"/>
    <w:rsid w:val="6AF036BE"/>
    <w:rsid w:val="6B024056"/>
    <w:rsid w:val="6B08617D"/>
    <w:rsid w:val="6B0C7B33"/>
    <w:rsid w:val="6B19231D"/>
    <w:rsid w:val="6B1B42E7"/>
    <w:rsid w:val="6B1C7732"/>
    <w:rsid w:val="6B1F76F3"/>
    <w:rsid w:val="6B2334C7"/>
    <w:rsid w:val="6B393020"/>
    <w:rsid w:val="6B3D24B0"/>
    <w:rsid w:val="6B431148"/>
    <w:rsid w:val="6B477A2A"/>
    <w:rsid w:val="6B4A6888"/>
    <w:rsid w:val="6B533A81"/>
    <w:rsid w:val="6B5670CE"/>
    <w:rsid w:val="6B673089"/>
    <w:rsid w:val="6B680BAF"/>
    <w:rsid w:val="6B68305E"/>
    <w:rsid w:val="6B7036D0"/>
    <w:rsid w:val="6B806158"/>
    <w:rsid w:val="6B8267D6"/>
    <w:rsid w:val="6B865E6A"/>
    <w:rsid w:val="6B930322"/>
    <w:rsid w:val="6B9B4975"/>
    <w:rsid w:val="6BAA566B"/>
    <w:rsid w:val="6BAC3191"/>
    <w:rsid w:val="6BB32772"/>
    <w:rsid w:val="6BCF0C2E"/>
    <w:rsid w:val="6BD222D2"/>
    <w:rsid w:val="6BD44EF8"/>
    <w:rsid w:val="6BD55290"/>
    <w:rsid w:val="6BD97E3E"/>
    <w:rsid w:val="6BDB24DB"/>
    <w:rsid w:val="6BE041B9"/>
    <w:rsid w:val="6BF608B1"/>
    <w:rsid w:val="6C02704F"/>
    <w:rsid w:val="6C0528A2"/>
    <w:rsid w:val="6C073B22"/>
    <w:rsid w:val="6C134FBF"/>
    <w:rsid w:val="6C186A79"/>
    <w:rsid w:val="6C2216A6"/>
    <w:rsid w:val="6C313697"/>
    <w:rsid w:val="6C357A73"/>
    <w:rsid w:val="6C3D1EED"/>
    <w:rsid w:val="6C4B4758"/>
    <w:rsid w:val="6C557385"/>
    <w:rsid w:val="6C573720"/>
    <w:rsid w:val="6C613F7C"/>
    <w:rsid w:val="6C6475E9"/>
    <w:rsid w:val="6C69175A"/>
    <w:rsid w:val="6C700663"/>
    <w:rsid w:val="6C705F6D"/>
    <w:rsid w:val="6C7461D8"/>
    <w:rsid w:val="6C757439"/>
    <w:rsid w:val="6C7D68DC"/>
    <w:rsid w:val="6C816BB3"/>
    <w:rsid w:val="6C996646"/>
    <w:rsid w:val="6CA35F05"/>
    <w:rsid w:val="6CB5251A"/>
    <w:rsid w:val="6CB87914"/>
    <w:rsid w:val="6CBA18DE"/>
    <w:rsid w:val="6CBD4F2A"/>
    <w:rsid w:val="6CD27268"/>
    <w:rsid w:val="6CD92E74"/>
    <w:rsid w:val="6CEA2124"/>
    <w:rsid w:val="6CEB2155"/>
    <w:rsid w:val="6D0843F7"/>
    <w:rsid w:val="6D0B3EE8"/>
    <w:rsid w:val="6D192AA9"/>
    <w:rsid w:val="6D1F7993"/>
    <w:rsid w:val="6D3A657B"/>
    <w:rsid w:val="6D400035"/>
    <w:rsid w:val="6D4449B9"/>
    <w:rsid w:val="6D45389E"/>
    <w:rsid w:val="6D4B69B7"/>
    <w:rsid w:val="6D5639A8"/>
    <w:rsid w:val="6D72208E"/>
    <w:rsid w:val="6D7B72BF"/>
    <w:rsid w:val="6D836174"/>
    <w:rsid w:val="6D904217"/>
    <w:rsid w:val="6D94212F"/>
    <w:rsid w:val="6DA45D5D"/>
    <w:rsid w:val="6DA85746"/>
    <w:rsid w:val="6DB35909"/>
    <w:rsid w:val="6DBC51E2"/>
    <w:rsid w:val="6DDD5127"/>
    <w:rsid w:val="6DF87A82"/>
    <w:rsid w:val="6DFA4688"/>
    <w:rsid w:val="6E054DDB"/>
    <w:rsid w:val="6E182D60"/>
    <w:rsid w:val="6E1A6AD8"/>
    <w:rsid w:val="6E1A7ADB"/>
    <w:rsid w:val="6E21682C"/>
    <w:rsid w:val="6E480AAB"/>
    <w:rsid w:val="6E49116B"/>
    <w:rsid w:val="6E4A5A7E"/>
    <w:rsid w:val="6E525E68"/>
    <w:rsid w:val="6E573C27"/>
    <w:rsid w:val="6E5A6ED5"/>
    <w:rsid w:val="6E5F25F7"/>
    <w:rsid w:val="6E7A1325"/>
    <w:rsid w:val="6E89335C"/>
    <w:rsid w:val="6E8B4B4F"/>
    <w:rsid w:val="6E992277"/>
    <w:rsid w:val="6EA01BF0"/>
    <w:rsid w:val="6EA6211A"/>
    <w:rsid w:val="6EA65F47"/>
    <w:rsid w:val="6EAE5F8C"/>
    <w:rsid w:val="6EC54493"/>
    <w:rsid w:val="6ECD6A46"/>
    <w:rsid w:val="6ED07EFC"/>
    <w:rsid w:val="6ED529FF"/>
    <w:rsid w:val="6ED67032"/>
    <w:rsid w:val="6ED86448"/>
    <w:rsid w:val="6ED90F70"/>
    <w:rsid w:val="6EDF51F2"/>
    <w:rsid w:val="6EE8729D"/>
    <w:rsid w:val="6EEA6C2C"/>
    <w:rsid w:val="6EF15FB4"/>
    <w:rsid w:val="6F0B285F"/>
    <w:rsid w:val="6F234F46"/>
    <w:rsid w:val="6F2474E3"/>
    <w:rsid w:val="6F297677"/>
    <w:rsid w:val="6F3C65DA"/>
    <w:rsid w:val="6F413BF1"/>
    <w:rsid w:val="6F437969"/>
    <w:rsid w:val="6F451933"/>
    <w:rsid w:val="6F451EA2"/>
    <w:rsid w:val="6F481423"/>
    <w:rsid w:val="6F6049BF"/>
    <w:rsid w:val="6F6502FF"/>
    <w:rsid w:val="6F6873CF"/>
    <w:rsid w:val="6F6D6E95"/>
    <w:rsid w:val="6F6F6F33"/>
    <w:rsid w:val="6F7F65F3"/>
    <w:rsid w:val="6F8D32DA"/>
    <w:rsid w:val="6F920016"/>
    <w:rsid w:val="6F9401C4"/>
    <w:rsid w:val="6FA479B2"/>
    <w:rsid w:val="6FA50BFE"/>
    <w:rsid w:val="6FB21141"/>
    <w:rsid w:val="6FB6409B"/>
    <w:rsid w:val="6FBB39A3"/>
    <w:rsid w:val="6FC211D5"/>
    <w:rsid w:val="6FD20CED"/>
    <w:rsid w:val="6FDF0963"/>
    <w:rsid w:val="6FE3553D"/>
    <w:rsid w:val="6FEC1DB9"/>
    <w:rsid w:val="6FF2248E"/>
    <w:rsid w:val="6FF27251"/>
    <w:rsid w:val="700E441B"/>
    <w:rsid w:val="700F3CEF"/>
    <w:rsid w:val="701263F9"/>
    <w:rsid w:val="70187047"/>
    <w:rsid w:val="70202C5C"/>
    <w:rsid w:val="70223A22"/>
    <w:rsid w:val="702836A0"/>
    <w:rsid w:val="702C664F"/>
    <w:rsid w:val="70357BF9"/>
    <w:rsid w:val="7036571F"/>
    <w:rsid w:val="703674CE"/>
    <w:rsid w:val="70435343"/>
    <w:rsid w:val="70455963"/>
    <w:rsid w:val="70470E71"/>
    <w:rsid w:val="70480FAF"/>
    <w:rsid w:val="704C7999"/>
    <w:rsid w:val="70512559"/>
    <w:rsid w:val="70603624"/>
    <w:rsid w:val="706E4EB9"/>
    <w:rsid w:val="707149AA"/>
    <w:rsid w:val="70716FD7"/>
    <w:rsid w:val="7074582F"/>
    <w:rsid w:val="707B1384"/>
    <w:rsid w:val="707E2AEB"/>
    <w:rsid w:val="708C533F"/>
    <w:rsid w:val="70B20C58"/>
    <w:rsid w:val="70C26DB0"/>
    <w:rsid w:val="70C64CF5"/>
    <w:rsid w:val="70C7611C"/>
    <w:rsid w:val="70CC398E"/>
    <w:rsid w:val="70CE69A7"/>
    <w:rsid w:val="70D32F6E"/>
    <w:rsid w:val="70DA42FD"/>
    <w:rsid w:val="70E74704"/>
    <w:rsid w:val="70ED3F4C"/>
    <w:rsid w:val="70EE5FFA"/>
    <w:rsid w:val="70F8159E"/>
    <w:rsid w:val="70FD1A16"/>
    <w:rsid w:val="710650F2"/>
    <w:rsid w:val="71080E6A"/>
    <w:rsid w:val="710F63A7"/>
    <w:rsid w:val="71194B86"/>
    <w:rsid w:val="711B76F1"/>
    <w:rsid w:val="711F4406"/>
    <w:rsid w:val="71212668"/>
    <w:rsid w:val="7135708A"/>
    <w:rsid w:val="713D7A09"/>
    <w:rsid w:val="713E2ADE"/>
    <w:rsid w:val="714C65AC"/>
    <w:rsid w:val="715776FB"/>
    <w:rsid w:val="716E190C"/>
    <w:rsid w:val="71744751"/>
    <w:rsid w:val="71762034"/>
    <w:rsid w:val="71802056"/>
    <w:rsid w:val="71864485"/>
    <w:rsid w:val="718B2186"/>
    <w:rsid w:val="718C20A4"/>
    <w:rsid w:val="71946BA2"/>
    <w:rsid w:val="71AD344C"/>
    <w:rsid w:val="71BC3A02"/>
    <w:rsid w:val="71C70D25"/>
    <w:rsid w:val="71C94A43"/>
    <w:rsid w:val="71CA7BA9"/>
    <w:rsid w:val="71CD4C08"/>
    <w:rsid w:val="71D35F3A"/>
    <w:rsid w:val="71D376CA"/>
    <w:rsid w:val="71D40827"/>
    <w:rsid w:val="71D56D84"/>
    <w:rsid w:val="71DE7E1D"/>
    <w:rsid w:val="71E118FE"/>
    <w:rsid w:val="71E573FD"/>
    <w:rsid w:val="71ED1ADC"/>
    <w:rsid w:val="71EF7DB8"/>
    <w:rsid w:val="71FB7817"/>
    <w:rsid w:val="72031745"/>
    <w:rsid w:val="7206621D"/>
    <w:rsid w:val="721455EC"/>
    <w:rsid w:val="721E646B"/>
    <w:rsid w:val="723170D9"/>
    <w:rsid w:val="723D4B43"/>
    <w:rsid w:val="723F6B0D"/>
    <w:rsid w:val="724063E2"/>
    <w:rsid w:val="72444124"/>
    <w:rsid w:val="72494AA5"/>
    <w:rsid w:val="725F5C27"/>
    <w:rsid w:val="72627412"/>
    <w:rsid w:val="72687F24"/>
    <w:rsid w:val="7275739C"/>
    <w:rsid w:val="728C0D27"/>
    <w:rsid w:val="728D72D4"/>
    <w:rsid w:val="729561B3"/>
    <w:rsid w:val="72960637"/>
    <w:rsid w:val="729606F7"/>
    <w:rsid w:val="729E18A1"/>
    <w:rsid w:val="72A03324"/>
    <w:rsid w:val="72A72D58"/>
    <w:rsid w:val="72A91888"/>
    <w:rsid w:val="72AA7CFF"/>
    <w:rsid w:val="72B664E0"/>
    <w:rsid w:val="72BC63B0"/>
    <w:rsid w:val="72CE1C3F"/>
    <w:rsid w:val="72CF23C1"/>
    <w:rsid w:val="72D059B7"/>
    <w:rsid w:val="72D66D46"/>
    <w:rsid w:val="72E66F89"/>
    <w:rsid w:val="72EB0A43"/>
    <w:rsid w:val="72ED47BB"/>
    <w:rsid w:val="72F34271"/>
    <w:rsid w:val="72F53670"/>
    <w:rsid w:val="730E028E"/>
    <w:rsid w:val="73125191"/>
    <w:rsid w:val="73142912"/>
    <w:rsid w:val="7320718B"/>
    <w:rsid w:val="732112BE"/>
    <w:rsid w:val="73267CCD"/>
    <w:rsid w:val="73317128"/>
    <w:rsid w:val="73333915"/>
    <w:rsid w:val="7343262D"/>
    <w:rsid w:val="7355410F"/>
    <w:rsid w:val="73577E87"/>
    <w:rsid w:val="7358211F"/>
    <w:rsid w:val="735A1725"/>
    <w:rsid w:val="736670D3"/>
    <w:rsid w:val="73684710"/>
    <w:rsid w:val="73705A1D"/>
    <w:rsid w:val="73712F17"/>
    <w:rsid w:val="737A3B75"/>
    <w:rsid w:val="7380348E"/>
    <w:rsid w:val="73832A2A"/>
    <w:rsid w:val="738343D4"/>
    <w:rsid w:val="738812FC"/>
    <w:rsid w:val="7399049F"/>
    <w:rsid w:val="739E3423"/>
    <w:rsid w:val="73A56E44"/>
    <w:rsid w:val="73B01345"/>
    <w:rsid w:val="73B057E9"/>
    <w:rsid w:val="73B21561"/>
    <w:rsid w:val="73BB1DFB"/>
    <w:rsid w:val="73C049D0"/>
    <w:rsid w:val="73CC79FC"/>
    <w:rsid w:val="73DB2866"/>
    <w:rsid w:val="73E166E7"/>
    <w:rsid w:val="73E84F83"/>
    <w:rsid w:val="73EC4A73"/>
    <w:rsid w:val="73EE04EA"/>
    <w:rsid w:val="73F05BE5"/>
    <w:rsid w:val="73F5566B"/>
    <w:rsid w:val="73FE3924"/>
    <w:rsid w:val="7401600C"/>
    <w:rsid w:val="740D6797"/>
    <w:rsid w:val="74124900"/>
    <w:rsid w:val="74221612"/>
    <w:rsid w:val="74222265"/>
    <w:rsid w:val="743E2DF5"/>
    <w:rsid w:val="744D3038"/>
    <w:rsid w:val="745A690E"/>
    <w:rsid w:val="745B51C4"/>
    <w:rsid w:val="74606BF5"/>
    <w:rsid w:val="746663FF"/>
    <w:rsid w:val="746E5488"/>
    <w:rsid w:val="747078E7"/>
    <w:rsid w:val="748A428C"/>
    <w:rsid w:val="748B71CF"/>
    <w:rsid w:val="748C590E"/>
    <w:rsid w:val="74942690"/>
    <w:rsid w:val="74991580"/>
    <w:rsid w:val="74A0585D"/>
    <w:rsid w:val="74A1316D"/>
    <w:rsid w:val="74A73AF6"/>
    <w:rsid w:val="74B55DA6"/>
    <w:rsid w:val="74B87893"/>
    <w:rsid w:val="74BC7775"/>
    <w:rsid w:val="74BD3EE0"/>
    <w:rsid w:val="74C257D4"/>
    <w:rsid w:val="74C27582"/>
    <w:rsid w:val="74C432FA"/>
    <w:rsid w:val="74C4779E"/>
    <w:rsid w:val="74CD4605"/>
    <w:rsid w:val="74D21AE3"/>
    <w:rsid w:val="74D55507"/>
    <w:rsid w:val="74D853ED"/>
    <w:rsid w:val="74E92D60"/>
    <w:rsid w:val="74F556AA"/>
    <w:rsid w:val="74FD0BD7"/>
    <w:rsid w:val="74FE57B1"/>
    <w:rsid w:val="75031E0B"/>
    <w:rsid w:val="75063912"/>
    <w:rsid w:val="751653F3"/>
    <w:rsid w:val="75197EE5"/>
    <w:rsid w:val="751C596C"/>
    <w:rsid w:val="752124FA"/>
    <w:rsid w:val="75267B11"/>
    <w:rsid w:val="75287E4E"/>
    <w:rsid w:val="752C70F1"/>
    <w:rsid w:val="753D175E"/>
    <w:rsid w:val="75483F2B"/>
    <w:rsid w:val="754C6D73"/>
    <w:rsid w:val="755723C0"/>
    <w:rsid w:val="75645327"/>
    <w:rsid w:val="7568017A"/>
    <w:rsid w:val="756B19C7"/>
    <w:rsid w:val="756E770A"/>
    <w:rsid w:val="757840E4"/>
    <w:rsid w:val="757D11E0"/>
    <w:rsid w:val="758053D8"/>
    <w:rsid w:val="758436F5"/>
    <w:rsid w:val="75871DCF"/>
    <w:rsid w:val="758E256A"/>
    <w:rsid w:val="758F0AAD"/>
    <w:rsid w:val="758F74DF"/>
    <w:rsid w:val="75920C00"/>
    <w:rsid w:val="75931223"/>
    <w:rsid w:val="759369C0"/>
    <w:rsid w:val="75954C96"/>
    <w:rsid w:val="759E0BFD"/>
    <w:rsid w:val="75A03817"/>
    <w:rsid w:val="75A35605"/>
    <w:rsid w:val="75A5137D"/>
    <w:rsid w:val="75B96BD7"/>
    <w:rsid w:val="75BA16C1"/>
    <w:rsid w:val="75BD497D"/>
    <w:rsid w:val="75C324AE"/>
    <w:rsid w:val="75CB0A2E"/>
    <w:rsid w:val="75CE1F56"/>
    <w:rsid w:val="75DC2EF9"/>
    <w:rsid w:val="75DF5F11"/>
    <w:rsid w:val="75E85BC2"/>
    <w:rsid w:val="75F75951"/>
    <w:rsid w:val="75FD69EA"/>
    <w:rsid w:val="760D0B9D"/>
    <w:rsid w:val="7613461F"/>
    <w:rsid w:val="7614205F"/>
    <w:rsid w:val="7616710F"/>
    <w:rsid w:val="76232CDF"/>
    <w:rsid w:val="76263B40"/>
    <w:rsid w:val="76420266"/>
    <w:rsid w:val="764952E1"/>
    <w:rsid w:val="764F234C"/>
    <w:rsid w:val="7651680D"/>
    <w:rsid w:val="765A66C9"/>
    <w:rsid w:val="765B3933"/>
    <w:rsid w:val="766C3C49"/>
    <w:rsid w:val="7671450D"/>
    <w:rsid w:val="767B290A"/>
    <w:rsid w:val="76804A8D"/>
    <w:rsid w:val="7682346D"/>
    <w:rsid w:val="768371E5"/>
    <w:rsid w:val="76852F5D"/>
    <w:rsid w:val="769767EC"/>
    <w:rsid w:val="76A21419"/>
    <w:rsid w:val="76AC2E78"/>
    <w:rsid w:val="76AF7FDA"/>
    <w:rsid w:val="76B32AEB"/>
    <w:rsid w:val="76BC32A8"/>
    <w:rsid w:val="76CA4E14"/>
    <w:rsid w:val="76CC3D26"/>
    <w:rsid w:val="76CD220E"/>
    <w:rsid w:val="76D161A2"/>
    <w:rsid w:val="76D95E5B"/>
    <w:rsid w:val="76DD06A3"/>
    <w:rsid w:val="76DF08BF"/>
    <w:rsid w:val="76E539FB"/>
    <w:rsid w:val="76FB321F"/>
    <w:rsid w:val="7702635B"/>
    <w:rsid w:val="77071BC4"/>
    <w:rsid w:val="77137762"/>
    <w:rsid w:val="77142FDB"/>
    <w:rsid w:val="77161B70"/>
    <w:rsid w:val="771F0743"/>
    <w:rsid w:val="7722265D"/>
    <w:rsid w:val="77275DC2"/>
    <w:rsid w:val="772A140E"/>
    <w:rsid w:val="772D3086"/>
    <w:rsid w:val="772E4021"/>
    <w:rsid w:val="77313895"/>
    <w:rsid w:val="77336515"/>
    <w:rsid w:val="773776BF"/>
    <w:rsid w:val="773B4228"/>
    <w:rsid w:val="773D6A0C"/>
    <w:rsid w:val="774D2678"/>
    <w:rsid w:val="77550B81"/>
    <w:rsid w:val="77560455"/>
    <w:rsid w:val="775748F9"/>
    <w:rsid w:val="7758241F"/>
    <w:rsid w:val="775A2C17"/>
    <w:rsid w:val="776209F2"/>
    <w:rsid w:val="7763329E"/>
    <w:rsid w:val="77674410"/>
    <w:rsid w:val="776D5ECB"/>
    <w:rsid w:val="77701517"/>
    <w:rsid w:val="77702E64"/>
    <w:rsid w:val="778A3829"/>
    <w:rsid w:val="778C3E77"/>
    <w:rsid w:val="778F6F79"/>
    <w:rsid w:val="7791148D"/>
    <w:rsid w:val="77925931"/>
    <w:rsid w:val="77980E64"/>
    <w:rsid w:val="77991A3A"/>
    <w:rsid w:val="779F004E"/>
    <w:rsid w:val="77A103E5"/>
    <w:rsid w:val="77A613DD"/>
    <w:rsid w:val="77AB4063"/>
    <w:rsid w:val="77C050CF"/>
    <w:rsid w:val="77C35AEB"/>
    <w:rsid w:val="77DA7049"/>
    <w:rsid w:val="77E51F05"/>
    <w:rsid w:val="77E66B14"/>
    <w:rsid w:val="77F008AA"/>
    <w:rsid w:val="77F9775E"/>
    <w:rsid w:val="77FB6923"/>
    <w:rsid w:val="780600CD"/>
    <w:rsid w:val="780879A1"/>
    <w:rsid w:val="78091108"/>
    <w:rsid w:val="780E553D"/>
    <w:rsid w:val="78104AA8"/>
    <w:rsid w:val="782642CC"/>
    <w:rsid w:val="782D565A"/>
    <w:rsid w:val="78370287"/>
    <w:rsid w:val="78372BE1"/>
    <w:rsid w:val="783A38D3"/>
    <w:rsid w:val="784A2C08"/>
    <w:rsid w:val="784C1AC5"/>
    <w:rsid w:val="784E4559"/>
    <w:rsid w:val="785C1A9B"/>
    <w:rsid w:val="78676CFF"/>
    <w:rsid w:val="786A41B8"/>
    <w:rsid w:val="786D03D2"/>
    <w:rsid w:val="78767001"/>
    <w:rsid w:val="7879089F"/>
    <w:rsid w:val="788B1CC4"/>
    <w:rsid w:val="788D7AAB"/>
    <w:rsid w:val="789366E3"/>
    <w:rsid w:val="789C1ED9"/>
    <w:rsid w:val="789E0306"/>
    <w:rsid w:val="78AC657F"/>
    <w:rsid w:val="78C075A5"/>
    <w:rsid w:val="78C6401A"/>
    <w:rsid w:val="78C95383"/>
    <w:rsid w:val="78CD2873"/>
    <w:rsid w:val="78CE2999"/>
    <w:rsid w:val="78CF58B9"/>
    <w:rsid w:val="78CF6711"/>
    <w:rsid w:val="78D87109"/>
    <w:rsid w:val="78DF03FC"/>
    <w:rsid w:val="78EF0B61"/>
    <w:rsid w:val="78F41CD4"/>
    <w:rsid w:val="79091C23"/>
    <w:rsid w:val="790A599B"/>
    <w:rsid w:val="790C526F"/>
    <w:rsid w:val="790F6B0E"/>
    <w:rsid w:val="79181E66"/>
    <w:rsid w:val="794762A8"/>
    <w:rsid w:val="794E4BB7"/>
    <w:rsid w:val="79586707"/>
    <w:rsid w:val="79593BFA"/>
    <w:rsid w:val="795B1D53"/>
    <w:rsid w:val="795E668B"/>
    <w:rsid w:val="795F7A95"/>
    <w:rsid w:val="7961668B"/>
    <w:rsid w:val="796706F8"/>
    <w:rsid w:val="796E4E17"/>
    <w:rsid w:val="79711576"/>
    <w:rsid w:val="79856D70"/>
    <w:rsid w:val="79986B03"/>
    <w:rsid w:val="7999040F"/>
    <w:rsid w:val="799F7E92"/>
    <w:rsid w:val="79A8143C"/>
    <w:rsid w:val="79B565E2"/>
    <w:rsid w:val="79BA2F1D"/>
    <w:rsid w:val="79D7467F"/>
    <w:rsid w:val="79D80EF1"/>
    <w:rsid w:val="79D815F5"/>
    <w:rsid w:val="79DA536E"/>
    <w:rsid w:val="79DC73BD"/>
    <w:rsid w:val="79E02936"/>
    <w:rsid w:val="79FA5A10"/>
    <w:rsid w:val="79FC0124"/>
    <w:rsid w:val="7A020420"/>
    <w:rsid w:val="7A151D7D"/>
    <w:rsid w:val="7A28257D"/>
    <w:rsid w:val="7A357547"/>
    <w:rsid w:val="7A41219B"/>
    <w:rsid w:val="7A4C3137"/>
    <w:rsid w:val="7A505630"/>
    <w:rsid w:val="7A566940"/>
    <w:rsid w:val="7A5769BE"/>
    <w:rsid w:val="7A784EDD"/>
    <w:rsid w:val="7A8772A3"/>
    <w:rsid w:val="7A8A28F0"/>
    <w:rsid w:val="7A8F5F05"/>
    <w:rsid w:val="7A911ED0"/>
    <w:rsid w:val="7A9A3C58"/>
    <w:rsid w:val="7AA80AB2"/>
    <w:rsid w:val="7AAA2233"/>
    <w:rsid w:val="7AAD65DE"/>
    <w:rsid w:val="7AAF67FA"/>
    <w:rsid w:val="7AAF76FA"/>
    <w:rsid w:val="7AB50BB5"/>
    <w:rsid w:val="7AD770E3"/>
    <w:rsid w:val="7AD90BF9"/>
    <w:rsid w:val="7AD95B45"/>
    <w:rsid w:val="7AE55D78"/>
    <w:rsid w:val="7AF92523"/>
    <w:rsid w:val="7B002E5C"/>
    <w:rsid w:val="7B18439F"/>
    <w:rsid w:val="7B193C74"/>
    <w:rsid w:val="7B256ABC"/>
    <w:rsid w:val="7B2F5245"/>
    <w:rsid w:val="7B450F0D"/>
    <w:rsid w:val="7B4707E1"/>
    <w:rsid w:val="7B4E1B6F"/>
    <w:rsid w:val="7B542EFE"/>
    <w:rsid w:val="7B57638E"/>
    <w:rsid w:val="7B5B428C"/>
    <w:rsid w:val="7B6C6499"/>
    <w:rsid w:val="7B6E5D6D"/>
    <w:rsid w:val="7B8B47F9"/>
    <w:rsid w:val="7B926375"/>
    <w:rsid w:val="7B945C5E"/>
    <w:rsid w:val="7BB06386"/>
    <w:rsid w:val="7BB221E6"/>
    <w:rsid w:val="7BBA0FB3"/>
    <w:rsid w:val="7BC15D71"/>
    <w:rsid w:val="7BC32905"/>
    <w:rsid w:val="7BC36A67"/>
    <w:rsid w:val="7BC41A39"/>
    <w:rsid w:val="7BCE0F02"/>
    <w:rsid w:val="7BD15D96"/>
    <w:rsid w:val="7BD32074"/>
    <w:rsid w:val="7BDA3403"/>
    <w:rsid w:val="7BE129E3"/>
    <w:rsid w:val="7BE73D72"/>
    <w:rsid w:val="7BE75B20"/>
    <w:rsid w:val="7BE92C4E"/>
    <w:rsid w:val="7BED295D"/>
    <w:rsid w:val="7BF02C26"/>
    <w:rsid w:val="7BF31255"/>
    <w:rsid w:val="7BF5023D"/>
    <w:rsid w:val="7C0A708B"/>
    <w:rsid w:val="7C0E7550"/>
    <w:rsid w:val="7C1313D0"/>
    <w:rsid w:val="7C140352"/>
    <w:rsid w:val="7C1F350C"/>
    <w:rsid w:val="7C266648"/>
    <w:rsid w:val="7C3A1D36"/>
    <w:rsid w:val="7C460A98"/>
    <w:rsid w:val="7C4854B6"/>
    <w:rsid w:val="7C4B60AF"/>
    <w:rsid w:val="7C5E2286"/>
    <w:rsid w:val="7C6360CC"/>
    <w:rsid w:val="7C63789C"/>
    <w:rsid w:val="7C715DD6"/>
    <w:rsid w:val="7C7750F6"/>
    <w:rsid w:val="7C7866DE"/>
    <w:rsid w:val="7C8617DD"/>
    <w:rsid w:val="7C8C202C"/>
    <w:rsid w:val="7C8F243F"/>
    <w:rsid w:val="7C966A46"/>
    <w:rsid w:val="7C99506C"/>
    <w:rsid w:val="7C9F63FA"/>
    <w:rsid w:val="7CA12173"/>
    <w:rsid w:val="7CA51C63"/>
    <w:rsid w:val="7CAD113F"/>
    <w:rsid w:val="7CB400F8"/>
    <w:rsid w:val="7CB458B4"/>
    <w:rsid w:val="7CB54029"/>
    <w:rsid w:val="7CB62F94"/>
    <w:rsid w:val="7CB87B46"/>
    <w:rsid w:val="7CB9570E"/>
    <w:rsid w:val="7CBA4FE2"/>
    <w:rsid w:val="7CBD6EEF"/>
    <w:rsid w:val="7CBE2D25"/>
    <w:rsid w:val="7CC7607D"/>
    <w:rsid w:val="7CCA3477"/>
    <w:rsid w:val="7CCD740C"/>
    <w:rsid w:val="7CD04806"/>
    <w:rsid w:val="7CD24A22"/>
    <w:rsid w:val="7CD442F6"/>
    <w:rsid w:val="7CE16A13"/>
    <w:rsid w:val="7CF7012F"/>
    <w:rsid w:val="7D0E1FE7"/>
    <w:rsid w:val="7D0F3580"/>
    <w:rsid w:val="7D157BB4"/>
    <w:rsid w:val="7D1666BD"/>
    <w:rsid w:val="7D1943FF"/>
    <w:rsid w:val="7D221505"/>
    <w:rsid w:val="7D2232B3"/>
    <w:rsid w:val="7D2A6A4D"/>
    <w:rsid w:val="7D311748"/>
    <w:rsid w:val="7D3725B6"/>
    <w:rsid w:val="7D3954D9"/>
    <w:rsid w:val="7D3B79D2"/>
    <w:rsid w:val="7D4524F8"/>
    <w:rsid w:val="7D4D7C2F"/>
    <w:rsid w:val="7D5611AF"/>
    <w:rsid w:val="7D5A1E55"/>
    <w:rsid w:val="7D6F5DD2"/>
    <w:rsid w:val="7D741635"/>
    <w:rsid w:val="7D831878"/>
    <w:rsid w:val="7D845436"/>
    <w:rsid w:val="7DA00FED"/>
    <w:rsid w:val="7DA01451"/>
    <w:rsid w:val="7DA737B9"/>
    <w:rsid w:val="7DAD5154"/>
    <w:rsid w:val="7DB303AF"/>
    <w:rsid w:val="7DB54EBB"/>
    <w:rsid w:val="7DC12ACC"/>
    <w:rsid w:val="7DC26844"/>
    <w:rsid w:val="7DCE233D"/>
    <w:rsid w:val="7DD345AE"/>
    <w:rsid w:val="7DD353FE"/>
    <w:rsid w:val="7DD81BC4"/>
    <w:rsid w:val="7DE652B4"/>
    <w:rsid w:val="7DE71E07"/>
    <w:rsid w:val="7DFE7CB8"/>
    <w:rsid w:val="7E04643D"/>
    <w:rsid w:val="7E0557AD"/>
    <w:rsid w:val="7E0B1F99"/>
    <w:rsid w:val="7E1A3F8B"/>
    <w:rsid w:val="7E215319"/>
    <w:rsid w:val="7E292191"/>
    <w:rsid w:val="7E3F39F1"/>
    <w:rsid w:val="7E4032E2"/>
    <w:rsid w:val="7E4E1E86"/>
    <w:rsid w:val="7E584AB3"/>
    <w:rsid w:val="7E61605D"/>
    <w:rsid w:val="7E6B0C8A"/>
    <w:rsid w:val="7E6B6157"/>
    <w:rsid w:val="7E6D4EDB"/>
    <w:rsid w:val="7E721092"/>
    <w:rsid w:val="7E9A0291"/>
    <w:rsid w:val="7EAD3464"/>
    <w:rsid w:val="7EBE0DBA"/>
    <w:rsid w:val="7EC5039A"/>
    <w:rsid w:val="7EC50809"/>
    <w:rsid w:val="7EC65AA7"/>
    <w:rsid w:val="7EC65EC0"/>
    <w:rsid w:val="7EC81C39"/>
    <w:rsid w:val="7ED05532"/>
    <w:rsid w:val="7ED12997"/>
    <w:rsid w:val="7ED405DD"/>
    <w:rsid w:val="7ED70C48"/>
    <w:rsid w:val="7ED95483"/>
    <w:rsid w:val="7EED169F"/>
    <w:rsid w:val="7EEF7017"/>
    <w:rsid w:val="7EF50554"/>
    <w:rsid w:val="7EF83ADE"/>
    <w:rsid w:val="7EF93D5E"/>
    <w:rsid w:val="7EFB0260"/>
    <w:rsid w:val="7F0013D2"/>
    <w:rsid w:val="7F054C3B"/>
    <w:rsid w:val="7F055432"/>
    <w:rsid w:val="7F0569E9"/>
    <w:rsid w:val="7F1135E0"/>
    <w:rsid w:val="7F131AEC"/>
    <w:rsid w:val="7F174739"/>
    <w:rsid w:val="7F194CAE"/>
    <w:rsid w:val="7F1E703D"/>
    <w:rsid w:val="7F3177DE"/>
    <w:rsid w:val="7F3379FA"/>
    <w:rsid w:val="7F390D88"/>
    <w:rsid w:val="7F392B36"/>
    <w:rsid w:val="7F405C73"/>
    <w:rsid w:val="7F453223"/>
    <w:rsid w:val="7F475253"/>
    <w:rsid w:val="7F4A2076"/>
    <w:rsid w:val="7F4F5EB6"/>
    <w:rsid w:val="7F506DE5"/>
    <w:rsid w:val="7F513C54"/>
    <w:rsid w:val="7F616BC2"/>
    <w:rsid w:val="7F710870"/>
    <w:rsid w:val="7F791185"/>
    <w:rsid w:val="7F983D01"/>
    <w:rsid w:val="7FA206DC"/>
    <w:rsid w:val="7FA75065"/>
    <w:rsid w:val="7FAF2DF8"/>
    <w:rsid w:val="7FB623D9"/>
    <w:rsid w:val="7FBB2AD0"/>
    <w:rsid w:val="7FBB79EF"/>
    <w:rsid w:val="7FC23E1B"/>
    <w:rsid w:val="7FC76394"/>
    <w:rsid w:val="7FCB7C32"/>
    <w:rsid w:val="7FD5285F"/>
    <w:rsid w:val="7FD73353"/>
    <w:rsid w:val="7FE87ED4"/>
    <w:rsid w:val="7FEB2797"/>
    <w:rsid w:val="7FF440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qFormat="1" w:unhideWhenUsed="0" w:uiPriority="0" w:name="annotation text"/>
    <w:lsdException w:qFormat="1" w:uiPriority="99" w:name="header"/>
    <w:lsdException w:qFormat="1" w:uiPriority="0"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uiPriority="99"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3">
    <w:name w:val="heading 3"/>
    <w:basedOn w:val="1"/>
    <w:next w:val="1"/>
    <w:qFormat/>
    <w:uiPriority w:val="0"/>
    <w:pPr>
      <w:keepNext/>
      <w:keepLines/>
      <w:spacing w:before="160" w:after="60" w:line="500" w:lineRule="exact"/>
      <w:ind w:firstLine="883" w:firstLineChars="200"/>
      <w:outlineLvl w:val="2"/>
    </w:pPr>
    <w:rPr>
      <w:rFonts w:ascii="Times New Roman" w:hAnsi="Times New Roman" w:eastAsia="宋体"/>
      <w:b/>
      <w:bCs/>
      <w:kern w:val="2"/>
      <w:sz w:val="28"/>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4">
    <w:name w:val="List 3"/>
    <w:basedOn w:val="1"/>
    <w:qFormat/>
    <w:uiPriority w:val="0"/>
    <w:pPr>
      <w:ind w:left="100" w:leftChars="400" w:hanging="200" w:hangingChars="200"/>
      <w:contextualSpacing/>
    </w:pPr>
  </w:style>
  <w:style w:type="paragraph" w:styleId="5">
    <w:name w:val="Normal Indent"/>
    <w:basedOn w:val="1"/>
    <w:next w:val="6"/>
    <w:semiHidden/>
    <w:unhideWhenUsed/>
    <w:qFormat/>
    <w:uiPriority w:val="99"/>
    <w:pPr>
      <w:ind w:firstLine="420" w:firstLineChars="200"/>
    </w:pPr>
  </w:style>
  <w:style w:type="paragraph" w:customStyle="1" w:styleId="6">
    <w:name w:val="正文首行缩进2个字 Char"/>
    <w:basedOn w:val="1"/>
    <w:qFormat/>
    <w:uiPriority w:val="0"/>
    <w:pPr>
      <w:ind w:firstLine="480" w:firstLineChars="200"/>
    </w:pPr>
    <w:rPr>
      <w:rFonts w:eastAsia="楷体"/>
      <w:sz w:val="24"/>
      <w:szCs w:val="24"/>
    </w:rPr>
  </w:style>
  <w:style w:type="paragraph" w:styleId="7">
    <w:name w:val="Document Map"/>
    <w:basedOn w:val="1"/>
    <w:link w:val="35"/>
    <w:semiHidden/>
    <w:unhideWhenUsed/>
    <w:qFormat/>
    <w:uiPriority w:val="99"/>
    <w:rPr>
      <w:rFonts w:ascii="宋体"/>
      <w:sz w:val="18"/>
      <w:szCs w:val="18"/>
    </w:rPr>
  </w:style>
  <w:style w:type="paragraph" w:styleId="8">
    <w:name w:val="annotation text"/>
    <w:basedOn w:val="1"/>
    <w:semiHidden/>
    <w:qFormat/>
    <w:uiPriority w:val="0"/>
    <w:pPr>
      <w:jc w:val="left"/>
    </w:pPr>
  </w:style>
  <w:style w:type="paragraph" w:styleId="9">
    <w:name w:val="Salutation"/>
    <w:basedOn w:val="1"/>
    <w:next w:val="1"/>
    <w:qFormat/>
    <w:uiPriority w:val="0"/>
  </w:style>
  <w:style w:type="paragraph" w:styleId="10">
    <w:name w:val="Body Text"/>
    <w:basedOn w:val="1"/>
    <w:next w:val="1"/>
    <w:link w:val="31"/>
    <w:qFormat/>
    <w:uiPriority w:val="0"/>
    <w:pPr>
      <w:widowControl/>
      <w:snapToGrid w:val="0"/>
      <w:spacing w:before="60" w:after="160" w:line="259" w:lineRule="auto"/>
      <w:ind w:right="113"/>
    </w:pPr>
    <w:rPr>
      <w:kern w:val="0"/>
      <w:sz w:val="18"/>
      <w:szCs w:val="18"/>
    </w:rPr>
  </w:style>
  <w:style w:type="paragraph" w:styleId="11">
    <w:name w:val="Body Text Indent"/>
    <w:basedOn w:val="1"/>
    <w:next w:val="1"/>
    <w:qFormat/>
    <w:uiPriority w:val="0"/>
    <w:pPr>
      <w:spacing w:after="120"/>
      <w:ind w:left="420" w:leftChars="200"/>
    </w:pPr>
    <w:rPr>
      <w:kern w:val="0"/>
      <w:sz w:val="24"/>
      <w:szCs w:val="20"/>
    </w:rPr>
  </w:style>
  <w:style w:type="paragraph" w:styleId="12">
    <w:name w:val="Plain Text"/>
    <w:basedOn w:val="1"/>
    <w:next w:val="9"/>
    <w:qFormat/>
    <w:uiPriority w:val="0"/>
    <w:rPr>
      <w:rFonts w:ascii="宋体"/>
      <w:kern w:val="0"/>
      <w:sz w:val="24"/>
      <w:szCs w:val="20"/>
    </w:rPr>
  </w:style>
  <w:style w:type="paragraph" w:styleId="13">
    <w:name w:val="Body Text Indent 2"/>
    <w:basedOn w:val="1"/>
    <w:qFormat/>
    <w:uiPriority w:val="0"/>
    <w:pPr>
      <w:spacing w:after="120" w:afterLines="0" w:line="480" w:lineRule="auto"/>
      <w:ind w:left="420" w:leftChars="200"/>
    </w:pPr>
  </w:style>
  <w:style w:type="paragraph" w:styleId="14">
    <w:name w:val="Balloon Text"/>
    <w:basedOn w:val="1"/>
    <w:link w:val="34"/>
    <w:semiHidden/>
    <w:unhideWhenUsed/>
    <w:qFormat/>
    <w:uiPriority w:val="99"/>
    <w:rPr>
      <w:sz w:val="18"/>
      <w:szCs w:val="18"/>
    </w:rPr>
  </w:style>
  <w:style w:type="paragraph" w:styleId="15">
    <w:name w:val="footer"/>
    <w:basedOn w:val="1"/>
    <w:link w:val="29"/>
    <w:unhideWhenUsed/>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16">
    <w:name w:val="header"/>
    <w:basedOn w:val="1"/>
    <w:link w:val="28"/>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7">
    <w:name w:val="Body Text Indent 3"/>
    <w:basedOn w:val="1"/>
    <w:qFormat/>
    <w:uiPriority w:val="0"/>
    <w:pPr>
      <w:spacing w:after="120"/>
      <w:ind w:left="420" w:leftChars="200"/>
    </w:pPr>
    <w:rPr>
      <w:rFonts w:ascii="Times New Roman"/>
      <w:kern w:val="2"/>
      <w:sz w:val="16"/>
      <w:szCs w:val="16"/>
    </w:rPr>
  </w:style>
  <w:style w:type="paragraph" w:styleId="18">
    <w:name w:val="table of figures"/>
    <w:basedOn w:val="1"/>
    <w:next w:val="1"/>
    <w:qFormat/>
    <w:uiPriority w:val="0"/>
    <w:pPr>
      <w:ind w:left="200" w:leftChars="200" w:hanging="200" w:hangingChars="200"/>
    </w:pPr>
    <w:rPr>
      <w:rFonts w:ascii="Calibri" w:hAnsi="Calibri"/>
    </w:rPr>
  </w:style>
  <w:style w:type="paragraph" w:styleId="19">
    <w:name w:val="Normal (Web)"/>
    <w:basedOn w:val="1"/>
    <w:link w:val="30"/>
    <w:qFormat/>
    <w:uiPriority w:val="99"/>
    <w:pPr>
      <w:widowControl/>
      <w:spacing w:before="100" w:beforeAutospacing="1" w:after="100" w:afterAutospacing="1"/>
      <w:jc w:val="left"/>
    </w:pPr>
    <w:rPr>
      <w:rFonts w:ascii="宋体" w:hAnsi="宋体"/>
      <w:kern w:val="0"/>
      <w:sz w:val="24"/>
    </w:rPr>
  </w:style>
  <w:style w:type="paragraph" w:styleId="20">
    <w:name w:val="Body Text First Indent"/>
    <w:basedOn w:val="10"/>
    <w:next w:val="1"/>
    <w:link w:val="44"/>
    <w:semiHidden/>
    <w:unhideWhenUsed/>
    <w:qFormat/>
    <w:uiPriority w:val="99"/>
    <w:pPr>
      <w:widowControl w:val="0"/>
      <w:snapToGrid/>
      <w:spacing w:before="0" w:after="120" w:line="240" w:lineRule="auto"/>
      <w:ind w:right="0" w:firstLine="420" w:firstLineChars="100"/>
    </w:pPr>
    <w:rPr>
      <w:kern w:val="2"/>
      <w:sz w:val="21"/>
      <w:szCs w:val="24"/>
    </w:rPr>
  </w:style>
  <w:style w:type="paragraph" w:styleId="21">
    <w:name w:val="Body Text First Indent 2"/>
    <w:basedOn w:val="11"/>
    <w:next w:val="20"/>
    <w:qFormat/>
    <w:uiPriority w:val="0"/>
    <w:pPr>
      <w:ind w:firstLine="420"/>
    </w:pPr>
  </w:style>
  <w:style w:type="table" w:styleId="23">
    <w:name w:val="Table Grid"/>
    <w:basedOn w:val="22"/>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5">
    <w:name w:val="Strong"/>
    <w:basedOn w:val="24"/>
    <w:qFormat/>
    <w:uiPriority w:val="22"/>
    <w:rPr>
      <w:b/>
      <w:bCs/>
    </w:rPr>
  </w:style>
  <w:style w:type="character" w:styleId="26">
    <w:name w:val="page number"/>
    <w:basedOn w:val="24"/>
    <w:qFormat/>
    <w:uiPriority w:val="0"/>
  </w:style>
  <w:style w:type="paragraph" w:customStyle="1" w:styleId="27">
    <w:name w:val="Default"/>
    <w:next w:val="4"/>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character" w:customStyle="1" w:styleId="28">
    <w:name w:val="页眉 Char"/>
    <w:basedOn w:val="24"/>
    <w:link w:val="16"/>
    <w:semiHidden/>
    <w:qFormat/>
    <w:uiPriority w:val="99"/>
    <w:rPr>
      <w:sz w:val="18"/>
      <w:szCs w:val="18"/>
    </w:rPr>
  </w:style>
  <w:style w:type="character" w:customStyle="1" w:styleId="29">
    <w:name w:val="页脚 Char"/>
    <w:basedOn w:val="24"/>
    <w:link w:val="15"/>
    <w:qFormat/>
    <w:uiPriority w:val="0"/>
    <w:rPr>
      <w:sz w:val="18"/>
      <w:szCs w:val="18"/>
    </w:rPr>
  </w:style>
  <w:style w:type="character" w:customStyle="1" w:styleId="30">
    <w:name w:val="普通(网站) Char"/>
    <w:link w:val="19"/>
    <w:qFormat/>
    <w:locked/>
    <w:uiPriority w:val="0"/>
    <w:rPr>
      <w:rFonts w:ascii="宋体" w:hAnsi="宋体" w:eastAsia="宋体" w:cs="Times New Roman"/>
      <w:kern w:val="0"/>
      <w:sz w:val="24"/>
      <w:szCs w:val="24"/>
    </w:rPr>
  </w:style>
  <w:style w:type="character" w:customStyle="1" w:styleId="31">
    <w:name w:val="正文文本 Char"/>
    <w:basedOn w:val="24"/>
    <w:link w:val="10"/>
    <w:qFormat/>
    <w:uiPriority w:val="0"/>
    <w:rPr>
      <w:rFonts w:ascii="Times New Roman" w:hAnsi="Times New Roman" w:eastAsia="宋体" w:cs="Times New Roman"/>
      <w:kern w:val="0"/>
      <w:sz w:val="18"/>
      <w:szCs w:val="18"/>
    </w:rPr>
  </w:style>
  <w:style w:type="paragraph" w:customStyle="1" w:styleId="32">
    <w:name w:val="!正文"/>
    <w:basedOn w:val="1"/>
    <w:qFormat/>
    <w:uiPriority w:val="0"/>
    <w:pPr>
      <w:adjustRightInd w:val="0"/>
      <w:snapToGrid w:val="0"/>
      <w:spacing w:line="360" w:lineRule="auto"/>
      <w:ind w:firstLine="480" w:firstLineChars="200"/>
    </w:pPr>
    <w:rPr>
      <w:sz w:val="24"/>
      <w:szCs w:val="21"/>
    </w:rPr>
  </w:style>
  <w:style w:type="paragraph" w:customStyle="1" w:styleId="33">
    <w:name w:val="Table Paragraph"/>
    <w:basedOn w:val="1"/>
    <w:qFormat/>
    <w:uiPriority w:val="1"/>
    <w:rPr>
      <w:rFonts w:ascii="宋体" w:hAnsi="宋体" w:cs="宋体"/>
      <w:lang w:val="zh-CN" w:bidi="zh-CN"/>
    </w:rPr>
  </w:style>
  <w:style w:type="character" w:customStyle="1" w:styleId="34">
    <w:name w:val="批注框文本 Char"/>
    <w:basedOn w:val="24"/>
    <w:link w:val="14"/>
    <w:semiHidden/>
    <w:qFormat/>
    <w:uiPriority w:val="99"/>
    <w:rPr>
      <w:rFonts w:ascii="Times New Roman" w:hAnsi="Times New Roman" w:eastAsia="宋体" w:cs="Times New Roman"/>
      <w:sz w:val="18"/>
      <w:szCs w:val="18"/>
    </w:rPr>
  </w:style>
  <w:style w:type="character" w:customStyle="1" w:styleId="35">
    <w:name w:val="文档结构图 Char"/>
    <w:basedOn w:val="24"/>
    <w:link w:val="7"/>
    <w:semiHidden/>
    <w:qFormat/>
    <w:uiPriority w:val="99"/>
    <w:rPr>
      <w:rFonts w:ascii="宋体" w:hAnsi="Times New Roman" w:eastAsia="宋体" w:cs="Times New Roman"/>
      <w:sz w:val="18"/>
      <w:szCs w:val="18"/>
    </w:rPr>
  </w:style>
  <w:style w:type="paragraph" w:customStyle="1" w:styleId="36">
    <w:name w:val="文字"/>
    <w:basedOn w:val="1"/>
    <w:qFormat/>
    <w:uiPriority w:val="0"/>
    <w:pPr>
      <w:widowControl/>
      <w:spacing w:afterLines="50" w:line="360" w:lineRule="auto"/>
      <w:ind w:firstLine="420"/>
    </w:pPr>
    <w:rPr>
      <w:kern w:val="0"/>
      <w:sz w:val="24"/>
    </w:rPr>
  </w:style>
  <w:style w:type="paragraph" w:customStyle="1" w:styleId="37">
    <w:name w:val="表头"/>
    <w:basedOn w:val="5"/>
    <w:next w:val="1"/>
    <w:qFormat/>
    <w:uiPriority w:val="0"/>
    <w:pPr>
      <w:spacing w:before="240" w:line="480" w:lineRule="atLeast"/>
      <w:ind w:firstLine="0" w:firstLineChars="0"/>
      <w:jc w:val="center"/>
    </w:pPr>
    <w:rPr>
      <w:rFonts w:ascii="宋体" w:eastAsia="黑体"/>
      <w:spacing w:val="6"/>
      <w:position w:val="10"/>
      <w:szCs w:val="20"/>
    </w:rPr>
  </w:style>
  <w:style w:type="paragraph" w:customStyle="1" w:styleId="38">
    <w:name w:val="表格居中 Char"/>
    <w:basedOn w:val="1"/>
    <w:qFormat/>
    <w:uiPriority w:val="0"/>
    <w:pPr>
      <w:jc w:val="center"/>
    </w:pPr>
    <w:rPr>
      <w:rFonts w:ascii="宋体" w:hAnsi="宋体"/>
      <w:w w:val="90"/>
      <w:sz w:val="24"/>
    </w:rPr>
  </w:style>
  <w:style w:type="character" w:customStyle="1" w:styleId="39">
    <w:name w:val="表格 Char"/>
    <w:link w:val="40"/>
    <w:qFormat/>
    <w:locked/>
    <w:uiPriority w:val="0"/>
    <w:rPr>
      <w:rFonts w:ascii="宋体"/>
    </w:rPr>
  </w:style>
  <w:style w:type="paragraph" w:customStyle="1" w:styleId="40">
    <w:name w:val="表格"/>
    <w:basedOn w:val="5"/>
    <w:next w:val="1"/>
    <w:link w:val="39"/>
    <w:qFormat/>
    <w:uiPriority w:val="0"/>
    <w:pPr>
      <w:adjustRightInd w:val="0"/>
      <w:snapToGrid w:val="0"/>
      <w:spacing w:beforeLines="10" w:afterLines="10" w:line="259" w:lineRule="auto"/>
      <w:jc w:val="center"/>
    </w:pPr>
    <w:rPr>
      <w:rFonts w:ascii="宋体" w:hAnsiTheme="minorHAnsi" w:eastAsiaTheme="minorEastAsia" w:cstheme="minorBidi"/>
      <w:szCs w:val="22"/>
    </w:rPr>
  </w:style>
  <w:style w:type="paragraph" w:customStyle="1" w:styleId="41">
    <w:name w:val="0.5正文"/>
    <w:basedOn w:val="1"/>
    <w:next w:val="1"/>
    <w:qFormat/>
    <w:uiPriority w:val="0"/>
    <w:pPr>
      <w:spacing w:beforeLines="50"/>
      <w:ind w:firstLine="480"/>
    </w:pPr>
  </w:style>
  <w:style w:type="character" w:customStyle="1" w:styleId="42">
    <w:name w:val="环评正文 Char"/>
    <w:link w:val="43"/>
    <w:qFormat/>
    <w:uiPriority w:val="0"/>
    <w:rPr>
      <w:rFonts w:cs="仿宋_GB2312"/>
      <w:color w:val="000000"/>
      <w:sz w:val="24"/>
      <w:szCs w:val="24"/>
    </w:rPr>
  </w:style>
  <w:style w:type="paragraph" w:customStyle="1" w:styleId="43">
    <w:name w:val="环评正文"/>
    <w:basedOn w:val="1"/>
    <w:link w:val="42"/>
    <w:qFormat/>
    <w:uiPriority w:val="0"/>
    <w:pPr>
      <w:widowControl/>
      <w:spacing w:line="360" w:lineRule="auto"/>
      <w:ind w:firstLine="200" w:firstLineChars="200"/>
      <w:jc w:val="left"/>
    </w:pPr>
    <w:rPr>
      <w:rFonts w:cs="仿宋_GB2312" w:asciiTheme="minorHAnsi" w:hAnsiTheme="minorHAnsi" w:eastAsiaTheme="minorEastAsia"/>
      <w:color w:val="000000"/>
      <w:sz w:val="24"/>
    </w:rPr>
  </w:style>
  <w:style w:type="character" w:customStyle="1" w:styleId="44">
    <w:name w:val="正文首行缩进 Char"/>
    <w:basedOn w:val="31"/>
    <w:link w:val="20"/>
    <w:semiHidden/>
    <w:qFormat/>
    <w:uiPriority w:val="99"/>
    <w:rPr>
      <w:szCs w:val="24"/>
    </w:rPr>
  </w:style>
  <w:style w:type="paragraph" w:customStyle="1" w:styleId="45">
    <w:name w:val="Char Char Char1 Char Char Char Char Char Char Char Char Char Char Char Char Char Char Char Char"/>
    <w:basedOn w:val="1"/>
    <w:qFormat/>
    <w:uiPriority w:val="0"/>
    <w:rPr>
      <w:szCs w:val="21"/>
    </w:rPr>
  </w:style>
  <w:style w:type="paragraph" w:customStyle="1" w:styleId="46">
    <w:name w:val="Char Char Char1 Char Char Char Char Char Char Char Char Char Char Char Char Char Char Char Char1"/>
    <w:basedOn w:val="1"/>
    <w:qFormat/>
    <w:uiPriority w:val="0"/>
    <w:rPr>
      <w:szCs w:val="21"/>
    </w:rPr>
  </w:style>
  <w:style w:type="paragraph" w:customStyle="1" w:styleId="47">
    <w:name w:val="表格、图片"/>
    <w:basedOn w:val="1"/>
    <w:qFormat/>
    <w:uiPriority w:val="1"/>
    <w:pPr>
      <w:ind w:firstLine="0" w:firstLineChars="0"/>
      <w:jc w:val="center"/>
    </w:pPr>
    <w:rPr>
      <w:rFonts w:hAnsi="宋体"/>
      <w:kern w:val="2"/>
      <w:sz w:val="21"/>
      <w:szCs w:val="21"/>
    </w:rPr>
  </w:style>
  <w:style w:type="table" w:customStyle="1" w:styleId="48">
    <w:name w:val="Table Normal"/>
    <w:unhideWhenUsed/>
    <w:qFormat/>
    <w:uiPriority w:val="0"/>
    <w:tblPr>
      <w:tblCellMar>
        <w:top w:w="0" w:type="dxa"/>
        <w:left w:w="0" w:type="dxa"/>
        <w:bottom w:w="0" w:type="dxa"/>
        <w:right w:w="0" w:type="dxa"/>
      </w:tblCellMar>
    </w:tblPr>
  </w:style>
  <w:style w:type="paragraph" w:customStyle="1" w:styleId="49">
    <w:name w:val="表   头"/>
    <w:basedOn w:val="1"/>
    <w:qFormat/>
    <w:uiPriority w:val="0"/>
    <w:pPr>
      <w:snapToGrid w:val="0"/>
      <w:spacing w:line="240" w:lineRule="auto"/>
      <w:ind w:firstLine="0" w:firstLineChars="0"/>
      <w:jc w:val="center"/>
    </w:pPr>
    <w:rPr>
      <w:b/>
    </w:rPr>
  </w:style>
  <w:style w:type="paragraph" w:customStyle="1" w:styleId="50">
    <w:name w:val="无间隔表格内"/>
    <w:basedOn w:val="49"/>
    <w:qFormat/>
    <w:uiPriority w:val="0"/>
    <w:pPr>
      <w:spacing w:line="240" w:lineRule="auto"/>
    </w:pPr>
    <w:rPr>
      <w:b w:val="0"/>
      <w:sz w:val="21"/>
    </w:rPr>
  </w:style>
  <w:style w:type="paragraph" w:customStyle="1" w:styleId="51">
    <w:name w:val="Body Text Indent1"/>
    <w:basedOn w:val="1"/>
    <w:qFormat/>
    <w:uiPriority w:val="0"/>
    <w:pPr>
      <w:ind w:firstLine="570"/>
    </w:pPr>
    <w:rPr>
      <w:rFonts w:ascii="Calibri" w:hAnsi="Calibri"/>
      <w:kern w:val="0"/>
      <w:sz w:val="24"/>
    </w:rPr>
  </w:style>
  <w:style w:type="paragraph" w:customStyle="1" w:styleId="52">
    <w:name w:val="啊啊"/>
    <w:basedOn w:val="1"/>
    <w:qFormat/>
    <w:uiPriority w:val="0"/>
    <w:pPr>
      <w:spacing w:line="360" w:lineRule="auto"/>
      <w:ind w:firstLine="200" w:firstLineChars="200"/>
    </w:pPr>
    <w:rPr>
      <w:kern w:val="0"/>
      <w:sz w:val="28"/>
      <w:szCs w:val="28"/>
    </w:rPr>
  </w:style>
  <w:style w:type="paragraph" w:customStyle="1" w:styleId="53">
    <w:name w:val="12345正文"/>
    <w:basedOn w:val="1"/>
    <w:qFormat/>
    <w:uiPriority w:val="0"/>
    <w:pPr>
      <w:autoSpaceDE w:val="0"/>
      <w:autoSpaceDN w:val="0"/>
      <w:adjustRightInd w:val="0"/>
      <w:spacing w:line="360" w:lineRule="auto"/>
      <w:ind w:firstLine="480" w:firstLineChars="200"/>
      <w:contextualSpacing/>
    </w:pPr>
    <w:rPr>
      <w:rFonts w:cs="宋体"/>
      <w:kern w:val="0"/>
      <w:sz w:val="24"/>
    </w:rPr>
  </w:style>
  <w:style w:type="paragraph" w:styleId="54">
    <w:name w:val="No Spacing"/>
    <w:basedOn w:val="55"/>
    <w:qFormat/>
    <w:uiPriority w:val="0"/>
    <w:pPr>
      <w:widowControl w:val="0"/>
      <w:snapToGrid w:val="0"/>
      <w:jc w:val="center"/>
    </w:pPr>
    <w:rPr>
      <w:kern w:val="2"/>
      <w:sz w:val="21"/>
      <w:szCs w:val="24"/>
      <w:lang w:val="en-US" w:eastAsia="zh-CN" w:bidi="ar-SA"/>
    </w:rPr>
  </w:style>
  <w:style w:type="paragraph" w:customStyle="1" w:styleId="55">
    <w:name w:val="表格修改"/>
    <w:basedOn w:val="1"/>
    <w:qFormat/>
    <w:uiPriority w:val="0"/>
    <w:pPr>
      <w:spacing w:before="40" w:after="40" w:line="240" w:lineRule="auto"/>
      <w:ind w:firstLine="0" w:firstLineChars="0"/>
      <w:jc w:val="center"/>
    </w:pPr>
    <w:rPr>
      <w:rFonts w:ascii="Calibri" w:hAnsi="宋体" w:eastAsia="宋体" w:cs="Times New Roman"/>
      <w:kern w:val="2"/>
      <w:sz w:val="21"/>
      <w:szCs w:val="22"/>
    </w:rPr>
  </w:style>
  <w:style w:type="paragraph" w:customStyle="1" w:styleId="56">
    <w:name w:val="报告表正文"/>
    <w:basedOn w:val="1"/>
    <w:qFormat/>
    <w:uiPriority w:val="0"/>
    <w:pPr>
      <w:spacing w:line="360" w:lineRule="auto"/>
      <w:ind w:firstLine="200" w:firstLineChars="200"/>
    </w:pPr>
    <w:rPr>
      <w:rFonts w:eastAsia="楷体_GB2312"/>
      <w:sz w:val="24"/>
      <w:szCs w:val="24"/>
    </w:rPr>
  </w:style>
  <w:style w:type="paragraph" w:customStyle="1" w:styleId="57">
    <w:name w:val="文章正文样式"/>
    <w:basedOn w:val="1"/>
    <w:qFormat/>
    <w:uiPriority w:val="0"/>
    <w:pPr>
      <w:spacing w:line="520" w:lineRule="exact"/>
      <w:ind w:firstLine="480" w:firstLineChars="200"/>
      <w:jc w:val="left"/>
    </w:pPr>
    <w:rPr>
      <w:rFonts w:ascii="宋体" w:hAnsi="宋体" w:cs="宋体"/>
      <w:sz w:val="24"/>
      <w:szCs w:val="20"/>
    </w:rPr>
  </w:style>
  <w:style w:type="paragraph" w:customStyle="1" w:styleId="58">
    <w:name w:val="正文01"/>
    <w:basedOn w:val="1"/>
    <w:qFormat/>
    <w:uiPriority w:val="0"/>
    <w:pPr>
      <w:spacing w:before="60" w:line="460" w:lineRule="exact"/>
      <w:ind w:firstLine="200" w:firstLineChars="200"/>
    </w:pPr>
    <w:rPr>
      <w:snapToGrid w:val="0"/>
      <w:kern w:val="0"/>
      <w:sz w:val="24"/>
    </w:rPr>
  </w:style>
  <w:style w:type="paragraph" w:customStyle="1" w:styleId="59">
    <w:name w:val="表格标题--中祥"/>
    <w:basedOn w:val="1"/>
    <w:qFormat/>
    <w:uiPriority w:val="0"/>
    <w:pPr>
      <w:spacing w:line="320" w:lineRule="exact"/>
      <w:ind w:firstLine="482"/>
      <w:jc w:val="center"/>
    </w:pPr>
    <w:rPr>
      <w:rFonts w:ascii="宋体" w:hAnsi="宋体"/>
      <w:b/>
      <w:lang w:val="zh-CN"/>
    </w:rPr>
  </w:style>
  <w:style w:type="paragraph" w:customStyle="1" w:styleId="60">
    <w:name w:val="标题3--中祥环境"/>
    <w:basedOn w:val="1"/>
    <w:qFormat/>
    <w:uiPriority w:val="0"/>
    <w:pPr>
      <w:jc w:val="left"/>
    </w:pPr>
    <w:rPr>
      <w:b/>
      <w:sz w:val="28"/>
    </w:rPr>
  </w:style>
  <w:style w:type="paragraph" w:customStyle="1" w:styleId="61">
    <w:name w:val="正文2"/>
    <w:basedOn w:val="5"/>
    <w:qFormat/>
    <w:uiPriority w:val="0"/>
    <w:pPr>
      <w:adjustRightInd w:val="0"/>
      <w:snapToGrid w:val="0"/>
      <w:spacing w:line="440" w:lineRule="atLeast"/>
      <w:ind w:firstLine="567" w:firstLineChars="0"/>
    </w:pPr>
    <w:rPr>
      <w:kern w:val="0"/>
      <w:sz w:val="24"/>
      <w:szCs w:val="20"/>
    </w:rPr>
  </w:style>
  <w:style w:type="paragraph" w:styleId="62">
    <w:name w:val="List Paragraph"/>
    <w:basedOn w:val="1"/>
    <w:qFormat/>
    <w:uiPriority w:val="99"/>
    <w:pPr>
      <w:ind w:firstLine="420" w:firstLineChars="200"/>
    </w:pPr>
  </w:style>
  <w:style w:type="paragraph" w:customStyle="1" w:styleId="63">
    <w:name w:val="2"/>
    <w:basedOn w:val="1"/>
    <w:next w:val="1"/>
    <w:qFormat/>
    <w:uiPriority w:val="0"/>
    <w:pPr>
      <w:spacing w:before="240" w:line="440" w:lineRule="exact"/>
    </w:pPr>
    <w:rPr>
      <w:rFonts w:ascii="黑体" w:eastAsia="黑体"/>
      <w:sz w:val="24"/>
      <w:szCs w:val="28"/>
    </w:rPr>
  </w:style>
  <w:style w:type="paragraph" w:customStyle="1" w:styleId="64">
    <w:name w:val="表格内容--中祥"/>
    <w:basedOn w:val="1"/>
    <w:qFormat/>
    <w:uiPriority w:val="0"/>
    <w:pPr>
      <w:jc w:val="center"/>
    </w:pPr>
    <w:rPr>
      <w:kern w:val="0"/>
      <w:szCs w:val="21"/>
    </w:rPr>
  </w:style>
  <w:style w:type="paragraph" w:customStyle="1" w:styleId="65">
    <w:name w:val="*正文"/>
    <w:basedOn w:val="1"/>
    <w:qFormat/>
    <w:uiPriority w:val="0"/>
    <w:pPr>
      <w:adjustRightInd w:val="0"/>
      <w:spacing w:line="360" w:lineRule="auto"/>
      <w:ind w:firstLine="200" w:firstLineChars="200"/>
    </w:pPr>
    <w:rPr>
      <w:kern w:val="0"/>
      <w:sz w:val="24"/>
    </w:rPr>
  </w:style>
  <w:style w:type="paragraph" w:customStyle="1" w:styleId="66">
    <w:name w:val="正文首行缩进 2 + Times New Roman"/>
    <w:basedOn w:val="1"/>
    <w:qFormat/>
    <w:uiPriority w:val="0"/>
    <w:pPr>
      <w:tabs>
        <w:tab w:val="left" w:pos="0"/>
        <w:tab w:val="left" w:pos="870"/>
        <w:tab w:val="left" w:pos="3150"/>
      </w:tabs>
      <w:autoSpaceDE w:val="0"/>
      <w:autoSpaceDN w:val="0"/>
      <w:spacing w:line="360" w:lineRule="auto"/>
      <w:ind w:firstLine="480" w:firstLineChars="200"/>
      <w:jc w:val="left"/>
    </w:pPr>
    <w:rPr>
      <w:kern w:val="0"/>
      <w:sz w:val="24"/>
    </w:rPr>
  </w:style>
  <w:style w:type="paragraph" w:customStyle="1" w:styleId="67">
    <w:name w:val="表格内部-LYJ"/>
    <w:basedOn w:val="1"/>
    <w:qFormat/>
    <w:uiPriority w:val="0"/>
    <w:pPr>
      <w:jc w:val="center"/>
    </w:pPr>
    <w:rPr>
      <w:kern w:val="24"/>
      <w:szCs w:val="18"/>
    </w:rPr>
  </w:style>
  <w:style w:type="paragraph" w:customStyle="1" w:styleId="68">
    <w:name w:val="报告表表格"/>
    <w:basedOn w:val="1"/>
    <w:qFormat/>
    <w:uiPriority w:val="0"/>
    <w:pPr>
      <w:spacing w:line="360" w:lineRule="exact"/>
      <w:jc w:val="center"/>
    </w:pPr>
    <w:rPr>
      <w:rFonts w:ascii="Arial" w:hAnsi="Arial"/>
      <w:szCs w:val="21"/>
    </w:rPr>
  </w:style>
  <w:style w:type="paragraph" w:customStyle="1" w:styleId="69">
    <w:name w:val="报告正文-连续目录"/>
    <w:basedOn w:val="1"/>
    <w:qFormat/>
    <w:uiPriority w:val="0"/>
    <w:pPr>
      <w:spacing w:line="440" w:lineRule="exact"/>
      <w:ind w:firstLine="200" w:firstLineChars="200"/>
    </w:pPr>
    <w:rPr>
      <w:rFonts w:ascii="Arial" w:hAnsi="Arial"/>
      <w:snapToGrid w:val="0"/>
      <w:kern w:val="0"/>
      <w:sz w:val="24"/>
    </w:rPr>
  </w:style>
  <w:style w:type="character" w:customStyle="1" w:styleId="70">
    <w:name w:val="样式 小四"/>
    <w:qFormat/>
    <w:uiPriority w:val="0"/>
    <w:rPr>
      <w:sz w:val="24"/>
      <w:szCs w:val="24"/>
    </w:rPr>
  </w:style>
  <w:style w:type="character" w:customStyle="1" w:styleId="71">
    <w:name w:val="标题2 Char"/>
    <w:link w:val="72"/>
    <w:qFormat/>
    <w:uiPriority w:val="0"/>
    <w:rPr>
      <w:rFonts w:ascii="宋体" w:hAnsi="宋体"/>
      <w:b/>
      <w:bCs/>
      <w:spacing w:val="-6"/>
      <w:kern w:val="0"/>
      <w:sz w:val="28"/>
      <w:szCs w:val="20"/>
    </w:rPr>
  </w:style>
  <w:style w:type="paragraph" w:customStyle="1" w:styleId="72">
    <w:name w:val="标题2"/>
    <w:basedOn w:val="1"/>
    <w:link w:val="71"/>
    <w:qFormat/>
    <w:uiPriority w:val="0"/>
    <w:pPr>
      <w:adjustRightInd w:val="0"/>
      <w:snapToGrid w:val="0"/>
      <w:spacing w:before="120" w:after="50" w:afterLines="50"/>
    </w:pPr>
    <w:rPr>
      <w:rFonts w:ascii="宋体" w:hAnsi="宋体"/>
      <w:b/>
      <w:bCs/>
      <w:spacing w:val="-6"/>
      <w:kern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1.bin"/><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4.png"/><Relationship Id="rId40" Type="http://schemas.openxmlformats.org/officeDocument/2006/relationships/image" Target="media/image23.jpeg"/><Relationship Id="rId4" Type="http://schemas.openxmlformats.org/officeDocument/2006/relationships/footer" Target="footer2.xml"/><Relationship Id="rId39" Type="http://schemas.openxmlformats.org/officeDocument/2006/relationships/image" Target="media/image22.jpeg"/><Relationship Id="rId38" Type="http://schemas.openxmlformats.org/officeDocument/2006/relationships/image" Target="media/image21.jpe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wmf"/><Relationship Id="rId34" Type="http://schemas.openxmlformats.org/officeDocument/2006/relationships/image" Target="media/image17.wmf"/><Relationship Id="rId33" Type="http://schemas.openxmlformats.org/officeDocument/2006/relationships/oleObject" Target="embeddings/oleObject11.bin"/><Relationship Id="rId32" Type="http://schemas.openxmlformats.org/officeDocument/2006/relationships/image" Target="media/image16.wmf"/><Relationship Id="rId31" Type="http://schemas.openxmlformats.org/officeDocument/2006/relationships/oleObject" Target="embeddings/oleObject10.bin"/><Relationship Id="rId30" Type="http://schemas.openxmlformats.org/officeDocument/2006/relationships/image" Target="media/image15.wmf"/><Relationship Id="rId3" Type="http://schemas.openxmlformats.org/officeDocument/2006/relationships/footer" Target="footer1.xml"/><Relationship Id="rId29" Type="http://schemas.openxmlformats.org/officeDocument/2006/relationships/oleObject" Target="embeddings/oleObject9.bin"/><Relationship Id="rId28" Type="http://schemas.openxmlformats.org/officeDocument/2006/relationships/image" Target="media/image14.wmf"/><Relationship Id="rId27" Type="http://schemas.openxmlformats.org/officeDocument/2006/relationships/oleObject" Target="embeddings/oleObject8.bin"/><Relationship Id="rId26" Type="http://schemas.openxmlformats.org/officeDocument/2006/relationships/image" Target="media/image13.wmf"/><Relationship Id="rId25" Type="http://schemas.openxmlformats.org/officeDocument/2006/relationships/oleObject" Target="embeddings/oleObject7.bin"/><Relationship Id="rId24" Type="http://schemas.openxmlformats.org/officeDocument/2006/relationships/image" Target="media/image12.wmf"/><Relationship Id="rId23" Type="http://schemas.openxmlformats.org/officeDocument/2006/relationships/image" Target="media/image11.wmf"/><Relationship Id="rId22" Type="http://schemas.openxmlformats.org/officeDocument/2006/relationships/oleObject" Target="embeddings/oleObject6.bin"/><Relationship Id="rId21" Type="http://schemas.openxmlformats.org/officeDocument/2006/relationships/image" Target="media/image10.png"/><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8.emf"/><Relationship Id="rId17" Type="http://schemas.openxmlformats.org/officeDocument/2006/relationships/oleObject" Target="embeddings/oleObject4.bin"/><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emf"/><Relationship Id="rId12" Type="http://schemas.openxmlformats.org/officeDocument/2006/relationships/oleObject" Target="embeddings/oleObject3.bin"/><Relationship Id="rId11" Type="http://schemas.openxmlformats.org/officeDocument/2006/relationships/image" Target="media/image3.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3073" textRotate="1"/>
    <customShpInfo spid="_x0000_s2192"/>
    <customShpInfo spid="_x0000_s2193"/>
    <customShpInfo spid="_x0000_s2194"/>
    <customShpInfo spid="_x0000_s2197"/>
    <customShpInfo spid="_x0000_s2196"/>
    <customShpInfo spid="_x0000_s2198"/>
    <customShpInfo spid="_x0000_s2199"/>
    <customShpInfo spid="_x0000_s220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513818-7541-4DB1-B1C2-FCE67F266822}">
  <ds:schemaRefs/>
</ds:datastoreItem>
</file>

<file path=docProps/app.xml><?xml version="1.0" encoding="utf-8"?>
<Properties xmlns="http://schemas.openxmlformats.org/officeDocument/2006/extended-properties" xmlns:vt="http://schemas.openxmlformats.org/officeDocument/2006/docPropsVTypes">
  <Template>Normal</Template>
  <Pages>80</Pages>
  <Words>48468</Words>
  <Characters>54998</Characters>
  <Lines>262</Lines>
  <Paragraphs>73</Paragraphs>
  <TotalTime>2</TotalTime>
  <ScaleCrop>false</ScaleCrop>
  <LinksUpToDate>false</LinksUpToDate>
  <CharactersWithSpaces>55262</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2021-03-09T00:51:00Z</dcterms:created>
  <dc:creator>wg</dc:creator>
  <cp:lastModifiedBy>Administrator</cp:lastModifiedBy>
  <cp:lastPrinted>2021-11-25T09:40:00Z</cp:lastPrinted>
  <dcterms:modified xsi:type="dcterms:W3CDTF">2022-09-19T09:37:28Z</dcterms:modified>
  <cp:revision>601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BBD088DE7887463AA70881175B7F0A7F</vt:lpwstr>
  </property>
</Properties>
</file>