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宋体" w:eastAsia="方正小标宋简体" w:cs="宋体"/>
          <w:color w:val="000000"/>
          <w:kern w:val="0"/>
          <w:sz w:val="44"/>
          <w:szCs w:val="44"/>
        </w:rPr>
      </w:pPr>
      <w:bookmarkStart w:id="2" w:name="_GoBack"/>
      <w:bookmarkEnd w:id="2"/>
      <w:r>
        <w:rPr>
          <w:rFonts w:hint="eastAsia" w:ascii="方正小标宋简体" w:hAnsi="宋体" w:eastAsia="方正小标宋简体" w:cs="宋体"/>
          <w:color w:val="000000"/>
          <w:kern w:val="0"/>
          <w:sz w:val="44"/>
          <w:szCs w:val="44"/>
        </w:rPr>
        <w:t>陇县烟草专卖局</w:t>
      </w:r>
    </w:p>
    <w:p>
      <w:pPr>
        <w:widowControl/>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烟草制品零售点合理布局规划（征求</w:t>
      </w:r>
    </w:p>
    <w:p>
      <w:pPr>
        <w:widowControl/>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意见稿）</w:t>
      </w:r>
    </w:p>
    <w:p>
      <w:pPr>
        <w:widowControl/>
        <w:spacing w:line="500" w:lineRule="exact"/>
        <w:jc w:val="center"/>
        <w:rPr>
          <w:rFonts w:ascii="方正小标宋简体" w:hAnsi="宋体" w:eastAsia="方正小标宋简体" w:cs="宋体"/>
          <w:color w:val="000000"/>
          <w:kern w:val="0"/>
          <w:sz w:val="30"/>
          <w:szCs w:val="30"/>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00" w:lineRule="exact"/>
        <w:jc w:val="center"/>
        <w:rPr>
          <w:rFonts w:ascii="黑体" w:hAnsi="黑体" w:eastAsia="黑体" w:cs="黑体"/>
          <w:szCs w:val="32"/>
        </w:rPr>
      </w:pPr>
    </w:p>
    <w:p>
      <w:pPr>
        <w:spacing w:line="500" w:lineRule="exact"/>
        <w:ind w:firstLine="640"/>
        <w:rPr>
          <w:rFonts w:ascii="仿宋_GB2312" w:eastAsia="仿宋_GB2312"/>
          <w:szCs w:val="32"/>
        </w:rPr>
      </w:pPr>
      <w:r>
        <w:rPr>
          <w:rFonts w:hint="eastAsia" w:ascii="黑体" w:hAnsi="黑体" w:eastAsia="黑体" w:cs="黑体"/>
          <w:sz w:val="32"/>
          <w:szCs w:val="32"/>
        </w:rPr>
        <w:t>第一条</w:t>
      </w:r>
      <w:r>
        <w:rPr>
          <w:rFonts w:hint="eastAsia" w:ascii="仿宋_GB2312" w:eastAsia="仿宋_GB2312"/>
          <w:sz w:val="32"/>
          <w:szCs w:val="32"/>
        </w:rPr>
        <w:t xml:space="preserve">  为加强烟草专卖零售许可管理，合理布局烟草制品零售点，规范卷烟市场流通秩序，保护未成年人身心健康，进一步维护国家利益和消费者合法权益，根据《中华人民共和国行政许可法》《中华人民共和国未成年人保护法》《中华人民共和国烟草专卖法》《中华人民共和国烟草专卖法实施条例》《烟草专卖许可证管理办法》等法律、法规、规章，结合陇县（以下简称我县）烟草制品零售市场实际情况，制定本规划。</w:t>
      </w:r>
    </w:p>
    <w:p>
      <w:pPr>
        <w:spacing w:line="600" w:lineRule="exact"/>
        <w:rPr>
          <w:rFonts w:ascii="仿宋_GB2312" w:eastAsia="仿宋_GB231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第二条</w:t>
      </w:r>
      <w:r>
        <w:rPr>
          <w:rFonts w:hint="eastAsia" w:ascii="仿宋_GB2312" w:eastAsia="仿宋_GB2312"/>
          <w:sz w:val="32"/>
          <w:szCs w:val="32"/>
        </w:rPr>
        <w:t xml:space="preserve">  本规划适用于在我县行政区划内，公民、法人和其他组织申请烟草专卖零售许可证经营卷烟、雪茄烟零售业务的布局管理。已取得烟草专卖零售许可证的公民、法人和其他组织，在许可证有效期内经营主体或经营地址发生变化，重新申办烟草专卖零售许可证的，遵照本规划。</w:t>
      </w:r>
    </w:p>
    <w:p>
      <w:pPr>
        <w:spacing w:line="600" w:lineRule="exact"/>
        <w:ind w:firstLine="640"/>
        <w:rPr>
          <w:rFonts w:ascii="仿宋_GB2312" w:eastAsia="仿宋_GB2312"/>
          <w:szCs w:val="32"/>
        </w:rPr>
      </w:pPr>
      <w:r>
        <w:rPr>
          <w:rFonts w:hint="eastAsia" w:ascii="黑体" w:hAnsi="黑体" w:eastAsia="黑体" w:cs="黑体"/>
          <w:sz w:val="32"/>
          <w:szCs w:val="32"/>
        </w:rPr>
        <w:t>第三条</w:t>
      </w:r>
      <w:r>
        <w:rPr>
          <w:rFonts w:hint="eastAsia" w:ascii="仿宋_GB2312" w:eastAsia="仿宋_GB2312"/>
          <w:sz w:val="32"/>
          <w:szCs w:val="32"/>
        </w:rPr>
        <w:t xml:space="preserve">  本规划所称烟草制品零售点（以下简称零售点），是指依法取得烟草专卖零售许可证（经营范围为卷烟、雪茄烟本店零售，不含电子烟，下同）的公民、法人或其他组织开展烟草制品零售业务的经营场所。</w:t>
      </w:r>
    </w:p>
    <w:p>
      <w:pPr>
        <w:spacing w:line="600" w:lineRule="exact"/>
        <w:ind w:firstLine="640"/>
        <w:rPr>
          <w:rFonts w:ascii="仿宋_GB2312" w:eastAsia="仿宋_GB2312"/>
          <w:szCs w:val="32"/>
        </w:rPr>
      </w:pPr>
      <w:r>
        <w:rPr>
          <w:rFonts w:hint="eastAsia" w:ascii="黑体" w:hAnsi="黑体" w:eastAsia="黑体" w:cs="黑体"/>
          <w:sz w:val="32"/>
          <w:szCs w:val="32"/>
        </w:rPr>
        <w:t xml:space="preserve">第四条  </w:t>
      </w:r>
      <w:r>
        <w:rPr>
          <w:rFonts w:hint="eastAsia" w:ascii="仿宋_GB2312" w:eastAsia="仿宋_GB2312"/>
          <w:sz w:val="32"/>
          <w:szCs w:val="32"/>
        </w:rPr>
        <w:t>零售点合理布局遵循以下基本原则：</w:t>
      </w:r>
    </w:p>
    <w:p>
      <w:pPr>
        <w:autoSpaceDE w:val="0"/>
        <w:autoSpaceDN w:val="0"/>
        <w:adjustRightInd w:val="0"/>
        <w:spacing w:line="600" w:lineRule="exact"/>
        <w:ind w:firstLine="643" w:firstLineChars="200"/>
        <w:rPr>
          <w:rFonts w:ascii="仿宋_GB2312" w:eastAsia="仿宋_GB2312"/>
          <w:szCs w:val="32"/>
          <w:lang w:val="zh-CN"/>
        </w:rPr>
      </w:pPr>
      <w:r>
        <w:rPr>
          <w:rFonts w:hint="eastAsia" w:ascii="仿宋_GB2312" w:hAnsi="仿宋_GB2312" w:eastAsia="仿宋_GB2312" w:cs="仿宋_GB2312"/>
          <w:b/>
          <w:bCs/>
          <w:sz w:val="32"/>
          <w:szCs w:val="32"/>
          <w:lang w:val="zh-CN"/>
        </w:rPr>
        <w:t>（一）依法行政原则。</w:t>
      </w:r>
      <w:r>
        <w:rPr>
          <w:rFonts w:hint="eastAsia" w:ascii="仿宋_GB2312" w:eastAsia="仿宋_GB2312"/>
          <w:sz w:val="32"/>
          <w:szCs w:val="32"/>
          <w:lang w:val="zh-CN"/>
        </w:rPr>
        <w:t>零售点合理布局规划以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监督，做到公开、公平、公正。</w:t>
      </w:r>
    </w:p>
    <w:p>
      <w:pPr>
        <w:autoSpaceDE w:val="0"/>
        <w:autoSpaceDN w:val="0"/>
        <w:adjustRightInd w:val="0"/>
        <w:spacing w:line="600" w:lineRule="exact"/>
        <w:ind w:firstLine="643" w:firstLineChars="200"/>
        <w:rPr>
          <w:rFonts w:ascii="仿宋_GB2312" w:eastAsia="仿宋_GB2312"/>
          <w:szCs w:val="32"/>
          <w:lang w:val="zh-CN"/>
        </w:rPr>
      </w:pPr>
      <w:r>
        <w:rPr>
          <w:rFonts w:hint="eastAsia" w:ascii="仿宋_GB2312" w:eastAsia="仿宋_GB2312"/>
          <w:b/>
          <w:bCs/>
          <w:sz w:val="32"/>
          <w:szCs w:val="32"/>
          <w:lang w:val="zh-CN"/>
        </w:rPr>
        <w:t>（二）科学规划原则。</w:t>
      </w:r>
      <w:r>
        <w:rPr>
          <w:rFonts w:hint="eastAsia" w:ascii="仿宋_GB2312" w:eastAsia="仿宋_GB2312"/>
          <w:sz w:val="32"/>
          <w:szCs w:val="32"/>
          <w:lang w:val="zh-CN"/>
        </w:rPr>
        <w:t>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pPr>
        <w:autoSpaceDE w:val="0"/>
        <w:autoSpaceDN w:val="0"/>
        <w:adjustRightInd w:val="0"/>
        <w:spacing w:line="600" w:lineRule="exact"/>
        <w:ind w:firstLine="643" w:firstLineChars="200"/>
        <w:rPr>
          <w:rFonts w:ascii="仿宋_GB2312" w:eastAsia="仿宋_GB2312"/>
          <w:szCs w:val="32"/>
          <w:lang w:val="zh-CN"/>
        </w:rPr>
      </w:pPr>
      <w:r>
        <w:rPr>
          <w:rFonts w:hint="eastAsia" w:ascii="仿宋_GB2312" w:eastAsia="仿宋_GB2312"/>
          <w:b/>
          <w:bCs/>
          <w:sz w:val="32"/>
          <w:szCs w:val="32"/>
          <w:lang w:val="zh-CN"/>
        </w:rPr>
        <w:t>（三）服务社会原则。</w:t>
      </w:r>
      <w:r>
        <w:rPr>
          <w:rFonts w:hint="eastAsia" w:ascii="仿宋_GB2312" w:eastAsia="仿宋_GB2312"/>
          <w:sz w:val="32"/>
          <w:szCs w:val="32"/>
          <w:lang w:val="zh-CN"/>
        </w:rPr>
        <w:t>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pPr>
        <w:autoSpaceDE w:val="0"/>
        <w:autoSpaceDN w:val="0"/>
        <w:adjustRightInd w:val="0"/>
        <w:spacing w:line="600" w:lineRule="exact"/>
        <w:ind w:firstLine="643" w:firstLineChars="200"/>
        <w:rPr>
          <w:rFonts w:ascii="仿宋_GB2312" w:eastAsia="仿宋_GB2312"/>
          <w:szCs w:val="32"/>
          <w:lang w:val="zh-CN"/>
        </w:rPr>
      </w:pPr>
      <w:r>
        <w:rPr>
          <w:rFonts w:hint="eastAsia" w:ascii="仿宋_GB2312" w:eastAsia="仿宋_GB2312"/>
          <w:b/>
          <w:bCs/>
          <w:sz w:val="32"/>
          <w:szCs w:val="32"/>
          <w:lang w:val="zh-CN"/>
        </w:rPr>
        <w:t>（四）均衡发展原则。</w:t>
      </w:r>
      <w:r>
        <w:rPr>
          <w:rFonts w:hint="eastAsia" w:ascii="仿宋_GB2312" w:eastAsia="仿宋_GB2312"/>
          <w:sz w:val="32"/>
          <w:szCs w:val="32"/>
          <w:lang w:val="zh-CN"/>
        </w:rPr>
        <w:t>零售点合理布局规划体现前瞻性，坚持均衡发展，保持零售点数量与烟草制品消费需求相适应、零售点分布与卷烟市场区位相协调，维持零售户数量的合理稳定，在便利消费的同时坚持零售点数量平衡。</w:t>
      </w:r>
    </w:p>
    <w:p>
      <w:pPr>
        <w:autoSpaceDE w:val="0"/>
        <w:autoSpaceDN w:val="0"/>
        <w:adjustRightInd w:val="0"/>
        <w:spacing w:line="600" w:lineRule="exact"/>
        <w:ind w:firstLine="640" w:firstLineChars="200"/>
        <w:rPr>
          <w:rFonts w:ascii="仿宋_GB2312" w:eastAsia="仿宋_GB2312"/>
          <w:szCs w:val="32"/>
        </w:rPr>
      </w:pPr>
      <w:r>
        <w:rPr>
          <w:rFonts w:ascii="黑体" w:hAnsi="黑体" w:eastAsia="黑体" w:cs="黑体"/>
          <w:sz w:val="32"/>
          <w:szCs w:val="32"/>
        </w:rPr>
        <w:t>第</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ascii="仿宋_GB2312" w:eastAsia="仿宋_GB2312"/>
          <w:sz w:val="32"/>
          <w:szCs w:val="32"/>
        </w:rPr>
        <w:t>结合我</w:t>
      </w:r>
      <w:r>
        <w:rPr>
          <w:rFonts w:hint="eastAsia" w:ascii="仿宋_GB2312" w:eastAsia="仿宋_GB2312"/>
          <w:sz w:val="32"/>
          <w:szCs w:val="32"/>
        </w:rPr>
        <w:t>县</w:t>
      </w:r>
      <w:r>
        <w:rPr>
          <w:rFonts w:ascii="仿宋_GB2312" w:eastAsia="仿宋_GB2312"/>
          <w:sz w:val="32"/>
          <w:szCs w:val="32"/>
        </w:rPr>
        <w:t>经济发展需要，避免过度竞争，使</w:t>
      </w:r>
      <w:r>
        <w:rPr>
          <w:rFonts w:hint="eastAsia" w:ascii="仿宋_GB2312" w:eastAsia="仿宋_GB2312"/>
          <w:sz w:val="32"/>
          <w:szCs w:val="32"/>
          <w:lang w:val="zh-CN"/>
        </w:rPr>
        <w:t>零售点</w:t>
      </w:r>
      <w:r>
        <w:rPr>
          <w:rFonts w:ascii="仿宋_GB2312" w:eastAsia="仿宋_GB2312"/>
          <w:sz w:val="32"/>
          <w:szCs w:val="32"/>
        </w:rPr>
        <w:t>数量和盈利水平适中，保持市场主体规模相对稳定</w:t>
      </w:r>
      <w:r>
        <w:rPr>
          <w:rFonts w:hint="eastAsia" w:ascii="仿宋_GB2312" w:eastAsia="仿宋_GB2312"/>
          <w:sz w:val="32"/>
          <w:szCs w:val="32"/>
        </w:rPr>
        <w:t>，</w:t>
      </w:r>
      <w:r>
        <w:rPr>
          <w:rFonts w:ascii="仿宋_GB2312" w:eastAsia="仿宋_GB2312"/>
          <w:sz w:val="32"/>
          <w:szCs w:val="32"/>
        </w:rPr>
        <w:t>增速合理。</w:t>
      </w:r>
    </w:p>
    <w:p>
      <w:pPr>
        <w:autoSpaceDE w:val="0"/>
        <w:autoSpaceDN w:val="0"/>
        <w:adjustRightInd w:val="0"/>
        <w:spacing w:line="600" w:lineRule="exact"/>
        <w:ind w:firstLine="640" w:firstLineChars="200"/>
        <w:rPr>
          <w:rFonts w:ascii="仿宋_GB2312" w:eastAsia="仿宋_GB231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eastAsia="仿宋_GB2312"/>
          <w:sz w:val="32"/>
          <w:szCs w:val="32"/>
        </w:rPr>
        <w:t>零售点合理布局根据经济社会发展、消费水平变化等，实行定期评价、动态管理，动态调整最小单元格及零售点数量，经法定程序发布后实施，新标准发布后旧标准自动废止。</w:t>
      </w:r>
    </w:p>
    <w:p>
      <w:pPr>
        <w:spacing w:line="600" w:lineRule="exact"/>
        <w:ind w:firstLine="640" w:firstLineChars="200"/>
        <w:rPr>
          <w:rFonts w:ascii="仿宋_GB2312" w:eastAsia="仿宋_GB231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w:t>
      </w:r>
    </w:p>
    <w:p>
      <w:pPr>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 xml:space="preserve"> 布局标准</w:t>
      </w:r>
    </w:p>
    <w:p>
      <w:pPr>
        <w:topLinePunct/>
        <w:spacing w:line="600" w:lineRule="exact"/>
        <w:ind w:firstLine="643" w:firstLineChars="200"/>
        <w:jc w:val="left"/>
        <w:rPr>
          <w:rFonts w:ascii="仿宋_GB2312" w:eastAsia="仿宋_GB2312"/>
          <w:sz w:val="32"/>
          <w:szCs w:val="32"/>
        </w:rPr>
      </w:pPr>
      <w:r>
        <w:rPr>
          <w:rFonts w:hint="eastAsia" w:ascii="黑体" w:hAnsi="黑体" w:eastAsia="黑体" w:cs="黑体"/>
          <w:b/>
          <w:sz w:val="32"/>
          <w:szCs w:val="32"/>
        </w:rPr>
        <w:t>第七条</w:t>
      </w:r>
      <w:r>
        <w:rPr>
          <w:rFonts w:hint="eastAsia" w:ascii="仿宋_GB2312" w:eastAsia="仿宋_GB2312"/>
          <w:sz w:val="32"/>
          <w:szCs w:val="32"/>
        </w:rPr>
        <w:t xml:space="preserve"> </w:t>
      </w:r>
      <w:r>
        <w:rPr>
          <w:rFonts w:hint="eastAsia" w:ascii="楷体_GB2312" w:eastAsia="楷体_GB2312"/>
          <w:sz w:val="32"/>
          <w:szCs w:val="32"/>
        </w:rPr>
        <w:t xml:space="preserve"> </w:t>
      </w:r>
      <w:r>
        <w:rPr>
          <w:rFonts w:hint="eastAsia" w:ascii="仿宋_GB2312" w:eastAsia="仿宋_GB2312"/>
          <w:sz w:val="32"/>
          <w:szCs w:val="32"/>
        </w:rPr>
        <w:t>零售点合理布局设定应当遵循以下标准：</w:t>
      </w:r>
    </w:p>
    <w:p>
      <w:pPr>
        <w:topLinePunct/>
        <w:spacing w:line="600" w:lineRule="exact"/>
        <w:ind w:firstLine="640"/>
        <w:jc w:val="left"/>
        <w:rPr>
          <w:rFonts w:ascii="楷体_GB2312" w:hAnsi="仿宋" w:eastAsia="楷体_GB2312" w:cs="仿宋"/>
          <w:sz w:val="32"/>
          <w:szCs w:val="32"/>
        </w:rPr>
      </w:pPr>
      <w:r>
        <w:rPr>
          <w:rFonts w:hint="eastAsia" w:ascii="楷体_GB2312" w:hAnsi="仿宋" w:eastAsia="楷体_GB2312" w:cs="仿宋"/>
          <w:sz w:val="32"/>
          <w:szCs w:val="32"/>
        </w:rPr>
        <w:t>（一）合理布局设定总体要求</w:t>
      </w:r>
    </w:p>
    <w:p>
      <w:pPr>
        <w:topLinePunct/>
        <w:spacing w:line="600" w:lineRule="exact"/>
        <w:ind w:firstLine="640"/>
        <w:jc w:val="left"/>
        <w:rPr>
          <w:rFonts w:ascii="仿宋" w:hAnsi="仿宋" w:eastAsia="仿宋" w:cs="仿宋"/>
          <w:sz w:val="32"/>
          <w:szCs w:val="32"/>
        </w:rPr>
      </w:pPr>
      <w:r>
        <w:rPr>
          <w:rFonts w:hint="eastAsia" w:ascii="仿宋_GB2312" w:hAnsi="仿宋" w:eastAsia="仿宋_GB2312" w:cs="仿宋"/>
          <w:sz w:val="32"/>
          <w:szCs w:val="32"/>
        </w:rPr>
        <w:t>根据辖区内人口数量、交通状况、经济发展水平、消费能力及城镇居民居住区域特点，结合城乡建设规划、市场类型等因素，以县城街道、镇、村等作为市场单元，采取“总量+间距”控制模式规划布局，将烟草制品零售市场划分为城区、镇驻地、行政村三大单元34个单元格，每个单元格规划了零售点总量上限，并将34个单元格划分为一般区、饱和区、发展区，本规划在调研过程中涉及人口总数以陇县公安户当前籍数统计数据为准，全县户籍人口267196人。</w:t>
      </w:r>
    </w:p>
    <w:p>
      <w:pPr>
        <w:numPr>
          <w:ilvl w:val="0"/>
          <w:numId w:val="2"/>
        </w:numPr>
        <w:topLinePunct/>
        <w:spacing w:line="600" w:lineRule="exact"/>
        <w:ind w:firstLine="640"/>
        <w:jc w:val="left"/>
        <w:rPr>
          <w:rFonts w:ascii="楷体_GB2312" w:hAnsi="仿宋" w:eastAsia="楷体_GB2312" w:cs="仿宋"/>
          <w:sz w:val="32"/>
          <w:szCs w:val="32"/>
        </w:rPr>
      </w:pPr>
      <w:r>
        <w:rPr>
          <w:rFonts w:hint="eastAsia" w:ascii="楷体_GB2312" w:hAnsi="仿宋" w:eastAsia="楷体_GB2312" w:cs="仿宋"/>
          <w:sz w:val="32"/>
          <w:szCs w:val="32"/>
        </w:rPr>
        <w:t>单元及单元格的划分（详见附件3）</w:t>
      </w:r>
    </w:p>
    <w:p>
      <w:pPr>
        <w:topLinePunct/>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第一单元：城区单元，范围为县城主街及相邻周边辅路，共划分为14个单元格；</w:t>
      </w:r>
    </w:p>
    <w:p>
      <w:pPr>
        <w:topLinePunct/>
        <w:spacing w:line="600" w:lineRule="exact"/>
        <w:ind w:firstLine="640"/>
        <w:jc w:val="left"/>
        <w:rPr>
          <w:rFonts w:ascii="仿宋_GB2312" w:hAnsi="仿宋" w:eastAsia="仿宋_GB2312" w:cs="仿宋"/>
          <w:sz w:val="32"/>
          <w:szCs w:val="32"/>
        </w:rPr>
      </w:pPr>
      <w:r>
        <w:rPr>
          <w:rFonts w:hint="eastAsia" w:ascii="仿宋_GB2312" w:hAnsi="仿宋" w:eastAsia="仿宋_GB2312" w:cs="仿宋"/>
          <w:sz w:val="32"/>
          <w:szCs w:val="32"/>
        </w:rPr>
        <w:t>第二单元：镇驻地单元，范围为镇政府驻地所在行政村，共划分为10个单元格；</w:t>
      </w:r>
    </w:p>
    <w:p>
      <w:pPr>
        <w:spacing w:line="360" w:lineRule="auto"/>
        <w:ind w:firstLine="640" w:firstLineChars="200"/>
        <w:rPr>
          <w:rFonts w:ascii="仿宋" w:hAnsi="仿宋" w:eastAsia="仿宋" w:cs="仿宋"/>
        </w:rPr>
      </w:pPr>
      <w:r>
        <w:rPr>
          <w:rFonts w:hint="eastAsia" w:ascii="仿宋_GB2312" w:hAnsi="仿宋" w:eastAsia="仿宋_GB2312" w:cs="仿宋"/>
          <w:sz w:val="32"/>
          <w:szCs w:val="32"/>
        </w:rPr>
        <w:t>第三单元：行政村单元，范围为除镇政府驻地所在行政村外的其他所有行政村，按照相邻便于管理原则共划分为10个单元格。</w:t>
      </w:r>
    </w:p>
    <w:p>
      <w:pPr>
        <w:topLinePunct/>
        <w:spacing w:line="600" w:lineRule="exact"/>
        <w:ind w:firstLine="640"/>
        <w:jc w:val="left"/>
        <w:rPr>
          <w:rFonts w:ascii="仿宋_GB2312" w:hAnsi="仿宋" w:eastAsia="仿宋_GB2312" w:cs="仿宋"/>
          <w:sz w:val="32"/>
          <w:szCs w:val="32"/>
        </w:rPr>
      </w:pPr>
    </w:p>
    <w:p>
      <w:pPr>
        <w:topLinePunct/>
        <w:spacing w:line="600" w:lineRule="exact"/>
        <w:ind w:firstLine="640" w:firstLineChars="200"/>
        <w:jc w:val="left"/>
        <w:rPr>
          <w:rFonts w:ascii="楷体_GB2312" w:hAnsi="仿宋" w:eastAsia="楷体_GB2312" w:cs="仿宋"/>
          <w:sz w:val="32"/>
          <w:szCs w:val="32"/>
        </w:rPr>
      </w:pPr>
      <w:r>
        <w:rPr>
          <w:rFonts w:hint="eastAsia" w:ascii="楷体_GB2312" w:hAnsi="仿宋" w:eastAsia="楷体_GB2312" w:cs="仿宋"/>
          <w:sz w:val="32"/>
          <w:szCs w:val="32"/>
        </w:rPr>
        <w:t>（三）零售点设置总体标准</w:t>
      </w:r>
    </w:p>
    <w:p>
      <w:pPr>
        <w:spacing w:line="360" w:lineRule="auto"/>
        <w:ind w:firstLine="640" w:firstLineChars="200"/>
        <w:rPr>
          <w:rFonts w:ascii="仿宋" w:hAnsi="仿宋" w:eastAsia="仿宋" w:cs="仿宋"/>
          <w:sz w:val="32"/>
          <w:szCs w:val="32"/>
        </w:rPr>
      </w:pPr>
      <w:r>
        <w:rPr>
          <w:rFonts w:hint="eastAsia" w:ascii="仿宋_GB2312" w:hAnsi="仿宋" w:eastAsia="仿宋_GB2312" w:cs="仿宋"/>
          <w:sz w:val="32"/>
          <w:szCs w:val="32"/>
        </w:rPr>
        <w:t>1.总量要求：新设零售点，应符合本单元格零售点规划数量要求。</w:t>
      </w:r>
      <w:r>
        <w:rPr>
          <w:rFonts w:hint="eastAsia" w:ascii="仿宋" w:hAnsi="仿宋" w:eastAsia="仿宋" w:cs="仿宋"/>
          <w:sz w:val="32"/>
          <w:szCs w:val="32"/>
        </w:rPr>
        <w:t xml:space="preserve">单元格分为一般、饱和、发展三种单元格属性。   </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（1）一般网格按照间距和现有零售点的数量实行“进一退一”的要求布点，总体保持零售点数量平稳；</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（2）饱和网格按照间距和现有零售点的数量实行“只出不进”的要求布点，最终达到零售点数量与市场的容量基本合理；</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（3）发展网格按照间距和现有零售点的数量实行“有进有出”的要求布点，保障县域社会经济和谐有序发展。</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（4）单元格属性每年按照陇县年度国民经济和社会发展统计公报动态调整。</w:t>
      </w:r>
    </w:p>
    <w:p>
      <w:pPr>
        <w:spacing w:line="360" w:lineRule="auto"/>
        <w:ind w:firstLine="640" w:firstLineChars="200"/>
        <w:rPr>
          <w:rFonts w:ascii="仿宋_GB2312" w:eastAsia="仿宋_GB2312"/>
          <w:sz w:val="32"/>
          <w:szCs w:val="32"/>
        </w:rPr>
      </w:pPr>
      <w:r>
        <w:rPr>
          <w:rFonts w:hint="eastAsia" w:ascii="仿宋_GB2312" w:hAnsi="仿宋" w:eastAsia="仿宋_GB2312" w:cs="仿宋"/>
          <w:sz w:val="32"/>
          <w:szCs w:val="32"/>
        </w:rPr>
        <w:t>2.间距要求：新的零售点与最近的现有零售点间距不少于50米。测量以</w:t>
      </w:r>
      <w:r>
        <w:rPr>
          <w:rFonts w:hint="eastAsia" w:ascii="仿宋_GB2312" w:hAnsi="仿宋" w:eastAsia="仿宋_GB2312" w:cs="宋体"/>
          <w:sz w:val="32"/>
          <w:szCs w:val="32"/>
        </w:rPr>
        <w:t>陇县烟草制品零售点经营场所</w:t>
      </w:r>
      <w:r>
        <w:rPr>
          <w:rFonts w:hint="eastAsia" w:ascii="仿宋_GB2312" w:eastAsia="仿宋_GB2312"/>
          <w:sz w:val="32"/>
          <w:szCs w:val="32"/>
        </w:rPr>
        <w:t>勘验测量标准为依据（详见附件1）。</w:t>
      </w:r>
    </w:p>
    <w:p>
      <w:pPr>
        <w:spacing w:line="600" w:lineRule="exact"/>
        <w:rPr>
          <w:rFonts w:ascii="仿宋_GB2312" w:eastAsia="仿宋_GB2312"/>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第八条</w:t>
      </w:r>
      <w:r>
        <w:rPr>
          <w:rFonts w:hint="eastAsia" w:ascii="仿宋_GB2312" w:eastAsia="仿宋_GB2312"/>
          <w:sz w:val="32"/>
          <w:szCs w:val="32"/>
        </w:rPr>
        <w:t xml:space="preserve">  下列区域内设置零售点，按以下标准执行：</w:t>
      </w:r>
    </w:p>
    <w:p>
      <w:pPr>
        <w:spacing w:line="600" w:lineRule="exact"/>
        <w:ind w:firstLine="640"/>
        <w:rPr>
          <w:rFonts w:ascii="仿宋_GB2312" w:eastAsia="仿宋_GB2312"/>
          <w:sz w:val="32"/>
          <w:szCs w:val="32"/>
        </w:rPr>
      </w:pPr>
      <w:r>
        <w:rPr>
          <w:rFonts w:hint="eastAsia" w:ascii="仿宋_GB2312" w:eastAsia="仿宋_GB2312"/>
          <w:sz w:val="32"/>
          <w:szCs w:val="32"/>
        </w:rPr>
        <w:t>（一）行政村：按照行政村人口数量设置零售点，300人以下的行政村可以设置1个，在此基础上，每增加500人可增设1个零售点，村委会所在地可增加1个零售点，零售点之间间距距离不得少于50米；</w:t>
      </w:r>
    </w:p>
    <w:p>
      <w:pPr>
        <w:spacing w:line="600" w:lineRule="exact"/>
        <w:ind w:firstLine="640"/>
        <w:rPr>
          <w:rFonts w:ascii="仿宋_GB2312" w:eastAsia="仿宋_GB2312"/>
          <w:sz w:val="32"/>
          <w:szCs w:val="32"/>
        </w:rPr>
      </w:pPr>
      <w:r>
        <w:rPr>
          <w:rFonts w:hint="eastAsia" w:ascii="仿宋_GB2312" w:eastAsia="仿宋_GB2312"/>
          <w:sz w:val="32"/>
          <w:szCs w:val="32"/>
        </w:rPr>
        <w:t>（二）住宅小区：300户以上500户以下的设置1个零售点，在此基础上，每增加500户可增设1个零售点，总数不得超过3个，零售点之间间距距</w:t>
      </w:r>
      <w:r>
        <w:rPr>
          <w:rFonts w:hint="eastAsia" w:ascii="仿宋_GB2312" w:eastAsia="仿宋_GB2312"/>
          <w:color w:val="000000" w:themeColor="text1"/>
          <w:sz w:val="32"/>
          <w:szCs w:val="32"/>
          <w14:textFill>
            <w14:solidFill>
              <w14:schemeClr w14:val="tx1"/>
            </w14:solidFill>
          </w14:textFill>
        </w:rPr>
        <w:t>离</w:t>
      </w:r>
      <w:r>
        <w:rPr>
          <w:rFonts w:hint="eastAsia" w:ascii="仿宋_GB2312" w:eastAsia="仿宋_GB2312"/>
          <w:sz w:val="32"/>
          <w:szCs w:val="32"/>
        </w:rPr>
        <w:t>不得少于50米，在该区域内申请烟草专卖零售许可证的，其经营场所应在商业用途性质的裙楼内或独立于主体建筑的附楼内，住所内申请烟草专卖零售许可证的，依法不予许可；</w:t>
      </w:r>
    </w:p>
    <w:p>
      <w:pPr>
        <w:spacing w:line="600" w:lineRule="exact"/>
        <w:ind w:firstLine="640"/>
        <w:rPr>
          <w:rFonts w:ascii="仿宋_GB2312" w:eastAsia="仿宋_GB2312"/>
          <w:sz w:val="32"/>
          <w:szCs w:val="32"/>
        </w:rPr>
      </w:pPr>
      <w:r>
        <w:rPr>
          <w:rFonts w:hint="eastAsia" w:ascii="仿宋_GB2312" w:eastAsia="仿宋_GB2312"/>
          <w:sz w:val="32"/>
          <w:szCs w:val="32"/>
        </w:rPr>
        <w:t>（三）人口较为集中（相对独立的）综合性商（农）贸市场、大型专业市场或商业步行街，根据该区域内固定商铺（含门面）数量，每50户（个）设置1个零售点，零售点间距不得低于50米，设置总数最多不超过3个；若该区域内固定商铺（含门面）数量不足50户（个），且无零售点的，可以设置1个零售点；</w:t>
      </w:r>
    </w:p>
    <w:p>
      <w:pPr>
        <w:spacing w:line="600" w:lineRule="exact"/>
        <w:ind w:firstLine="640"/>
        <w:rPr>
          <w:rFonts w:ascii="仿宋_GB2312" w:eastAsia="仿宋_GB2312"/>
          <w:sz w:val="32"/>
          <w:szCs w:val="32"/>
        </w:rPr>
      </w:pPr>
      <w:r>
        <w:rPr>
          <w:rFonts w:hint="eastAsia" w:ascii="仿宋_GB2312" w:eastAsia="仿宋_GB2312"/>
          <w:sz w:val="32"/>
          <w:szCs w:val="32"/>
        </w:rPr>
        <w:t xml:space="preserve">（四）火车站、汽车站候车室等公共场所内可以设置1个零售点；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风景旅游区内零售点设置按照年度客流量进行确定，年度客流量10万人次可设2个零售点，每增加10万人可增加设置1个零售点；文化旅游管理部门或森林管理部门有规定不宜设置零售点的，不予发放烟草专卖零售许可证；</w:t>
      </w:r>
    </w:p>
    <w:p>
      <w:pPr>
        <w:spacing w:line="600" w:lineRule="exact"/>
        <w:ind w:firstLine="645"/>
        <w:rPr>
          <w:rFonts w:ascii="仿宋_GB2312" w:eastAsia="仿宋_GB2312"/>
          <w:sz w:val="32"/>
          <w:szCs w:val="32"/>
        </w:rPr>
      </w:pPr>
      <w:r>
        <w:rPr>
          <w:rFonts w:hint="eastAsia" w:ascii="仿宋_GB2312" w:eastAsia="仿宋_GB2312"/>
          <w:sz w:val="32"/>
          <w:szCs w:val="32"/>
        </w:rPr>
        <w:t>（六）高速公路服务区单侧设置零售点1个；</w:t>
      </w:r>
    </w:p>
    <w:p>
      <w:pPr>
        <w:spacing w:line="600" w:lineRule="exact"/>
        <w:ind w:firstLine="645"/>
        <w:rPr>
          <w:rFonts w:ascii="仿宋_GB2312" w:eastAsia="仿宋_GB2312"/>
          <w:sz w:val="32"/>
          <w:szCs w:val="32"/>
        </w:rPr>
      </w:pPr>
      <w:r>
        <w:rPr>
          <w:rFonts w:hint="eastAsia" w:ascii="仿宋_GB2312" w:eastAsia="仿宋_GB2312"/>
          <w:sz w:val="32"/>
          <w:szCs w:val="32"/>
        </w:rPr>
        <w:t>（七）营业面积500平方米以上的宾馆酒店等娱乐服务类经营场所可以设置1个零售点；</w:t>
      </w:r>
    </w:p>
    <w:p>
      <w:pPr>
        <w:spacing w:line="600" w:lineRule="exact"/>
        <w:ind w:firstLine="645"/>
        <w:rPr>
          <w:rFonts w:ascii="仿宋_GB2312" w:eastAsia="仿宋_GB2312"/>
          <w:sz w:val="32"/>
          <w:szCs w:val="32"/>
        </w:rPr>
      </w:pPr>
      <w:r>
        <w:rPr>
          <w:rFonts w:hint="eastAsia" w:ascii="仿宋_GB2312" w:eastAsia="仿宋_GB2312"/>
          <w:sz w:val="32"/>
          <w:szCs w:val="32"/>
        </w:rPr>
        <w:t>（八）重大工程项目生活服务区(施工期在一年以上的)，施工人员200人以上的可设置1个零售点。</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有较高级别的视力残疾、听力残疾、言语残疾和肢体残疾，且确属家庭经济困难（相关部门出具书面证明材料）的申请人，在城区、镇街道设置零售点间距不得低于25米；农村、住宅小区内、综合性商（农）贸市场、大型专业市场或商业步行街，零售点数量在原标准基础上可增加1个；较高级别残疾参照以下标准：</w:t>
      </w:r>
    </w:p>
    <w:p>
      <w:pPr>
        <w:pStyle w:val="5"/>
        <w:spacing w:line="600" w:lineRule="exact"/>
        <w:ind w:firstLine="640"/>
        <w:rPr>
          <w:rFonts w:hint="default"/>
          <w:sz w:val="32"/>
          <w:szCs w:val="32"/>
        </w:rPr>
      </w:pPr>
      <w:r>
        <w:rPr>
          <w:rFonts w:ascii="仿宋_GB2312" w:eastAsia="仿宋_GB2312" w:cs="仿宋_GB2312"/>
          <w:color w:val="000000"/>
          <w:sz w:val="32"/>
          <w:szCs w:val="32"/>
        </w:rPr>
        <w:t>（一）视力残疾：一级盲、二级盲；</w:t>
      </w:r>
    </w:p>
    <w:p>
      <w:pPr>
        <w:pStyle w:val="5"/>
        <w:spacing w:line="600" w:lineRule="exact"/>
        <w:ind w:firstLine="640"/>
        <w:rPr>
          <w:rFonts w:hint="default"/>
          <w:sz w:val="32"/>
          <w:szCs w:val="32"/>
        </w:rPr>
      </w:pPr>
      <w:r>
        <w:rPr>
          <w:rFonts w:ascii="仿宋_GB2312" w:eastAsia="仿宋_GB2312" w:cs="仿宋_GB2312"/>
          <w:color w:val="000000"/>
          <w:sz w:val="32"/>
          <w:szCs w:val="32"/>
        </w:rPr>
        <w:t>（二）听力残疾：一、二、三级；</w:t>
      </w:r>
    </w:p>
    <w:p>
      <w:pPr>
        <w:pStyle w:val="5"/>
        <w:spacing w:line="600" w:lineRule="exact"/>
        <w:ind w:firstLine="640"/>
        <w:rPr>
          <w:rFonts w:hint="default"/>
          <w:sz w:val="32"/>
          <w:szCs w:val="32"/>
        </w:rPr>
      </w:pPr>
      <w:r>
        <w:rPr>
          <w:rFonts w:ascii="仿宋_GB2312" w:eastAsia="仿宋_GB2312" w:cs="仿宋_GB2312"/>
          <w:color w:val="000000"/>
          <w:sz w:val="32"/>
          <w:szCs w:val="32"/>
        </w:rPr>
        <w:t>（三）言语残疾：一、二、三级；</w:t>
      </w:r>
    </w:p>
    <w:p>
      <w:pPr>
        <w:pStyle w:val="5"/>
        <w:spacing w:line="600" w:lineRule="exact"/>
        <w:ind w:firstLine="640"/>
        <w:rPr>
          <w:rFonts w:hint="default" w:ascii="仿宋_GB2312" w:eastAsia="仿宋_GB2312" w:cs="仿宋_GB2312"/>
          <w:color w:val="000000"/>
          <w:sz w:val="32"/>
          <w:szCs w:val="32"/>
        </w:rPr>
      </w:pPr>
      <w:r>
        <w:rPr>
          <w:rFonts w:ascii="仿宋_GB2312" w:eastAsia="仿宋_GB2312" w:cs="仿宋_GB2312"/>
          <w:color w:val="000000"/>
          <w:sz w:val="32"/>
          <w:szCs w:val="32"/>
        </w:rPr>
        <w:t>（四）肢体残疾：重度（一级）、中度（二级）。</w:t>
      </w:r>
    </w:p>
    <w:p>
      <w:pPr>
        <w:pStyle w:val="5"/>
        <w:spacing w:line="600" w:lineRule="exact"/>
        <w:ind w:firstLine="640"/>
        <w:rPr>
          <w:rFonts w:hint="default"/>
          <w:sz w:val="32"/>
          <w:szCs w:val="32"/>
        </w:rPr>
      </w:pPr>
      <w:r>
        <w:rPr>
          <w:rFonts w:ascii="黑体" w:hAnsi="黑体" w:eastAsia="黑体" w:cs="黑体"/>
          <w:sz w:val="32"/>
          <w:szCs w:val="32"/>
        </w:rPr>
        <w:t xml:space="preserve">第十条  </w:t>
      </w:r>
      <w:r>
        <w:rPr>
          <w:rFonts w:ascii="仿宋_GB2312" w:eastAsia="仿宋_GB2312" w:cs="仿宋_GB2312"/>
          <w:color w:val="000000"/>
          <w:sz w:val="32"/>
          <w:szCs w:val="32"/>
        </w:rPr>
        <w:t>具有下列情形之一的残疾人不予放宽办证条件：</w:t>
      </w:r>
    </w:p>
    <w:p>
      <w:pPr>
        <w:pStyle w:val="5"/>
        <w:spacing w:line="600" w:lineRule="exact"/>
        <w:ind w:firstLine="640"/>
        <w:rPr>
          <w:rFonts w:hint="default"/>
          <w:sz w:val="32"/>
          <w:szCs w:val="32"/>
        </w:rPr>
      </w:pPr>
      <w:r>
        <w:rPr>
          <w:rFonts w:ascii="仿宋_GB2312" w:eastAsia="仿宋_GB2312" w:cs="仿宋_GB2312"/>
          <w:color w:val="000000"/>
          <w:sz w:val="32"/>
          <w:szCs w:val="32"/>
        </w:rPr>
        <w:t>（一）有固定职业及稳定收入来源的；</w:t>
      </w:r>
    </w:p>
    <w:p>
      <w:pPr>
        <w:pStyle w:val="5"/>
        <w:spacing w:line="600" w:lineRule="exact"/>
        <w:ind w:firstLine="640"/>
        <w:rPr>
          <w:rFonts w:hint="default"/>
          <w:sz w:val="32"/>
          <w:szCs w:val="32"/>
        </w:rPr>
      </w:pPr>
      <w:r>
        <w:rPr>
          <w:rFonts w:ascii="仿宋_GB2312" w:eastAsia="仿宋_GB2312" w:cs="仿宋_GB2312"/>
          <w:color w:val="000000"/>
          <w:sz w:val="32"/>
          <w:szCs w:val="32"/>
        </w:rPr>
        <w:t>（二）享受退休、退职、退养待遇具有稳定生活保障的；</w:t>
      </w:r>
    </w:p>
    <w:p>
      <w:pPr>
        <w:pStyle w:val="5"/>
        <w:spacing w:line="600" w:lineRule="exact"/>
        <w:ind w:firstLine="640"/>
        <w:rPr>
          <w:rFonts w:hint="default"/>
          <w:sz w:val="32"/>
          <w:szCs w:val="32"/>
        </w:rPr>
      </w:pPr>
      <w:r>
        <w:rPr>
          <w:rFonts w:ascii="仿宋_GB2312" w:eastAsia="仿宋_GB2312" w:cs="仿宋_GB2312"/>
          <w:color w:val="000000"/>
          <w:sz w:val="32"/>
          <w:szCs w:val="32"/>
        </w:rPr>
        <w:t>（三）非本人或直系亲属（仅限配偶、父母、子女或法定监护人）经营的；</w:t>
      </w:r>
    </w:p>
    <w:p>
      <w:pPr>
        <w:pStyle w:val="5"/>
        <w:spacing w:line="600" w:lineRule="exact"/>
        <w:ind w:firstLine="640"/>
        <w:rPr>
          <w:rFonts w:hint="default"/>
          <w:sz w:val="32"/>
          <w:szCs w:val="32"/>
        </w:rPr>
      </w:pPr>
      <w:r>
        <w:rPr>
          <w:rFonts w:ascii="仿宋_GB2312" w:eastAsia="仿宋_GB2312" w:cs="仿宋_GB2312"/>
          <w:color w:val="000000"/>
          <w:sz w:val="32"/>
          <w:szCs w:val="32"/>
        </w:rPr>
        <w:t>（四）较低级别的视力残疾、听力残疾、言语残疾和肢体残疾且可以从事一般社会工作的；</w:t>
      </w:r>
    </w:p>
    <w:p>
      <w:pPr>
        <w:pStyle w:val="5"/>
        <w:spacing w:line="600" w:lineRule="exact"/>
        <w:ind w:firstLine="640"/>
        <w:rPr>
          <w:rFonts w:hint="default"/>
          <w:sz w:val="32"/>
          <w:szCs w:val="32"/>
        </w:rPr>
      </w:pPr>
      <w:r>
        <w:rPr>
          <w:rFonts w:ascii="仿宋_GB2312" w:eastAsia="仿宋_GB2312" w:cs="仿宋_GB2312"/>
          <w:color w:val="000000"/>
          <w:sz w:val="32"/>
          <w:szCs w:val="32"/>
        </w:rPr>
        <w:t>（五）已在本行政区域或其他市县内享受过一次放宽办证政策的；</w:t>
      </w:r>
    </w:p>
    <w:p>
      <w:pPr>
        <w:spacing w:line="600" w:lineRule="exact"/>
        <w:ind w:firstLine="640"/>
        <w:jc w:val="left"/>
        <w:rPr>
          <w:rFonts w:ascii="仿宋_GB2312" w:eastAsia="黑体" w:cs="仿宋_GB2312"/>
          <w:color w:val="000000"/>
          <w:sz w:val="32"/>
          <w:szCs w:val="32"/>
        </w:rPr>
      </w:pPr>
      <w:r>
        <w:rPr>
          <w:rFonts w:hint="eastAsia" w:ascii="仿宋_GB2312" w:hAnsi="宋体" w:eastAsia="仿宋_GB2312" w:cs="仿宋_GB2312"/>
          <w:color w:val="000000"/>
          <w:kern w:val="0"/>
          <w:sz w:val="32"/>
          <w:szCs w:val="32"/>
        </w:rPr>
        <w:t>（六）法律法规及其他规范性文件规定的不予放宽的情形。</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申办条件</w:t>
      </w:r>
    </w:p>
    <w:p>
      <w:pPr>
        <w:topLinePunct/>
        <w:spacing w:line="600" w:lineRule="exact"/>
        <w:ind w:firstLine="640" w:firstLineChars="200"/>
        <w:jc w:val="left"/>
        <w:rPr>
          <w:rFonts w:ascii="仿宋_GB2312" w:eastAsia="仿宋_GB2312"/>
          <w:bCs/>
          <w:sz w:val="32"/>
          <w:szCs w:val="32"/>
        </w:rPr>
      </w:pPr>
      <w:r>
        <w:rPr>
          <w:rFonts w:hint="eastAsia" w:ascii="黑体" w:hAnsi="黑体" w:eastAsia="黑体"/>
          <w:color w:val="000000" w:themeColor="text1"/>
          <w:sz w:val="32"/>
          <w:szCs w:val="32"/>
          <w14:textFill>
            <w14:solidFill>
              <w14:schemeClr w14:val="tx1"/>
            </w14:solidFill>
          </w14:textFill>
        </w:rPr>
        <w:t>第十一条</w:t>
      </w:r>
      <w:r>
        <w:rPr>
          <w:rFonts w:hint="eastAsia" w:ascii="黑体" w:hAnsi="黑体" w:eastAsia="黑体"/>
          <w:color w:val="FF0000"/>
          <w:sz w:val="32"/>
          <w:szCs w:val="32"/>
        </w:rPr>
        <w:t xml:space="preserve">  </w:t>
      </w:r>
      <w:r>
        <w:rPr>
          <w:rFonts w:hint="eastAsia" w:ascii="仿宋_GB2312" w:eastAsia="仿宋_GB2312"/>
          <w:bCs/>
          <w:sz w:val="32"/>
          <w:szCs w:val="32"/>
        </w:rPr>
        <w:t>根据《中华人民共和国烟草专卖法实施条例》第九条规定，申请烟草专卖零售许可证，应当具备下列条件：</w:t>
      </w:r>
    </w:p>
    <w:p>
      <w:pPr>
        <w:topLinePunct/>
        <w:spacing w:line="600" w:lineRule="exact"/>
        <w:ind w:firstLine="640" w:firstLineChars="200"/>
        <w:jc w:val="left"/>
        <w:rPr>
          <w:rFonts w:ascii="仿宋_GB2312" w:eastAsia="仿宋_GB2312"/>
          <w:bCs/>
          <w:sz w:val="32"/>
          <w:szCs w:val="32"/>
        </w:rPr>
      </w:pPr>
      <w:r>
        <w:rPr>
          <w:rFonts w:hint="eastAsia" w:ascii="仿宋_GB2312" w:eastAsia="仿宋_GB2312"/>
          <w:bCs/>
          <w:sz w:val="32"/>
          <w:szCs w:val="32"/>
        </w:rPr>
        <w:t>（一）有与经营烟草制品零售业务相适应的资金；</w:t>
      </w:r>
    </w:p>
    <w:p>
      <w:pPr>
        <w:topLinePunct/>
        <w:spacing w:line="600" w:lineRule="exact"/>
        <w:ind w:firstLine="640" w:firstLineChars="200"/>
        <w:jc w:val="left"/>
        <w:rPr>
          <w:rFonts w:ascii="仿宋_GB2312" w:eastAsia="仿宋_GB2312"/>
          <w:bCs/>
          <w:sz w:val="32"/>
          <w:szCs w:val="32"/>
        </w:rPr>
      </w:pPr>
      <w:r>
        <w:rPr>
          <w:rFonts w:hint="eastAsia" w:ascii="仿宋_GB2312" w:eastAsia="仿宋_GB2312"/>
          <w:bCs/>
          <w:sz w:val="32"/>
          <w:szCs w:val="32"/>
        </w:rPr>
        <w:t>（二）有与住所相独立的固定经营场所；</w:t>
      </w:r>
    </w:p>
    <w:p>
      <w:pPr>
        <w:topLinePunct/>
        <w:spacing w:line="600" w:lineRule="exact"/>
        <w:ind w:firstLine="640" w:firstLineChars="200"/>
        <w:jc w:val="left"/>
        <w:rPr>
          <w:rFonts w:ascii="仿宋_GB2312" w:eastAsia="仿宋_GB2312"/>
          <w:bCs/>
          <w:sz w:val="32"/>
          <w:szCs w:val="32"/>
        </w:rPr>
      </w:pPr>
      <w:r>
        <w:rPr>
          <w:rFonts w:hint="eastAsia" w:ascii="仿宋_GB2312" w:eastAsia="仿宋_GB2312"/>
          <w:bCs/>
          <w:sz w:val="32"/>
          <w:szCs w:val="32"/>
        </w:rPr>
        <w:t>（三）符合本规划的要求。</w:t>
      </w:r>
    </w:p>
    <w:p>
      <w:pPr>
        <w:topLinePunct/>
        <w:spacing w:line="600" w:lineRule="exact"/>
        <w:ind w:firstLine="640" w:firstLineChars="200"/>
        <w:jc w:val="left"/>
        <w:rPr>
          <w:rFonts w:ascii="仿宋_GB2312" w:eastAsia="仿宋_GB2312"/>
          <w:bCs/>
          <w:sz w:val="32"/>
          <w:szCs w:val="32"/>
        </w:rPr>
      </w:pPr>
      <w:r>
        <w:rPr>
          <w:rFonts w:hint="eastAsia" w:ascii="仿宋_GB2312" w:eastAsia="仿宋_GB2312"/>
          <w:bCs/>
          <w:sz w:val="32"/>
          <w:szCs w:val="32"/>
        </w:rPr>
        <w:t>（四）国家烟草专卖局规定的其他条件。</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两个或两个以上申请人申请零售许可证</w:t>
      </w:r>
      <w:r>
        <w:rPr>
          <w:rFonts w:hint="eastAsia" w:ascii="仿宋_GB2312" w:eastAsia="仿宋_GB2312"/>
          <w:color w:val="FF0000"/>
          <w:sz w:val="32"/>
          <w:szCs w:val="32"/>
        </w:rPr>
        <w:t>，</w:t>
      </w:r>
      <w:r>
        <w:rPr>
          <w:rFonts w:hint="eastAsia" w:ascii="仿宋_GB2312" w:eastAsia="仿宋_GB2312"/>
          <w:sz w:val="32"/>
          <w:szCs w:val="32"/>
        </w:rPr>
        <w:t>因合理布局所限，无法同时都给予行政许可的，应当根据受理的先后顺序作出是否准予行政许可的决定。</w:t>
      </w:r>
    </w:p>
    <w:p>
      <w:pPr>
        <w:spacing w:line="600" w:lineRule="exact"/>
        <w:ind w:firstLine="640" w:firstLineChars="200"/>
        <w:rPr>
          <w:rFonts w:ascii="仿宋_GB2312" w:eastAsia="仿宋_GB2312"/>
          <w:kern w:val="0"/>
          <w:sz w:val="32"/>
          <w:szCs w:val="32"/>
        </w:rPr>
      </w:pPr>
      <w:r>
        <w:rPr>
          <w:rFonts w:hint="eastAsia" w:ascii="黑体" w:hAnsi="黑体" w:eastAsia="黑体" w:cs="黑体"/>
          <w:sz w:val="32"/>
          <w:szCs w:val="32"/>
        </w:rPr>
        <w:t xml:space="preserve">第十三条  </w:t>
      </w:r>
      <w:r>
        <w:rPr>
          <w:rFonts w:hint="eastAsia" w:ascii="仿宋_GB2312" w:eastAsia="仿宋_GB2312"/>
          <w:sz w:val="32"/>
          <w:szCs w:val="32"/>
        </w:rPr>
        <w:t>有下列情形之一的，不予发放烟草专卖零售许可证：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（一）申请主体资格方面：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1.未领取营业执照的；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为无民事行为能力人</w:t>
      </w:r>
      <w:r>
        <w:rPr>
          <w:rFonts w:hint="eastAsia" w:ascii="仿宋_GB2312" w:eastAsia="仿宋_GB2312"/>
          <w:sz w:val="32"/>
          <w:szCs w:val="32"/>
        </w:rPr>
        <w:t>、</w:t>
      </w:r>
      <w:r>
        <w:rPr>
          <w:rFonts w:ascii="仿宋_GB2312" w:eastAsia="仿宋_GB2312"/>
          <w:sz w:val="32"/>
          <w:szCs w:val="32"/>
        </w:rPr>
        <w:t>限制民事行为能力人</w:t>
      </w:r>
      <w:r>
        <w:rPr>
          <w:rFonts w:hint="eastAsia" w:ascii="仿宋_GB2312" w:eastAsia="仿宋_GB2312"/>
          <w:sz w:val="32"/>
          <w:szCs w:val="32"/>
        </w:rPr>
        <w:t>的</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外商投资的商业企业（零售业态属于“娱乐服务类”的企业或有《烟草专卖许可证管理办法》第六十三条情形的除外）或者个体工商户，及其以特许、吸纳加盟店及其他再投资等形式从事烟草专卖品经营业务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4.取消从事烟草专卖业务资格不满三年的；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5.申请人隐瞒有关情况或者提供虚假材料，或因隐瞒有关情况或者提供虚假材料，烟草专卖局作出不予受理或者不予发证决定后，一年内再次提出申请的；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6.因申请人以欺骗、贿赂等不正当手段取得的烟草专卖许可证被撤销后，申请人三年内再次提出申请的；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7.未领取烟草专卖零售许可证经营烟草专卖品业务，并且一年内被执法机关处罚两次以上，在三年内申请领取烟草专卖零售许可证的；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8.未领取烟草专卖零售许可证经营烟草专卖品业务被追究刑事责任，在三年内申请领取烟草专卖零售许可证的；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9.依据《陕西省违法失信“黑名单”信息共享和联合惩戒办法》，被列入各级人民政府、法院等社会公共信用信息平台《违法失信黑名单》的申请主体，不予发放烟草专卖零售许可证，直至其被移出“黑名单”。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（二）经营场所方面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1.无固定经营场所的；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2.经营场所与住所不相独立的；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3.商业办公楼、写字楼、公寓、住宅楼等，除地面一楼平层（含地下一层）对公众全开放的店铺以外的其它经营场所；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经营场所基于安全因素不适宜经营烟草制品的，包括但不限于生产、经营、存储有毒有害、放射性、易挥发类物质，容易造成烟草制品污染的易燃易爆品、油漆化工、农药化肥、机油制品、汽车美容、装潢装修、皮革塑料、废品回收、公厕等（具备安全保障措施的加油站便利店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主营业务与烟草制品零售业务没有直接互补营销关系的经营场所，包括但不限于母婴用品、学生用品、文化体育、书报刊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熟食快餐、餐饮小吃、瓜果蔬菜、粮油调料、生鲜肉品、水产海鲜、棋牌茶楼、健身场馆、工艺美术、广告设计、烧烤店、冷饮店、蛋糕店、鲜花店、渔具店、宠物店、照相馆、旅行社、影剧院、歌舞厅、游戏厅、台球厅、网吧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6.同一经营地址已申领烟草专卖零售许可证的。（门牌号不同但空间连续构成同一经营场所的，按一址申请办证。）</w:t>
      </w:r>
    </w:p>
    <w:p>
      <w:pPr>
        <w:pStyle w:val="5"/>
        <w:spacing w:line="600" w:lineRule="exact"/>
        <w:ind w:firstLine="640" w:firstLineChars="200"/>
        <w:rPr>
          <w:rFonts w:hint="default" w:ascii="仿宋_GB2312" w:eastAsia="仿宋_GB2312" w:cs="仿宋_GB2312"/>
          <w:sz w:val="32"/>
          <w:szCs w:val="32"/>
        </w:rPr>
      </w:pPr>
      <w:r>
        <w:rPr>
          <w:rFonts w:ascii="仿宋_GB2312" w:eastAsia="仿宋_GB2312" w:cs="仿宋_GB2312"/>
          <w:sz w:val="32"/>
          <w:szCs w:val="32"/>
        </w:rPr>
        <w:t>（三）经营模式方面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1.利用自动售货机、自助模式销售烟草制品的；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2.通过信息网络销售烟草制品的。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（四）特殊区域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1.城区周围的</w:t>
      </w:r>
      <w:r>
        <w:rPr>
          <w:rFonts w:ascii="仿宋_GB2312" w:eastAsia="仿宋_GB2312"/>
          <w:sz w:val="32"/>
          <w:szCs w:val="32"/>
        </w:rPr>
        <w:t>中小学校</w:t>
      </w:r>
      <w:r>
        <w:rPr>
          <w:rFonts w:hint="eastAsia" w:ascii="仿宋_GB2312" w:eastAsia="仿宋_GB2312"/>
          <w:sz w:val="32"/>
          <w:szCs w:val="32"/>
        </w:rPr>
        <w:t>、幼儿园在100</w:t>
      </w:r>
      <w:r>
        <w:rPr>
          <w:rFonts w:ascii="仿宋_GB2312" w:eastAsia="仿宋_GB2312"/>
          <w:sz w:val="32"/>
          <w:szCs w:val="32"/>
        </w:rPr>
        <w:t>米</w:t>
      </w:r>
      <w:r>
        <w:rPr>
          <w:rFonts w:hint="eastAsia" w:ascii="仿宋_GB2312" w:eastAsia="仿宋_GB2312"/>
          <w:sz w:val="32"/>
          <w:szCs w:val="32"/>
        </w:rPr>
        <w:t>以</w:t>
      </w:r>
      <w:r>
        <w:rPr>
          <w:rFonts w:ascii="仿宋_GB2312" w:eastAsia="仿宋_GB2312"/>
          <w:sz w:val="32"/>
          <w:szCs w:val="32"/>
        </w:rPr>
        <w:t>内</w:t>
      </w:r>
      <w:r>
        <w:rPr>
          <w:rFonts w:hint="eastAsia" w:ascii="仿宋_GB2312" w:eastAsia="仿宋_GB2312"/>
          <w:sz w:val="32"/>
          <w:szCs w:val="32"/>
        </w:rPr>
        <w:t>，镇驻地及行政村的</w:t>
      </w:r>
      <w:r>
        <w:rPr>
          <w:rFonts w:ascii="仿宋_GB2312" w:eastAsia="仿宋_GB2312"/>
          <w:sz w:val="32"/>
          <w:szCs w:val="32"/>
        </w:rPr>
        <w:t>中小学校</w:t>
      </w:r>
      <w:r>
        <w:rPr>
          <w:rFonts w:hint="eastAsia" w:ascii="仿宋_GB2312" w:eastAsia="仿宋_GB2312"/>
          <w:sz w:val="32"/>
          <w:szCs w:val="32"/>
        </w:rPr>
        <w:t>、幼儿园在55米以内；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2.县级以上人民政府或行业主管部门明令禁止经营烟草制品的区域，包括但不限于党政机关内部、医疗卫生机构内部、青少年活动中心内部等；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已被</w:t>
      </w:r>
      <w:r>
        <w:rPr>
          <w:rFonts w:hint="eastAsia" w:ascii="仿宋_GB2312" w:eastAsia="仿宋_GB2312"/>
          <w:sz w:val="32"/>
          <w:szCs w:val="32"/>
        </w:rPr>
        <w:t>县</w:t>
      </w:r>
      <w:r>
        <w:rPr>
          <w:rFonts w:ascii="仿宋_GB2312" w:eastAsia="仿宋_GB2312"/>
          <w:sz w:val="32"/>
          <w:szCs w:val="32"/>
        </w:rPr>
        <w:t>级以上人民政府纳入拆迁规划</w:t>
      </w:r>
      <w:r>
        <w:rPr>
          <w:rFonts w:hint="eastAsia" w:ascii="仿宋_GB2312" w:eastAsia="仿宋_GB2312"/>
          <w:sz w:val="32"/>
          <w:szCs w:val="32"/>
        </w:rPr>
        <w:t>区域（拆迁区域以政府公告或有关职能部门文件为依据）；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4.未经城市规划部门批准建造的建筑场所。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（五）法律、法规和规章规定的其他不予发证的情形。</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有下列情形之一的，设置零售点不受本规划第二章布局标准限制: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（一）因道路规划、城市建设等客观原因导致原持证经 营场所拆迁，需更换新址继续经营的;</w:t>
      </w:r>
    </w:p>
    <w:p>
      <w:pPr>
        <w:spacing w:line="600" w:lineRule="exact"/>
        <w:ind w:firstLine="640" w:firstLineChars="200"/>
        <w:rPr>
          <w:rFonts w:ascii="仿宋_GB2312" w:hAnsi="宋体" w:eastAsia="仿宋_GB2312"/>
          <w:szCs w:val="32"/>
        </w:rPr>
      </w:pPr>
      <w:r>
        <w:rPr>
          <w:rFonts w:hint="eastAsia" w:ascii="仿宋_GB2312" w:eastAsia="仿宋_GB2312"/>
          <w:sz w:val="32"/>
          <w:szCs w:val="32"/>
        </w:rPr>
        <w:t>（二）</w:t>
      </w:r>
      <w:r>
        <w:rPr>
          <w:rFonts w:hint="eastAsia" w:ascii="仿宋_GB2312" w:hAnsi="宋体" w:eastAsia="仿宋_GB2312"/>
          <w:sz w:val="32"/>
          <w:szCs w:val="32"/>
        </w:rPr>
        <w:t>经营主体为自然人，自然人死亡或丧失民事行为能力，县烟草专卖局作出注销决定后3个月以内，其父母、配偶、子女在原经营场所重新申领许可证的；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（三）因法院判决、法人或其他组织分立、合并，或个体工商户转型为企业等，在原经营场所重新申领许可证的；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（四）城区周围的</w:t>
      </w:r>
      <w:r>
        <w:rPr>
          <w:rFonts w:ascii="仿宋_GB2312" w:eastAsia="仿宋_GB2312"/>
          <w:sz w:val="32"/>
          <w:szCs w:val="32"/>
        </w:rPr>
        <w:t>中小学校</w:t>
      </w:r>
      <w:r>
        <w:rPr>
          <w:rFonts w:hint="eastAsia" w:ascii="仿宋_GB2312" w:eastAsia="仿宋_GB2312"/>
          <w:sz w:val="32"/>
          <w:szCs w:val="32"/>
        </w:rPr>
        <w:t>、幼儿园在100</w:t>
      </w:r>
      <w:r>
        <w:rPr>
          <w:rFonts w:ascii="仿宋_GB2312" w:eastAsia="仿宋_GB2312"/>
          <w:sz w:val="32"/>
          <w:szCs w:val="32"/>
        </w:rPr>
        <w:t>米</w:t>
      </w:r>
      <w:r>
        <w:rPr>
          <w:rFonts w:hint="eastAsia" w:ascii="仿宋_GB2312" w:eastAsia="仿宋_GB2312"/>
          <w:sz w:val="32"/>
          <w:szCs w:val="32"/>
        </w:rPr>
        <w:t>以</w:t>
      </w:r>
      <w:r>
        <w:rPr>
          <w:rFonts w:ascii="仿宋_GB2312" w:eastAsia="仿宋_GB2312"/>
          <w:sz w:val="32"/>
          <w:szCs w:val="32"/>
        </w:rPr>
        <w:t>内</w:t>
      </w:r>
      <w:r>
        <w:rPr>
          <w:rFonts w:hint="eastAsia" w:ascii="仿宋_GB2312" w:eastAsia="仿宋_GB2312"/>
          <w:sz w:val="32"/>
          <w:szCs w:val="32"/>
        </w:rPr>
        <w:t>，镇驻地及行政村的</w:t>
      </w:r>
      <w:r>
        <w:rPr>
          <w:rFonts w:ascii="仿宋_GB2312" w:eastAsia="仿宋_GB2312"/>
          <w:sz w:val="32"/>
          <w:szCs w:val="32"/>
        </w:rPr>
        <w:t>中小学校</w:t>
      </w:r>
      <w:r>
        <w:rPr>
          <w:rFonts w:hint="eastAsia" w:ascii="仿宋_GB2312" w:eastAsia="仿宋_GB2312"/>
          <w:sz w:val="32"/>
          <w:szCs w:val="32"/>
        </w:rPr>
        <w:t xml:space="preserve">、幼儿园在55米以内的原持证零售户，在烟草专卖零售许可证有效期内或县烟草专卖局规定的期限内，主动歇业后申请到我县辖区内其他地址经营的；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（五）法律、法规、规章等规定的其他情形。</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附  则</w:t>
      </w: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第十五条</w:t>
      </w:r>
      <w:r>
        <w:rPr>
          <w:rFonts w:hint="eastAsia" w:ascii="仿宋_GB2312" w:eastAsia="仿宋_GB2312"/>
          <w:color w:val="FF0000"/>
          <w:sz w:val="32"/>
          <w:szCs w:val="32"/>
        </w:rPr>
        <w:t xml:space="preserve">  </w:t>
      </w:r>
      <w:r>
        <w:rPr>
          <w:rFonts w:hint="eastAsia" w:ascii="仿宋_GB2312" w:eastAsia="仿宋_GB2312"/>
          <w:sz w:val="32"/>
          <w:szCs w:val="32"/>
        </w:rPr>
        <w:t>本规划所称的“合理布局”，是指在我县行政区划范围内，按照“合理配置、公平公正、先后有序、有利消费、便于管理”的要求，根据辖区人口分布特点以及交通、经济、消费水平等情况，对烟草制品零售点进行的规划布局。</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本规划所称的“零售点间距”，是指申请者拟从事烟草制品零售业务的经营场所与最近的烟草制品零售点之间的距离（测量标准见附件1）。经营场所有两个以上出入口的，各出入口应当同时达到零售点间距标准。</w:t>
      </w:r>
    </w:p>
    <w:p>
      <w:pPr>
        <w:spacing w:line="600" w:lineRule="exact"/>
        <w:ind w:firstLine="645"/>
        <w:rPr>
          <w:rFonts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本规划中“中小学校”是指以未成年人为教育对象，实施中等和初等教育的学校，包括普通小学、普通中学和其他以未成年人为教育对象的实施中等和初等教育的各类学校，如职业中学、中等专业学校等。“幼儿园”是指经县教育行政管理部门核准登记注册的幼儿园。</w:t>
      </w:r>
    </w:p>
    <w:p>
      <w:pPr>
        <w:spacing w:line="600" w:lineRule="exact"/>
        <w:ind w:firstLine="645"/>
        <w:rPr>
          <w:rFonts w:ascii="仿宋_GB2312" w:eastAsia="仿宋_GB2312"/>
          <w:sz w:val="32"/>
          <w:szCs w:val="32"/>
        </w:rPr>
      </w:pPr>
      <w:r>
        <w:rPr>
          <w:rFonts w:hint="eastAsia" w:ascii="仿宋_GB2312" w:eastAsia="仿宋_GB2312"/>
          <w:sz w:val="32"/>
          <w:szCs w:val="32"/>
        </w:rPr>
        <w:t>“城区周围的</w:t>
      </w:r>
      <w:r>
        <w:rPr>
          <w:rFonts w:ascii="仿宋_GB2312" w:eastAsia="仿宋_GB2312"/>
          <w:sz w:val="32"/>
          <w:szCs w:val="32"/>
        </w:rPr>
        <w:t>中小学校</w:t>
      </w:r>
      <w:r>
        <w:rPr>
          <w:rFonts w:hint="eastAsia" w:ascii="仿宋_GB2312" w:eastAsia="仿宋_GB2312"/>
          <w:sz w:val="32"/>
          <w:szCs w:val="32"/>
        </w:rPr>
        <w:t>、幼儿园在100</w:t>
      </w:r>
      <w:r>
        <w:rPr>
          <w:rFonts w:ascii="仿宋_GB2312" w:eastAsia="仿宋_GB2312"/>
          <w:sz w:val="32"/>
          <w:szCs w:val="32"/>
        </w:rPr>
        <w:t>米</w:t>
      </w:r>
      <w:r>
        <w:rPr>
          <w:rFonts w:hint="eastAsia" w:ascii="仿宋_GB2312" w:eastAsia="仿宋_GB2312"/>
          <w:sz w:val="32"/>
          <w:szCs w:val="32"/>
        </w:rPr>
        <w:t>以</w:t>
      </w:r>
      <w:r>
        <w:rPr>
          <w:rFonts w:ascii="仿宋_GB2312" w:eastAsia="仿宋_GB2312"/>
          <w:sz w:val="32"/>
          <w:szCs w:val="32"/>
        </w:rPr>
        <w:t>内</w:t>
      </w:r>
      <w:r>
        <w:rPr>
          <w:rFonts w:hint="eastAsia" w:ascii="仿宋_GB2312" w:eastAsia="仿宋_GB2312"/>
          <w:sz w:val="32"/>
          <w:szCs w:val="32"/>
        </w:rPr>
        <w:t>，镇驻地及行政村的</w:t>
      </w:r>
      <w:r>
        <w:rPr>
          <w:rFonts w:ascii="仿宋_GB2312" w:eastAsia="仿宋_GB2312"/>
          <w:sz w:val="32"/>
          <w:szCs w:val="32"/>
        </w:rPr>
        <w:t>中小学校</w:t>
      </w:r>
      <w:r>
        <w:rPr>
          <w:rFonts w:hint="eastAsia" w:ascii="仿宋_GB2312" w:eastAsia="仿宋_GB2312"/>
          <w:sz w:val="32"/>
          <w:szCs w:val="32"/>
        </w:rPr>
        <w:t xml:space="preserve">、幼儿园在55米以内”，是指以中小学校、幼儿园日常可通行的出入口（大门、侧门等）中间点为圆心，城区按100米为半径、镇驻地及行政村按55米为半径的距离。测量基准点为中小学校、幼儿园日常可通行的出入口（大门、侧门等）中间点与测量目标出入口的最近点。 </w:t>
      </w:r>
    </w:p>
    <w:p>
      <w:pPr>
        <w:spacing w:line="600" w:lineRule="exact"/>
        <w:ind w:firstLine="630"/>
        <w:rPr>
          <w:rFonts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本规划中“无固定经营场所”，是指违章建筑、待拆迁建筑、活动板房、易拆除的临时搭建物、流动摊点等，能提供城市规划部门或镇级以上政府部门批准文件的除外。</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 xml:space="preserve">第十九条  </w:t>
      </w:r>
      <w:r>
        <w:rPr>
          <w:rFonts w:hint="eastAsia" w:ascii="仿宋_GB2312" w:eastAsia="仿宋_GB2312"/>
          <w:sz w:val="32"/>
          <w:szCs w:val="32"/>
        </w:rPr>
        <w:t>本规划中“经营场所与住所相独立”，是指经营场所自成一体，有独立的出入口，且不与住所相连通。</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第二十条  </w:t>
      </w:r>
      <w:r>
        <w:rPr>
          <w:rFonts w:hint="eastAsia" w:ascii="仿宋_GB2312" w:eastAsia="仿宋_GB2312"/>
          <w:sz w:val="32"/>
          <w:szCs w:val="32"/>
        </w:rPr>
        <w:t>本规划中“镇街道”为我县10个镇主街道（含撤乡并镇、多镇合并）。</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第二十一条  </w:t>
      </w:r>
      <w:r>
        <w:rPr>
          <w:rFonts w:hint="eastAsia" w:ascii="仿宋_GB2312" w:eastAsia="仿宋_GB2312"/>
          <w:sz w:val="32"/>
          <w:szCs w:val="32"/>
        </w:rPr>
        <w:t>本规划中的“农村行政村”的人口数量，以县统计部门、所在镇政府的数据认定或以烟草专卖局实地调查的数据认定；本规划中的“住宅小区”户数，以小区实际入住户数认定。</w:t>
      </w:r>
    </w:p>
    <w:p>
      <w:pPr>
        <w:spacing w:line="600" w:lineRule="exact"/>
        <w:ind w:firstLine="630"/>
        <w:rPr>
          <w:rFonts w:ascii="仿宋_GB2312" w:eastAsia="仿宋_GB2312"/>
          <w:sz w:val="32"/>
          <w:szCs w:val="32"/>
        </w:rPr>
      </w:pPr>
      <w:r>
        <w:rPr>
          <w:rFonts w:hint="eastAsia" w:ascii="黑体" w:hAnsi="黑体" w:eastAsia="黑体" w:cs="黑体"/>
          <w:sz w:val="32"/>
          <w:szCs w:val="32"/>
        </w:rPr>
        <w:t xml:space="preserve">第二十二条  </w:t>
      </w:r>
      <w:r>
        <w:rPr>
          <w:rFonts w:hint="eastAsia" w:ascii="仿宋_GB2312" w:eastAsia="仿宋_GB2312"/>
          <w:sz w:val="32"/>
          <w:szCs w:val="32"/>
        </w:rPr>
        <w:t>本规划中描述数字“以上”、“不低于”、“不超过”、“内”均包含本数。</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第二十三条  </w:t>
      </w:r>
      <w:r>
        <w:rPr>
          <w:rFonts w:hint="eastAsia" w:ascii="仿宋_GB2312" w:eastAsia="仿宋_GB2312"/>
          <w:sz w:val="32"/>
          <w:szCs w:val="32"/>
        </w:rPr>
        <w:t>本规划实施过程中，法律、法规、规章和上级规范性文件对烟草制品零售点合理布局另有规定的，从其规定。</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第二十四条  </w:t>
      </w:r>
      <w:r>
        <w:rPr>
          <w:rFonts w:hint="eastAsia" w:ascii="仿宋_GB2312" w:eastAsia="仿宋_GB2312"/>
          <w:sz w:val="32"/>
          <w:szCs w:val="32"/>
        </w:rPr>
        <w:t>本规划由陇县烟草专卖局负责解释。</w:t>
      </w:r>
    </w:p>
    <w:p>
      <w:pPr>
        <w:spacing w:line="600" w:lineRule="exact"/>
        <w:ind w:firstLine="630"/>
        <w:rPr>
          <w:rFonts w:ascii="仿宋_GB2312" w:eastAsia="仿宋_GB2312"/>
          <w:sz w:val="32"/>
          <w:szCs w:val="32"/>
        </w:rPr>
      </w:pPr>
      <w:r>
        <w:rPr>
          <w:rFonts w:hint="eastAsia" w:ascii="黑体" w:hAnsi="黑体" w:eastAsia="黑体" w:cs="黑体"/>
          <w:sz w:val="32"/>
          <w:szCs w:val="32"/>
        </w:rPr>
        <w:t xml:space="preserve">第二十五条  </w:t>
      </w:r>
      <w:r>
        <w:rPr>
          <w:rFonts w:hint="eastAsia" w:ascii="仿宋_GB2312" w:eastAsia="仿宋_GB2312"/>
          <w:sz w:val="32"/>
          <w:szCs w:val="32"/>
        </w:rPr>
        <w:t>本规划自   年  月  日施行，2021年5 月27日印发的《陇县烟草制品零售点合理布局规定》陇烟专〔2021〕18号）的通知同时废止。</w:t>
      </w:r>
    </w:p>
    <w:p>
      <w:pPr>
        <w:spacing w:line="600" w:lineRule="exact"/>
        <w:ind w:firstLine="64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600" w:lineRule="exact"/>
        <w:ind w:left="640" w:firstLine="1120" w:firstLineChars="350"/>
        <w:rPr>
          <w:rFonts w:ascii="仿宋_GB2312" w:eastAsia="仿宋_GB2312"/>
          <w:sz w:val="32"/>
          <w:szCs w:val="32"/>
        </w:rPr>
      </w:pPr>
      <w:r>
        <w:rPr>
          <w:rFonts w:hint="eastAsia" w:ascii="仿宋_GB2312" w:eastAsia="仿宋_GB2312"/>
          <w:sz w:val="32"/>
          <w:szCs w:val="32"/>
        </w:rPr>
        <w:t>1.陇县烟草制品零售点经营场所勘验测量标准</w:t>
      </w:r>
    </w:p>
    <w:p>
      <w:pPr>
        <w:spacing w:line="600" w:lineRule="exact"/>
        <w:ind w:firstLine="1760" w:firstLineChars="550"/>
        <w:rPr>
          <w:rFonts w:ascii="仿宋_GB2312" w:eastAsia="仿宋_GB2312"/>
          <w:sz w:val="32"/>
          <w:szCs w:val="32"/>
        </w:rPr>
      </w:pPr>
      <w:r>
        <w:rPr>
          <w:rFonts w:hint="eastAsia" w:ascii="仿宋_GB2312" w:eastAsia="仿宋_GB2312"/>
          <w:sz w:val="32"/>
          <w:szCs w:val="32"/>
        </w:rPr>
        <w:t>2.陇县城市布局图</w:t>
      </w:r>
    </w:p>
    <w:p>
      <w:pPr>
        <w:spacing w:line="600" w:lineRule="exact"/>
        <w:ind w:firstLine="1760" w:firstLineChars="550"/>
        <w:rPr>
          <w:rFonts w:ascii="仿宋_GB2312" w:eastAsia="仿宋_GB2312"/>
          <w:sz w:val="32"/>
          <w:szCs w:val="32"/>
        </w:rPr>
      </w:pPr>
      <w:r>
        <w:rPr>
          <w:rFonts w:hint="eastAsia" w:ascii="仿宋_GB2312" w:eastAsia="仿宋_GB2312"/>
          <w:sz w:val="32"/>
          <w:szCs w:val="32"/>
        </w:rPr>
        <w:t>3.陇县烟草制品零售点城区、乡镇街道、农村</w:t>
      </w:r>
    </w:p>
    <w:p>
      <w:pPr>
        <w:spacing w:line="600" w:lineRule="exact"/>
        <w:ind w:left="1812" w:leftChars="863"/>
        <w:jc w:val="left"/>
        <w:rPr>
          <w:rFonts w:ascii="仿宋_GB2312" w:eastAsia="仿宋_GB2312"/>
          <w:sz w:val="32"/>
          <w:szCs w:val="32"/>
        </w:rPr>
      </w:pPr>
      <w:r>
        <w:rPr>
          <w:rFonts w:hint="eastAsia" w:ascii="仿宋_GB2312" w:eastAsia="仿宋_GB2312"/>
          <w:sz w:val="32"/>
          <w:szCs w:val="32"/>
        </w:rPr>
        <w:t>地区规划表</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ind w:right="640"/>
        <w:jc w:val="center"/>
        <w:rPr>
          <w:rFonts w:ascii="仿宋_GB2312" w:hAnsi="宋体" w:eastAsia="仿宋_GB2312" w:cs="宋体"/>
          <w:sz w:val="32"/>
          <w:szCs w:val="32"/>
        </w:rPr>
      </w:pPr>
      <w:r>
        <w:rPr>
          <w:rFonts w:hint="eastAsia" w:ascii="仿宋_GB2312" w:hAnsi="宋体" w:eastAsia="仿宋_GB2312" w:cs="宋体"/>
          <w:sz w:val="32"/>
          <w:szCs w:val="32"/>
        </w:rPr>
        <w:t xml:space="preserve">                                陇县烟草专卖局</w:t>
      </w:r>
    </w:p>
    <w:p>
      <w:pPr>
        <w:spacing w:line="360" w:lineRule="auto"/>
        <w:ind w:right="640" w:firstLine="5120" w:firstLineChars="1600"/>
        <w:rPr>
          <w:rFonts w:ascii="仿宋_GB2312" w:hAnsi="宋体" w:eastAsia="仿宋_GB2312" w:cs="宋体"/>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sz w:val="32"/>
          <w:szCs w:val="32"/>
        </w:rPr>
        <w:t>2023年10月30日</w:t>
      </w:r>
    </w:p>
    <w:p>
      <w:pPr>
        <w:spacing w:line="560" w:lineRule="exact"/>
        <w:rPr>
          <w:rFonts w:ascii="仿宋_GB2312" w:hAnsi="微软雅黑" w:eastAsia="仿宋_GB2312" w:cs="宋体"/>
          <w:sz w:val="32"/>
          <w:szCs w:val="32"/>
          <w:lang w:bidi="ug-CN"/>
        </w:rPr>
      </w:pPr>
      <w:r>
        <w:rPr>
          <w:rFonts w:hint="eastAsia" w:ascii="仿宋_GB2312" w:hAnsi="微软雅黑" w:eastAsia="仿宋_GB2312" w:cs="宋体"/>
          <w:sz w:val="32"/>
          <w:szCs w:val="32"/>
          <w:lang w:bidi="ug-CN"/>
        </w:rPr>
        <w:t>附件1：</w:t>
      </w:r>
    </w:p>
    <w:p>
      <w:pPr>
        <w:spacing w:line="360" w:lineRule="auto"/>
        <w:jc w:val="center"/>
        <w:rPr>
          <w:rFonts w:ascii="宋体" w:hAnsi="宋体" w:cs="宋体"/>
          <w:sz w:val="44"/>
          <w:szCs w:val="44"/>
        </w:rPr>
      </w:pPr>
      <w:r>
        <w:rPr>
          <w:rFonts w:hint="eastAsia" w:ascii="宋体" w:hAnsi="宋体" w:cs="宋体"/>
          <w:sz w:val="44"/>
          <w:szCs w:val="44"/>
        </w:rPr>
        <w:t>陇县烟草制品零售点经营场所</w:t>
      </w:r>
    </w:p>
    <w:p>
      <w:pPr>
        <w:spacing w:line="360" w:lineRule="auto"/>
        <w:jc w:val="center"/>
        <w:rPr>
          <w:rFonts w:ascii="宋体" w:hAnsi="宋体" w:cs="宋体"/>
          <w:sz w:val="44"/>
          <w:szCs w:val="44"/>
        </w:rPr>
      </w:pPr>
      <w:r>
        <w:rPr>
          <w:rFonts w:hint="eastAsia" w:ascii="宋体" w:hAnsi="宋体" w:cs="宋体"/>
          <w:sz w:val="44"/>
          <w:szCs w:val="44"/>
        </w:rPr>
        <w:t>勘验测量标准</w:t>
      </w:r>
    </w:p>
    <w:p>
      <w:pPr>
        <w:spacing w:line="560" w:lineRule="exact"/>
        <w:rPr>
          <w:rFonts w:ascii="仿宋_GB2312" w:hAnsi="微软雅黑" w:eastAsia="仿宋_GB2312" w:cs="宋体"/>
          <w:szCs w:val="32"/>
          <w:lang w:bidi="ug-CN"/>
        </w:rPr>
      </w:pPr>
    </w:p>
    <w:p>
      <w:pPr>
        <w:spacing w:line="560" w:lineRule="exact"/>
        <w:ind w:firstLine="640" w:firstLineChars="200"/>
        <w:rPr>
          <w:rFonts w:ascii="仿宋_GB2312" w:hAnsi="黑体" w:eastAsia="仿宋_GB2312" w:cs="宋体"/>
          <w:sz w:val="32"/>
          <w:szCs w:val="32"/>
          <w:lang w:bidi="ug-CN"/>
        </w:rPr>
      </w:pPr>
      <w:r>
        <w:rPr>
          <w:rFonts w:hint="eastAsia" w:ascii="仿宋_GB2312" w:hAnsi="微软雅黑" w:eastAsia="仿宋_GB2312" w:cs="宋体"/>
          <w:sz w:val="32"/>
          <w:szCs w:val="32"/>
          <w:lang w:bidi="ug-CN"/>
        </w:rPr>
        <w:t>为统一、规范现场测量标准，确保烟草制品零售点勘验公开、公平、公正，依据《</w:t>
      </w:r>
      <w:r>
        <w:rPr>
          <w:rFonts w:hint="eastAsia" w:ascii="仿宋_GB2312" w:hAnsi="黑体" w:eastAsia="仿宋_GB2312" w:cs="宋体"/>
          <w:sz w:val="32"/>
          <w:szCs w:val="32"/>
          <w:lang w:bidi="ug-CN"/>
        </w:rPr>
        <w:t>陇县烟草制品零售点合理布局规定》（以下简称《合理布局规定》），制定本标准。</w:t>
      </w:r>
    </w:p>
    <w:p>
      <w:pPr>
        <w:spacing w:line="560" w:lineRule="exact"/>
        <w:ind w:firstLine="643" w:firstLineChars="200"/>
        <w:rPr>
          <w:rFonts w:ascii="仿宋_GB2312" w:hAnsi="黑体" w:eastAsia="仿宋_GB2312" w:cs="宋体"/>
          <w:sz w:val="32"/>
          <w:szCs w:val="32"/>
          <w:lang w:bidi="ug-CN"/>
        </w:rPr>
      </w:pPr>
      <w:r>
        <w:rPr>
          <w:rFonts w:hint="eastAsia" w:ascii="仿宋_GB2312" w:hAnsi="黑体" w:eastAsia="仿宋_GB2312" w:cs="宋体"/>
          <w:b/>
          <w:bCs/>
          <w:sz w:val="32"/>
          <w:szCs w:val="32"/>
          <w:lang w:bidi="ug-CN"/>
        </w:rPr>
        <w:t>第一条</w:t>
      </w:r>
      <w:r>
        <w:rPr>
          <w:rFonts w:hint="eastAsia" w:ascii="仿宋_GB2312" w:hAnsi="黑体" w:eastAsia="仿宋_GB2312" w:cs="宋体"/>
          <w:sz w:val="32"/>
          <w:szCs w:val="32"/>
          <w:lang w:bidi="ug-CN"/>
        </w:rPr>
        <w:t xml:space="preserve">  本标准适用于陇县烟草专卖局对烟草制品零售点布局的</w:t>
      </w:r>
      <w:r>
        <w:rPr>
          <w:rFonts w:hint="eastAsia" w:ascii="仿宋_GB2312" w:hAnsi="微软雅黑" w:eastAsia="仿宋_GB2312" w:cs="宋体"/>
          <w:sz w:val="32"/>
          <w:szCs w:val="32"/>
          <w:lang w:bidi="ug-CN"/>
        </w:rPr>
        <w:t>现场测量工作。</w:t>
      </w:r>
    </w:p>
    <w:p>
      <w:pPr>
        <w:spacing w:line="560" w:lineRule="exact"/>
        <w:ind w:firstLine="643" w:firstLineChars="200"/>
        <w:rPr>
          <w:rFonts w:ascii="仿宋_GB2312" w:hAnsi="微软雅黑" w:eastAsia="仿宋_GB2312" w:cs="宋体"/>
          <w:sz w:val="32"/>
          <w:szCs w:val="32"/>
          <w:lang w:bidi="ug-CN"/>
        </w:rPr>
      </w:pPr>
      <w:r>
        <w:rPr>
          <w:rFonts w:hint="eastAsia" w:ascii="仿宋_GB2312" w:hAnsi="黑体" w:eastAsia="仿宋_GB2312" w:cs="宋体"/>
          <w:b/>
          <w:bCs/>
          <w:sz w:val="32"/>
          <w:szCs w:val="32"/>
          <w:lang w:bidi="ug-CN"/>
        </w:rPr>
        <w:t>第二条</w:t>
      </w:r>
      <w:r>
        <w:rPr>
          <w:rFonts w:hint="eastAsia" w:ascii="仿宋_GB2312" w:hAnsi="宋体" w:eastAsia="仿宋_GB2312" w:cs="宋体"/>
          <w:kern w:val="0"/>
          <w:sz w:val="32"/>
          <w:szCs w:val="32"/>
          <w:lang w:bidi="ug-CN"/>
        </w:rPr>
        <w:t xml:space="preserve">  </w:t>
      </w:r>
      <w:r>
        <w:rPr>
          <w:rFonts w:hint="eastAsia" w:ascii="仿宋_GB2312" w:hAnsi="黑体" w:eastAsia="仿宋_GB2312" w:cs="宋体"/>
          <w:sz w:val="32"/>
          <w:szCs w:val="32"/>
          <w:lang w:bidi="ug-CN"/>
        </w:rPr>
        <w:t>烟草制品零售点</w:t>
      </w:r>
      <w:r>
        <w:rPr>
          <w:rFonts w:hint="eastAsia" w:ascii="仿宋_GB2312" w:hAnsi="微软雅黑" w:eastAsia="仿宋_GB2312" w:cs="宋体"/>
          <w:sz w:val="32"/>
          <w:szCs w:val="32"/>
          <w:lang w:bidi="ug-CN"/>
        </w:rPr>
        <w:t>现场测量主要是指间距距离的测量认定。</w:t>
      </w:r>
    </w:p>
    <w:p>
      <w:pPr>
        <w:spacing w:line="360" w:lineRule="auto"/>
        <w:ind w:firstLine="643" w:firstLineChars="200"/>
        <w:rPr>
          <w:rFonts w:ascii="仿宋_GB2312" w:eastAsia="仿宋_GB2312"/>
          <w:sz w:val="32"/>
          <w:szCs w:val="32"/>
        </w:rPr>
      </w:pPr>
      <w:r>
        <w:rPr>
          <w:rFonts w:hint="eastAsia" w:ascii="仿宋_GB2312" w:hAnsi="黑体" w:eastAsia="仿宋_GB2312" w:cs="宋体"/>
          <w:b/>
          <w:bCs/>
          <w:sz w:val="32"/>
          <w:szCs w:val="32"/>
          <w:lang w:bidi="ug-CN"/>
        </w:rPr>
        <w:t>第三条</w:t>
      </w:r>
      <w:r>
        <w:rPr>
          <w:rFonts w:hint="eastAsia" w:ascii="仿宋_GB2312" w:hAnsi="微软雅黑" w:eastAsia="仿宋_GB2312" w:cs="宋体"/>
          <w:sz w:val="32"/>
          <w:szCs w:val="32"/>
          <w:lang w:bidi="ug-CN"/>
        </w:rPr>
        <w:t xml:space="preserve">  间距距离测量，是指</w:t>
      </w:r>
      <w:r>
        <w:rPr>
          <w:rFonts w:hint="eastAsia" w:ascii="仿宋_GB2312" w:hAnsi="仿宋_GB2312" w:eastAsia="仿宋_GB2312" w:cs="仿宋_GB2312"/>
          <w:sz w:val="32"/>
          <w:szCs w:val="32"/>
          <w:lang w:bidi="ug-CN"/>
        </w:rPr>
        <w:t>申请人的经营场所出入口与最近零售点的经营场所出入口</w:t>
      </w:r>
      <w:r>
        <w:rPr>
          <w:rFonts w:hint="eastAsia" w:ascii="仿宋_GB2312" w:hAnsi="宋体" w:eastAsia="仿宋_GB2312" w:cs="宋体"/>
          <w:kern w:val="0"/>
          <w:sz w:val="32"/>
          <w:szCs w:val="32"/>
          <w:lang w:bidi="ug-CN"/>
        </w:rPr>
        <w:t>之间</w:t>
      </w:r>
      <w:r>
        <w:rPr>
          <w:rFonts w:hint="eastAsia" w:ascii="仿宋_GB2312" w:hAnsi="仿宋_GB2312" w:eastAsia="仿宋_GB2312" w:cs="仿宋_GB2312"/>
          <w:sz w:val="32"/>
          <w:szCs w:val="32"/>
          <w:lang w:bidi="ug-CN"/>
        </w:rPr>
        <w:t>，</w:t>
      </w:r>
      <w:r>
        <w:rPr>
          <w:rFonts w:hint="eastAsia" w:ascii="仿宋_GB2312" w:eastAsia="仿宋_GB2312"/>
          <w:sz w:val="32"/>
          <w:szCs w:val="32"/>
        </w:rPr>
        <w:t>行人不违反交通管理规定、</w:t>
      </w:r>
      <w:r>
        <w:rPr>
          <w:rFonts w:hint="eastAsia" w:ascii="仿宋_GB2312" w:hAnsi="宋体" w:eastAsia="仿宋_GB2312" w:cs="宋体"/>
          <w:kern w:val="0"/>
          <w:sz w:val="32"/>
          <w:szCs w:val="32"/>
          <w:lang w:bidi="ug-CN"/>
        </w:rPr>
        <w:t>可正常安全通行的无障碍最短距离。</w:t>
      </w:r>
      <w:r>
        <w:rPr>
          <w:rFonts w:hint="eastAsia" w:ascii="仿宋_GB2312" w:eastAsia="仿宋_GB2312"/>
          <w:sz w:val="32"/>
          <w:szCs w:val="32"/>
        </w:rPr>
        <w:t>测量基准点为两个测量目标出入口的最近点。</w:t>
      </w:r>
    </w:p>
    <w:p>
      <w:pPr>
        <w:shd w:val="clear" w:color="auto" w:fill="FFFFFF"/>
        <w:spacing w:line="560" w:lineRule="exact"/>
        <w:ind w:firstLine="640"/>
        <w:jc w:val="left"/>
        <w:rPr>
          <w:rFonts w:ascii="仿宋_GB2312" w:hAnsi="宋体" w:eastAsia="仿宋_GB2312" w:cs="宋体"/>
          <w:kern w:val="0"/>
          <w:sz w:val="32"/>
          <w:szCs w:val="32"/>
          <w:lang w:bidi="ug-CN"/>
        </w:rPr>
      </w:pPr>
      <w:r>
        <w:rPr>
          <w:rFonts w:hint="eastAsia" w:ascii="仿宋_GB2312" w:hAnsi="黑体" w:eastAsia="仿宋_GB2312" w:cs="宋体"/>
          <w:b/>
          <w:bCs/>
          <w:sz w:val="32"/>
          <w:szCs w:val="32"/>
          <w:lang w:bidi="ug-CN"/>
        </w:rPr>
        <w:t>第四条</w:t>
      </w:r>
      <w:r>
        <w:rPr>
          <w:rFonts w:hint="eastAsia" w:ascii="仿宋_GB2312" w:hAnsi="黑体" w:eastAsia="仿宋_GB2312" w:cs="宋体"/>
          <w:sz w:val="32"/>
          <w:szCs w:val="32"/>
          <w:lang w:bidi="ug-CN"/>
        </w:rPr>
        <w:t xml:space="preserve">  </w:t>
      </w:r>
      <w:r>
        <w:rPr>
          <w:rFonts w:hint="eastAsia" w:ascii="仿宋_GB2312" w:hAnsi="微软雅黑" w:eastAsia="仿宋_GB2312" w:cs="宋体"/>
          <w:sz w:val="32"/>
          <w:szCs w:val="32"/>
          <w:lang w:bidi="ug-CN"/>
        </w:rPr>
        <w:t>间距距离</w:t>
      </w:r>
      <w:r>
        <w:rPr>
          <w:rFonts w:hint="eastAsia" w:ascii="仿宋_GB2312" w:hAnsi="宋体" w:eastAsia="仿宋_GB2312" w:cs="宋体"/>
          <w:kern w:val="0"/>
          <w:sz w:val="32"/>
          <w:szCs w:val="32"/>
          <w:lang w:bidi="ug-CN"/>
        </w:rPr>
        <w:t>使用测量工具进行测量，测量结果在零售点设置值正负2%范围以内，申请人或利害关系人提出复核的，由县烟草专卖局法制监督部门参与进行二次勘验，制作现场勘验表并全过程音像记录。</w:t>
      </w:r>
    </w:p>
    <w:p>
      <w:pPr>
        <w:spacing w:line="560" w:lineRule="exact"/>
        <w:ind w:firstLine="643" w:firstLineChars="200"/>
        <w:rPr>
          <w:rFonts w:ascii="仿宋_GB2312" w:hAnsi="仿宋" w:eastAsia="仿宋_GB2312" w:cs="宋体"/>
          <w:sz w:val="32"/>
          <w:szCs w:val="32"/>
          <w:lang w:bidi="ug-CN"/>
        </w:rPr>
      </w:pPr>
      <w:r>
        <w:rPr>
          <w:rFonts w:hint="eastAsia" w:ascii="仿宋_GB2312" w:hAnsi="黑体" w:eastAsia="仿宋_GB2312" w:cs="宋体"/>
          <w:b/>
          <w:bCs/>
          <w:sz w:val="32"/>
          <w:szCs w:val="32"/>
          <w:lang w:bidi="ug-CN"/>
        </w:rPr>
        <w:t>第五条</w:t>
      </w:r>
      <w:r>
        <w:rPr>
          <w:rFonts w:hint="eastAsia" w:ascii="仿宋_GB2312" w:hAnsi="宋体" w:eastAsia="仿宋_GB2312" w:cs="宋体"/>
          <w:kern w:val="32"/>
          <w:sz w:val="32"/>
          <w:szCs w:val="32"/>
          <w:lang w:bidi="ug-CN"/>
        </w:rPr>
        <w:t xml:space="preserve">  </w:t>
      </w:r>
      <w:r>
        <w:rPr>
          <w:rFonts w:hint="eastAsia" w:ascii="仿宋_GB2312" w:hAnsi="仿宋" w:eastAsia="仿宋_GB2312" w:cs="宋体"/>
          <w:sz w:val="32"/>
          <w:szCs w:val="32"/>
          <w:lang w:bidi="ug-CN"/>
        </w:rPr>
        <w:t>政府有关部门在街道或道路中已经设置的行人隔离带（栏）、绿化带等视为障碍物，认定为不可正常</w:t>
      </w:r>
      <w:r>
        <w:rPr>
          <w:rFonts w:hint="eastAsia" w:ascii="仿宋_GB2312" w:hAnsi="宋体" w:eastAsia="仿宋_GB2312" w:cs="宋体"/>
          <w:kern w:val="0"/>
          <w:sz w:val="32"/>
          <w:szCs w:val="32"/>
          <w:lang w:bidi="ug-CN"/>
        </w:rPr>
        <w:t>安全</w:t>
      </w:r>
      <w:r>
        <w:rPr>
          <w:rFonts w:hint="eastAsia" w:ascii="仿宋_GB2312" w:hAnsi="仿宋" w:eastAsia="仿宋_GB2312" w:cs="宋体"/>
          <w:sz w:val="32"/>
          <w:szCs w:val="32"/>
          <w:lang w:bidi="ug-CN"/>
        </w:rPr>
        <w:t>通行。</w:t>
      </w:r>
    </w:p>
    <w:p>
      <w:pPr>
        <w:spacing w:line="540" w:lineRule="exact"/>
        <w:ind w:firstLine="643" w:firstLineChars="200"/>
        <w:rPr>
          <w:rFonts w:ascii="仿宋_GB2312" w:hAnsi="黑体" w:eastAsia="仿宋_GB2312" w:cs="宋体"/>
          <w:sz w:val="32"/>
          <w:szCs w:val="32"/>
          <w:lang w:bidi="ug-CN"/>
        </w:rPr>
      </w:pPr>
      <w:r>
        <w:rPr>
          <w:rFonts w:hint="eastAsia" w:ascii="仿宋_GB2312" w:hAnsi="黑体" w:eastAsia="仿宋_GB2312" w:cs="宋体"/>
          <w:b/>
          <w:bCs/>
          <w:sz w:val="32"/>
          <w:szCs w:val="32"/>
          <w:lang w:bidi="ug-CN"/>
        </w:rPr>
        <w:t>第六条</w:t>
      </w:r>
      <w:r>
        <w:rPr>
          <w:rFonts w:hint="eastAsia" w:ascii="仿宋_GB2312" w:hAnsi="宋体" w:eastAsia="仿宋_GB2312" w:cs="宋体"/>
          <w:caps/>
          <w:sz w:val="32"/>
          <w:szCs w:val="32"/>
          <w:lang w:bidi="ug-CN"/>
        </w:rPr>
        <w:t xml:space="preserve">  在</w:t>
      </w:r>
      <w:r>
        <w:rPr>
          <w:rFonts w:hint="eastAsia" w:ascii="仿宋_GB2312" w:hAnsi="黑体" w:eastAsia="仿宋_GB2312" w:cs="宋体"/>
          <w:sz w:val="32"/>
          <w:szCs w:val="32"/>
          <w:lang w:bidi="ug-CN"/>
        </w:rPr>
        <w:t>通行道路上临时设置的安全设施，临时放置的建筑材料、物品，擅自设立、建造的建筑、物体，以及因阶段性施工影响通行等不视为障碍物。</w:t>
      </w:r>
    </w:p>
    <w:p>
      <w:pPr>
        <w:shd w:val="clear" w:color="auto" w:fill="FFFFFF"/>
        <w:spacing w:line="540" w:lineRule="exact"/>
        <w:ind w:firstLine="643" w:firstLineChars="200"/>
        <w:jc w:val="left"/>
        <w:rPr>
          <w:rFonts w:ascii="仿宋_GB2312" w:hAnsi="黑体" w:eastAsia="仿宋_GB2312" w:cs="宋体"/>
          <w:sz w:val="32"/>
          <w:szCs w:val="32"/>
          <w:lang w:bidi="ug-CN"/>
        </w:rPr>
      </w:pPr>
      <w:r>
        <w:rPr>
          <w:rFonts w:hint="eastAsia" w:ascii="仿宋_GB2312" w:hAnsi="黑体" w:eastAsia="仿宋_GB2312" w:cs="宋体"/>
          <w:b/>
          <w:bCs/>
          <w:sz w:val="32"/>
          <w:szCs w:val="32"/>
          <w:lang w:bidi="ug-CN"/>
        </w:rPr>
        <w:t>第七条</w:t>
      </w:r>
      <w:r>
        <w:rPr>
          <w:rFonts w:hint="eastAsia" w:ascii="仿宋_GB2312" w:hAnsi="宋体" w:eastAsia="仿宋_GB2312" w:cs="宋体"/>
          <w:kern w:val="0"/>
          <w:sz w:val="32"/>
          <w:szCs w:val="32"/>
          <w:lang w:bidi="ug-CN"/>
        </w:rPr>
        <w:t xml:space="preserve">  </w:t>
      </w:r>
      <w:r>
        <w:rPr>
          <w:rFonts w:hint="eastAsia" w:ascii="仿宋_GB2312" w:hAnsi="黑体" w:eastAsia="仿宋_GB2312" w:cs="宋体"/>
          <w:sz w:val="32"/>
          <w:szCs w:val="32"/>
          <w:lang w:bidi="ug-CN"/>
        </w:rPr>
        <w:t>测量标准。</w:t>
      </w:r>
    </w:p>
    <w:p>
      <w:pPr>
        <w:spacing w:line="540" w:lineRule="exact"/>
        <w:ind w:firstLine="640" w:firstLineChars="200"/>
        <w:rPr>
          <w:rFonts w:ascii="仿宋_GB2312" w:hAnsi="宋体" w:eastAsia="仿宋_GB2312" w:cs="宋体"/>
          <w:kern w:val="0"/>
          <w:sz w:val="32"/>
          <w:szCs w:val="32"/>
          <w:lang w:bidi="ug-CN"/>
        </w:rPr>
      </w:pPr>
      <w:r>
        <w:rPr>
          <w:rFonts w:hint="eastAsia" w:ascii="仿宋_GB2312" w:hAnsi="仿宋" w:eastAsia="仿宋_GB2312" w:cs="宋体"/>
          <w:sz w:val="32"/>
          <w:szCs w:val="32"/>
          <w:lang w:bidi="ug-CN"/>
        </w:rPr>
        <w:t>（一）</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同侧无障碍物的,测量</w:t>
      </w:r>
      <w:r>
        <w:rPr>
          <w:rFonts w:hint="eastAsia" w:ascii="仿宋_GB2312" w:hAnsi="宋体" w:eastAsia="仿宋_GB2312" w:cs="宋体"/>
          <w:kern w:val="0"/>
          <w:sz w:val="32"/>
          <w:szCs w:val="32"/>
          <w:lang w:bidi="ug-CN"/>
        </w:rPr>
        <w:t>最短直线距离。（如图1所示）</w:t>
      </w:r>
    </w:p>
    <w:p>
      <w:pPr>
        <w:jc w:val="center"/>
        <w:rPr>
          <w:rFonts w:ascii="仿宋_GB2312" w:hAnsi="宋体" w:eastAsia="仿宋_GB2312" w:cs="宋体"/>
          <w:kern w:val="0"/>
          <w:szCs w:val="32"/>
          <w:lang w:bidi="ug-CN"/>
        </w:rPr>
      </w:pPr>
      <w:r>
        <w:rPr>
          <w:rFonts w:ascii="仿宋_GB2312" w:hAnsi="宋体" w:eastAsia="仿宋_GB2312" w:cs="宋体"/>
          <w:kern w:val="0"/>
          <w:szCs w:val="32"/>
        </w:rPr>
        <w:drawing>
          <wp:inline distT="0" distB="0" distL="114300" distR="114300">
            <wp:extent cx="5257800" cy="2025650"/>
            <wp:effectExtent l="0" t="0" r="0" b="12700"/>
            <wp:docPr id="18" name="图片 7"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a4a1d4dd071fd70d362880324593a78"/>
                    <pic:cNvPicPr>
                      <a:picLocks noChangeAspect="1"/>
                    </pic:cNvPicPr>
                  </pic:nvPicPr>
                  <pic:blipFill>
                    <a:blip r:embed="rId6" cstate="print"/>
                    <a:stretch>
                      <a:fillRect/>
                    </a:stretch>
                  </pic:blipFill>
                  <pic:spPr>
                    <a:xfrm>
                      <a:off x="0" y="0"/>
                      <a:ext cx="5257800" cy="2025650"/>
                    </a:xfrm>
                    <a:prstGeom prst="rect">
                      <a:avLst/>
                    </a:prstGeom>
                    <a:noFill/>
                    <a:ln>
                      <a:noFill/>
                    </a:ln>
                  </pic:spPr>
                </pic:pic>
              </a:graphicData>
            </a:graphic>
          </wp:inline>
        </w:drawing>
      </w:r>
      <w:r>
        <w:rPr>
          <w:rFonts w:hint="eastAsia" w:ascii="仿宋_GB2312" w:hAnsi="宋体" w:eastAsia="仿宋_GB2312" w:cs="宋体"/>
          <w:kern w:val="0"/>
          <w:sz w:val="32"/>
          <w:szCs w:val="32"/>
          <w:lang w:bidi="ug-CN"/>
        </w:rPr>
        <w:t>（图1）</w:t>
      </w:r>
    </w:p>
    <w:p>
      <w:pPr>
        <w:adjustRightInd w:val="0"/>
        <w:snapToGrid w:val="0"/>
        <w:spacing w:line="54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（二）</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黑体" w:eastAsia="仿宋_GB2312" w:cs="宋体"/>
          <w:sz w:val="32"/>
          <w:szCs w:val="32"/>
          <w:lang w:bidi="ug-CN"/>
        </w:rPr>
        <w:t>同侧</w:t>
      </w:r>
      <w:r>
        <w:rPr>
          <w:rFonts w:hint="eastAsia" w:ascii="仿宋_GB2312" w:hAnsi="仿宋" w:eastAsia="仿宋_GB2312" w:cs="宋体"/>
          <w:sz w:val="32"/>
          <w:szCs w:val="32"/>
          <w:lang w:bidi="ug-CN"/>
        </w:rPr>
        <w:t>存在障碍物的，测量按直角分段绕过障碍物测量，分段距离之和即为</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间的距离。（如图2所示）</w:t>
      </w:r>
    </w:p>
    <w:p>
      <w:pPr>
        <w:adjustRightInd w:val="0"/>
        <w:snapToGrid w:val="0"/>
        <w:jc w:val="center"/>
        <w:rPr>
          <w:rFonts w:ascii="方正小标宋简体" w:hAnsi="黑体" w:eastAsia="方正小标宋简体" w:cs="宋体"/>
          <w:szCs w:val="32"/>
          <w:lang w:bidi="ug-CN"/>
        </w:rPr>
      </w:pPr>
      <w:r>
        <w:rPr>
          <w:rFonts w:ascii="方正小标宋简体" w:hAnsi="黑体" w:eastAsia="方正小标宋简体" w:cs="宋体"/>
          <w:szCs w:val="32"/>
        </w:rPr>
        <w:drawing>
          <wp:inline distT="0" distB="0" distL="114300" distR="114300">
            <wp:extent cx="5255260" cy="1898650"/>
            <wp:effectExtent l="0" t="0" r="2540" b="6350"/>
            <wp:docPr id="19" name="图片 8"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a10234677569395b1444565ea9f700d"/>
                    <pic:cNvPicPr>
                      <a:picLocks noChangeAspect="1"/>
                    </pic:cNvPicPr>
                  </pic:nvPicPr>
                  <pic:blipFill>
                    <a:blip r:embed="rId7" cstate="print"/>
                    <a:stretch>
                      <a:fillRect/>
                    </a:stretch>
                  </pic:blipFill>
                  <pic:spPr>
                    <a:xfrm>
                      <a:off x="0" y="0"/>
                      <a:ext cx="5255260" cy="1898650"/>
                    </a:xfrm>
                    <a:prstGeom prst="rect">
                      <a:avLst/>
                    </a:prstGeom>
                    <a:noFill/>
                    <a:ln>
                      <a:noFill/>
                    </a:ln>
                  </pic:spPr>
                </pic:pic>
              </a:graphicData>
            </a:graphic>
          </wp:inline>
        </w:drawing>
      </w:r>
    </w:p>
    <w:p>
      <w:pPr>
        <w:adjustRightInd w:val="0"/>
        <w:snapToGrid w:val="0"/>
        <w:jc w:val="center"/>
        <w:rPr>
          <w:rFonts w:ascii="仿宋_GB2312" w:hAnsi="仿宋" w:eastAsia="仿宋_GB2312" w:cs="宋体"/>
          <w:sz w:val="32"/>
          <w:szCs w:val="32"/>
          <w:lang w:bidi="ug-CN"/>
        </w:rPr>
      </w:pPr>
      <w:r>
        <w:rPr>
          <w:rFonts w:hint="eastAsia" w:ascii="方正小标宋简体" w:hAnsi="黑体" w:eastAsia="方正小标宋简体" w:cs="宋体"/>
          <w:sz w:val="32"/>
          <w:szCs w:val="32"/>
          <w:lang w:bidi="ug-CN"/>
        </w:rPr>
        <w:t>（</w:t>
      </w:r>
      <w:r>
        <w:rPr>
          <w:rFonts w:hint="eastAsia" w:ascii="仿宋_GB2312" w:hAnsi="仿宋" w:eastAsia="仿宋_GB2312" w:cs="宋体"/>
          <w:sz w:val="32"/>
          <w:szCs w:val="32"/>
          <w:lang w:bidi="ug-CN"/>
        </w:rPr>
        <w:t>图2）</w:t>
      </w:r>
    </w:p>
    <w:p>
      <w:pPr>
        <w:adjustRightInd w:val="0"/>
        <w:snapToGrid w:val="0"/>
        <w:spacing w:line="54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（三）</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异侧无障碍物的,测量按直角分段测量，分段距离之和即为</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 xml:space="preserve">的距离。（如图3所示）  </w:t>
      </w:r>
    </w:p>
    <w:p>
      <w:pPr>
        <w:adjustRightInd w:val="0"/>
        <w:snapToGrid w:val="0"/>
        <w:jc w:val="center"/>
        <w:rPr>
          <w:rFonts w:ascii="方正小标宋简体" w:hAnsi="黑体" w:eastAsia="方正小标宋简体" w:cs="宋体"/>
          <w:szCs w:val="21"/>
          <w:lang w:bidi="ug-CN"/>
        </w:rPr>
      </w:pPr>
      <w:r>
        <w:rPr>
          <w:rFonts w:ascii="方正小标宋简体" w:hAnsi="黑体" w:eastAsia="方正小标宋简体" w:cs="宋体"/>
          <w:szCs w:val="21"/>
        </w:rPr>
        <w:drawing>
          <wp:inline distT="0" distB="0" distL="114300" distR="114300">
            <wp:extent cx="5257800" cy="2633345"/>
            <wp:effectExtent l="0" t="0" r="0" b="14605"/>
            <wp:docPr id="20" name="图片 9"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95093f88d308a53b7cbcf0aa8b25898"/>
                    <pic:cNvPicPr>
                      <a:picLocks noChangeAspect="1"/>
                    </pic:cNvPicPr>
                  </pic:nvPicPr>
                  <pic:blipFill>
                    <a:blip r:embed="rId8" cstate="print"/>
                    <a:stretch>
                      <a:fillRect/>
                    </a:stretch>
                  </pic:blipFill>
                  <pic:spPr>
                    <a:xfrm>
                      <a:off x="0" y="0"/>
                      <a:ext cx="5257800" cy="2633345"/>
                    </a:xfrm>
                    <a:prstGeom prst="rect">
                      <a:avLst/>
                    </a:prstGeom>
                    <a:noFill/>
                    <a:ln>
                      <a:noFill/>
                    </a:ln>
                  </pic:spPr>
                </pic:pic>
              </a:graphicData>
            </a:graphic>
          </wp:inline>
        </w:drawing>
      </w:r>
      <w:r>
        <w:rPr>
          <w:rFonts w:hint="eastAsia" w:ascii="方正小标宋简体" w:hAnsi="黑体" w:eastAsia="方正小标宋简体" w:cs="宋体"/>
          <w:szCs w:val="21"/>
          <w:lang w:bidi="ug-CN"/>
        </w:rPr>
        <w:t xml:space="preserve"> </w:t>
      </w:r>
    </w:p>
    <w:p>
      <w:pPr>
        <w:adjustRightInd w:val="0"/>
        <w:snapToGrid w:val="0"/>
        <w:jc w:val="center"/>
        <w:rPr>
          <w:rFonts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（图3）</w:t>
      </w:r>
    </w:p>
    <w:p>
      <w:pPr>
        <w:adjustRightInd w:val="0"/>
        <w:snapToGrid w:val="0"/>
        <w:spacing w:line="54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（四）</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异侧存在障碍物的，测量按直角分段绕过障碍物测量，分段距离之和即为</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间的距离。（如图4所示）</w:t>
      </w:r>
    </w:p>
    <w:p>
      <w:pPr>
        <w:adjustRightInd w:val="0"/>
        <w:snapToGrid w:val="0"/>
        <w:jc w:val="center"/>
        <w:rPr>
          <w:rFonts w:ascii="仿宋_GB2312" w:hAnsi="仿宋" w:eastAsia="仿宋_GB2312" w:cs="宋体"/>
          <w:szCs w:val="32"/>
          <w:lang w:bidi="ug-CN"/>
        </w:rPr>
      </w:pPr>
      <w:r>
        <w:rPr>
          <w:rFonts w:ascii="仿宋_GB2312" w:hAnsi="仿宋" w:eastAsia="仿宋_GB2312" w:cs="宋体"/>
          <w:szCs w:val="32"/>
        </w:rPr>
        <w:drawing>
          <wp:inline distT="0" distB="0" distL="114300" distR="114300">
            <wp:extent cx="5216525" cy="2541905"/>
            <wp:effectExtent l="0" t="0" r="3175" b="10795"/>
            <wp:docPr id="21" name="图片 10"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dd78379a879eff09d01d29da191c60a"/>
                    <pic:cNvPicPr>
                      <a:picLocks noChangeAspect="1"/>
                    </pic:cNvPicPr>
                  </pic:nvPicPr>
                  <pic:blipFill>
                    <a:blip r:embed="rId9" cstate="print"/>
                    <a:stretch>
                      <a:fillRect/>
                    </a:stretch>
                  </pic:blipFill>
                  <pic:spPr>
                    <a:xfrm>
                      <a:off x="0" y="0"/>
                      <a:ext cx="5216525" cy="2541905"/>
                    </a:xfrm>
                    <a:prstGeom prst="rect">
                      <a:avLst/>
                    </a:prstGeom>
                    <a:noFill/>
                    <a:ln>
                      <a:noFill/>
                    </a:ln>
                  </pic:spPr>
                </pic:pic>
              </a:graphicData>
            </a:graphic>
          </wp:inline>
        </w:drawing>
      </w:r>
      <w:r>
        <w:rPr>
          <w:rFonts w:hint="eastAsia" w:ascii="仿宋_GB2312" w:hAnsi="仿宋" w:eastAsia="仿宋_GB2312" w:cs="宋体"/>
          <w:szCs w:val="32"/>
          <w:lang w:bidi="ug-CN"/>
        </w:rPr>
        <w:t xml:space="preserve"> </w:t>
      </w:r>
    </w:p>
    <w:p>
      <w:pPr>
        <w:adjustRightInd w:val="0"/>
        <w:snapToGrid w:val="0"/>
        <w:jc w:val="center"/>
        <w:rPr>
          <w:rFonts w:ascii="仿宋_GB2312" w:hAnsi="仿宋" w:eastAsia="仿宋_GB2312" w:cs="宋体"/>
          <w:sz w:val="32"/>
          <w:szCs w:val="32"/>
          <w:lang w:bidi="ug-CN"/>
        </w:rPr>
      </w:pPr>
      <w:r>
        <w:rPr>
          <w:rFonts w:hint="eastAsia" w:ascii="仿宋_GB2312" w:hAnsi="宋体" w:eastAsia="仿宋_GB2312" w:cs="宋体"/>
          <w:kern w:val="0"/>
          <w:sz w:val="32"/>
          <w:szCs w:val="32"/>
          <w:lang w:bidi="ug-CN"/>
        </w:rPr>
        <w:t>（图4）</w:t>
      </w:r>
    </w:p>
    <w:p>
      <w:pPr>
        <w:adjustRightInd w:val="0"/>
        <w:snapToGrid w:val="0"/>
        <w:spacing w:line="60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（五）</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黑体" w:eastAsia="仿宋_GB2312" w:cs="宋体"/>
          <w:sz w:val="32"/>
          <w:szCs w:val="32"/>
          <w:lang w:bidi="ug-CN"/>
        </w:rPr>
        <w:t>之间</w:t>
      </w:r>
      <w:r>
        <w:rPr>
          <w:rFonts w:hint="eastAsia" w:ascii="仿宋_GB2312" w:hAnsi="仿宋" w:eastAsia="仿宋_GB2312" w:cs="宋体"/>
          <w:sz w:val="32"/>
          <w:szCs w:val="32"/>
          <w:lang w:bidi="ug-CN"/>
        </w:rPr>
        <w:t>道路存在有转角的，按直角分段测量最短距离。（如图5所示）</w:t>
      </w:r>
    </w:p>
    <w:p>
      <w:pPr>
        <w:adjustRightInd w:val="0"/>
        <w:snapToGrid w:val="0"/>
        <w:ind w:firstLine="464" w:firstLineChars="221"/>
        <w:jc w:val="center"/>
        <w:rPr>
          <w:rFonts w:ascii="仿宋_GB2312" w:hAnsi="仿宋" w:eastAsia="仿宋_GB2312" w:cs="宋体"/>
          <w:szCs w:val="32"/>
          <w:lang w:bidi="ug-CN"/>
        </w:rPr>
      </w:pPr>
      <w:r>
        <w:rPr>
          <w:rFonts w:ascii="方正小标宋简体" w:hAnsi="黑体" w:eastAsia="方正小标宋简体" w:cs="宋体"/>
          <w:szCs w:val="32"/>
        </w:rPr>
        <w:drawing>
          <wp:inline distT="0" distB="0" distL="114300" distR="114300">
            <wp:extent cx="4981575" cy="3550920"/>
            <wp:effectExtent l="0" t="0" r="9525" b="11430"/>
            <wp:docPr id="22" name="图片 11"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ed8a6ec6b6efd4edc83e191d2ec4415"/>
                    <pic:cNvPicPr>
                      <a:picLocks noChangeAspect="1"/>
                    </pic:cNvPicPr>
                  </pic:nvPicPr>
                  <pic:blipFill>
                    <a:blip r:embed="rId10" cstate="print"/>
                    <a:stretch>
                      <a:fillRect/>
                    </a:stretch>
                  </pic:blipFill>
                  <pic:spPr>
                    <a:xfrm>
                      <a:off x="0" y="0"/>
                      <a:ext cx="4981575" cy="3550920"/>
                    </a:xfrm>
                    <a:prstGeom prst="rect">
                      <a:avLst/>
                    </a:prstGeom>
                    <a:noFill/>
                    <a:ln>
                      <a:noFill/>
                    </a:ln>
                  </pic:spPr>
                </pic:pic>
              </a:graphicData>
            </a:graphic>
          </wp:inline>
        </w:drawing>
      </w:r>
      <w:r>
        <w:rPr>
          <w:rFonts w:hint="eastAsia" w:ascii="方正小标宋简体" w:hAnsi="黑体" w:eastAsia="方正小标宋简体" w:cs="宋体"/>
          <w:sz w:val="32"/>
          <w:szCs w:val="32"/>
          <w:lang w:bidi="ug-CN"/>
        </w:rPr>
        <w:t>（</w:t>
      </w:r>
      <w:r>
        <w:rPr>
          <w:rFonts w:hint="eastAsia" w:ascii="仿宋_GB2312" w:hAnsi="宋体" w:eastAsia="仿宋_GB2312" w:cs="宋体"/>
          <w:kern w:val="0"/>
          <w:sz w:val="32"/>
          <w:szCs w:val="32"/>
          <w:lang w:bidi="ug-CN"/>
        </w:rPr>
        <w:t>图5）</w:t>
      </w:r>
    </w:p>
    <w:p>
      <w:pPr>
        <w:adjustRightInd w:val="0"/>
        <w:snapToGrid w:val="0"/>
        <w:spacing w:line="60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（六）</w:t>
      </w:r>
      <w:r>
        <w:rPr>
          <w:rFonts w:hint="eastAsia" w:ascii="仿宋_GB2312" w:hAnsi="仿宋_GB2312" w:eastAsia="仿宋_GB2312" w:cs="仿宋_GB2312"/>
          <w:sz w:val="32"/>
          <w:szCs w:val="32"/>
          <w:lang w:bidi="ug-CN"/>
        </w:rPr>
        <w:t>申请人的经营场所与最近零售点的经营场所</w:t>
      </w:r>
      <w:r>
        <w:rPr>
          <w:rFonts w:hint="eastAsia" w:ascii="仿宋_GB2312" w:hAnsi="仿宋" w:eastAsia="仿宋_GB2312" w:cs="宋体"/>
          <w:sz w:val="32"/>
          <w:szCs w:val="32"/>
          <w:lang w:bidi="ug-CN"/>
        </w:rPr>
        <w:t>之间有台阶、楼梯的，以其平面坡长进行测量（如图6所示）；有电梯的，以层高进行测量；楼梯与电梯并存的，以最短距离的为准。</w:t>
      </w:r>
    </w:p>
    <w:p>
      <w:pPr>
        <w:adjustRightInd w:val="0"/>
        <w:snapToGrid w:val="0"/>
        <w:jc w:val="center"/>
        <w:rPr>
          <w:rFonts w:ascii="仿宋_GB2312" w:hAnsi="黑体" w:eastAsia="仿宋_GB2312" w:cs="宋体"/>
          <w:szCs w:val="32"/>
          <w:lang w:bidi="ug-CN"/>
        </w:rPr>
      </w:pPr>
      <w:r>
        <w:rPr>
          <w:rFonts w:ascii="仿宋_GB2312" w:hAnsi="黑体" w:eastAsia="仿宋_GB2312" w:cs="宋体"/>
          <w:szCs w:val="32"/>
        </w:rPr>
        <w:drawing>
          <wp:inline distT="0" distB="0" distL="114300" distR="114300">
            <wp:extent cx="4681855" cy="2112010"/>
            <wp:effectExtent l="0" t="0" r="4445" b="2540"/>
            <wp:docPr id="23" name="图片 12"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8746ca3c29c4409ceed41e0fc329b28"/>
                    <pic:cNvPicPr>
                      <a:picLocks noChangeAspect="1"/>
                    </pic:cNvPicPr>
                  </pic:nvPicPr>
                  <pic:blipFill>
                    <a:blip r:embed="rId11" cstate="print"/>
                    <a:stretch>
                      <a:fillRect/>
                    </a:stretch>
                  </pic:blipFill>
                  <pic:spPr>
                    <a:xfrm>
                      <a:off x="0" y="0"/>
                      <a:ext cx="4681855" cy="2112010"/>
                    </a:xfrm>
                    <a:prstGeom prst="rect">
                      <a:avLst/>
                    </a:prstGeom>
                    <a:noFill/>
                    <a:ln>
                      <a:noFill/>
                    </a:ln>
                  </pic:spPr>
                </pic:pic>
              </a:graphicData>
            </a:graphic>
          </wp:inline>
        </w:drawing>
      </w:r>
    </w:p>
    <w:p>
      <w:pPr>
        <w:adjustRightInd w:val="0"/>
        <w:snapToGrid w:val="0"/>
        <w:jc w:val="center"/>
        <w:rPr>
          <w:rFonts w:ascii="仿宋_GB2312" w:hAnsi="仿宋" w:eastAsia="仿宋_GB2312" w:cs="宋体"/>
          <w:szCs w:val="32"/>
          <w:lang w:bidi="ug-CN"/>
        </w:rPr>
      </w:pPr>
      <w:r>
        <w:rPr>
          <w:rFonts w:hint="eastAsia" w:ascii="仿宋_GB2312" w:hAnsi="黑体" w:eastAsia="仿宋_GB2312" w:cs="宋体"/>
          <w:sz w:val="32"/>
          <w:szCs w:val="32"/>
          <w:lang w:bidi="ug-CN"/>
        </w:rPr>
        <w:t>（</w:t>
      </w:r>
      <w:r>
        <w:rPr>
          <w:rFonts w:hint="eastAsia" w:ascii="仿宋_GB2312" w:hAnsi="仿宋" w:eastAsia="仿宋_GB2312" w:cs="宋体"/>
          <w:sz w:val="32"/>
          <w:szCs w:val="32"/>
          <w:lang w:bidi="ug-CN"/>
        </w:rPr>
        <w:t>图6）</w:t>
      </w:r>
    </w:p>
    <w:p>
      <w:pPr>
        <w:adjustRightInd w:val="0"/>
        <w:snapToGrid w:val="0"/>
        <w:spacing w:line="600" w:lineRule="exact"/>
        <w:ind w:firstLine="640" w:firstLineChars="200"/>
        <w:rPr>
          <w:rFonts w:ascii="仿宋_GB2312" w:hAnsi="仿宋" w:eastAsia="仿宋_GB2312" w:cs="宋体"/>
          <w:sz w:val="32"/>
          <w:szCs w:val="32"/>
          <w:lang w:bidi="ug-CN"/>
        </w:rPr>
      </w:pPr>
      <w:r>
        <w:rPr>
          <w:rFonts w:hint="eastAsia" w:ascii="仿宋_GB2312" w:hAnsi="仿宋" w:eastAsia="仿宋_GB2312" w:cs="宋体"/>
          <w:sz w:val="32"/>
          <w:szCs w:val="32"/>
          <w:lang w:bidi="ug-CN"/>
        </w:rPr>
        <w:t>（七）以中小学校、</w:t>
      </w:r>
      <w:r>
        <w:rPr>
          <w:rFonts w:hint="eastAsia" w:ascii="仿宋_GB2312" w:hAnsi="黑体" w:eastAsia="仿宋_GB2312" w:cs="宋体"/>
          <w:sz w:val="32"/>
          <w:szCs w:val="32"/>
          <w:lang w:bidi="ug-CN"/>
        </w:rPr>
        <w:t>幼儿园进出口</w:t>
      </w:r>
      <w:r>
        <w:rPr>
          <w:rFonts w:hint="eastAsia" w:ascii="仿宋_GB2312" w:hAnsi="宋体" w:eastAsia="仿宋_GB2312" w:cs="宋体"/>
          <w:kern w:val="32"/>
          <w:sz w:val="32"/>
          <w:szCs w:val="32"/>
          <w:lang w:bidi="ug-CN"/>
        </w:rPr>
        <w:t>通道为</w:t>
      </w:r>
      <w:r>
        <w:rPr>
          <w:rFonts w:hint="eastAsia" w:ascii="仿宋_GB2312" w:hAnsi="黑体" w:eastAsia="仿宋_GB2312" w:cs="宋体"/>
          <w:sz w:val="32"/>
          <w:szCs w:val="32"/>
          <w:lang w:bidi="ug-CN"/>
        </w:rPr>
        <w:t>参照点的,参照上述方式进行测量。</w:t>
      </w:r>
    </w:p>
    <w:p>
      <w:pPr>
        <w:snapToGrid w:val="0"/>
        <w:spacing w:line="560" w:lineRule="exact"/>
        <w:ind w:firstLine="640" w:firstLineChars="200"/>
        <w:jc w:val="left"/>
        <w:rPr>
          <w:rFonts w:ascii="仿宋_GB2312" w:hAnsi="仿宋" w:eastAsia="仿宋_GB2312" w:cs="宋体"/>
          <w:sz w:val="32"/>
          <w:szCs w:val="32"/>
          <w:lang w:bidi="ug-CN"/>
        </w:rPr>
      </w:pPr>
      <w:r>
        <w:rPr>
          <w:rFonts w:hint="eastAsia" w:ascii="仿宋_GB2312" w:hAnsi="仿宋" w:eastAsia="仿宋_GB2312" w:cs="宋体"/>
          <w:sz w:val="32"/>
          <w:szCs w:val="32"/>
          <w:lang w:bidi="ug-CN"/>
        </w:rPr>
        <w:t>（八）市场、封闭式小区内、广场等区域零售点间距测量方法均以原设计道路、人行通道等行人正常安全行走</w:t>
      </w:r>
      <w:r>
        <w:rPr>
          <w:rFonts w:hint="eastAsia" w:ascii="仿宋_GB2312" w:hAnsi="宋体" w:eastAsia="仿宋_GB2312" w:cs="宋体"/>
          <w:kern w:val="0"/>
          <w:sz w:val="32"/>
          <w:szCs w:val="32"/>
          <w:lang w:bidi="ug-CN"/>
        </w:rPr>
        <w:t>的最短距离进行测量。</w:t>
      </w:r>
    </w:p>
    <w:p>
      <w:pPr>
        <w:adjustRightInd w:val="0"/>
        <w:snapToGrid w:val="0"/>
        <w:spacing w:line="60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（九）特殊地形测量：因地形、地貌或设计等原因导致道路、通道成不规则形态，通过前述方法无法测量的，取可安全通行路径最近距离进行测量。</w:t>
      </w:r>
    </w:p>
    <w:p>
      <w:pPr>
        <w:adjustRightInd w:val="0"/>
        <w:snapToGrid w:val="0"/>
        <w:spacing w:line="600" w:lineRule="exact"/>
        <w:ind w:firstLine="707" w:firstLineChars="221"/>
        <w:rPr>
          <w:rFonts w:ascii="仿宋_GB2312" w:hAnsi="仿宋" w:eastAsia="仿宋_GB2312" w:cs="宋体"/>
          <w:sz w:val="32"/>
          <w:szCs w:val="32"/>
          <w:lang w:bidi="ug-CN"/>
        </w:rPr>
      </w:pPr>
      <w:r>
        <w:rPr>
          <w:rFonts w:hint="eastAsia" w:ascii="仿宋_GB2312" w:hAnsi="仿宋" w:eastAsia="仿宋_GB2312" w:cs="宋体"/>
          <w:sz w:val="32"/>
          <w:szCs w:val="32"/>
          <w:lang w:bidi="ug-CN"/>
        </w:rPr>
        <w:t>（十）</w:t>
      </w:r>
      <w:r>
        <w:rPr>
          <w:rFonts w:hint="eastAsia" w:ascii="仿宋_GB2312" w:hAnsi="黑体" w:eastAsia="仿宋_GB2312" w:cs="宋体"/>
          <w:sz w:val="32"/>
          <w:szCs w:val="32"/>
          <w:lang w:bidi="ug-CN"/>
        </w:rPr>
        <w:t>测量工具使用符合国家统一标准的测量工具。</w:t>
      </w:r>
      <w:bookmarkStart w:id="0" w:name="DocEnd"/>
      <w:bookmarkEnd w:id="0"/>
      <w:bookmarkStart w:id="1" w:name="ContentEnd"/>
      <w:bookmarkEnd w:id="1"/>
    </w:p>
    <w:p>
      <w:pPr>
        <w:tabs>
          <w:tab w:val="left" w:pos="2100"/>
        </w:tabs>
        <w:spacing w:line="579" w:lineRule="exact"/>
        <w:rPr>
          <w:rFonts w:ascii="仿宋_GB2312" w:hAnsi="仿宋_GB2312" w:eastAsia="仿宋_GB2312" w:cs="仿宋_GB2312"/>
          <w:sz w:val="32"/>
        </w:rPr>
      </w:pPr>
    </w:p>
    <w:p>
      <w:pPr>
        <w:spacing w:line="360" w:lineRule="auto"/>
        <w:ind w:firstLine="640"/>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spacing w:line="360" w:lineRule="auto"/>
        <w:jc w:val="left"/>
        <w:rPr>
          <w:rFonts w:ascii="仿宋_GB2312" w:eastAsia="仿宋_GB2312"/>
          <w:sz w:val="32"/>
          <w:szCs w:val="32"/>
        </w:rPr>
      </w:pPr>
      <w:r>
        <w:rPr>
          <w:rFonts w:hint="eastAsia" w:ascii="仿宋_GB2312" w:eastAsia="仿宋_GB2312"/>
          <w:sz w:val="32"/>
          <w:szCs w:val="32"/>
        </w:rPr>
        <w:t>附件2：                                 陇县城市布局图</w:t>
      </w:r>
    </w:p>
    <w:p>
      <w:pPr>
        <w:spacing w:line="360" w:lineRule="auto"/>
        <w:jc w:val="left"/>
        <w:rPr>
          <w:rFonts w:ascii="仿宋_GB2312" w:hAnsi="仿宋_GB2312" w:eastAsia="仿宋_GB2312" w:cs="仿宋_GB2312"/>
          <w:sz w:val="32"/>
        </w:rPr>
      </w:pPr>
    </w:p>
    <w:p>
      <w:pPr>
        <w:tabs>
          <w:tab w:val="left" w:pos="2100"/>
        </w:tabs>
        <w:rPr>
          <w:rFonts w:ascii="仿宋_GB2312" w:hAnsi="仿宋_GB2312" w:eastAsia="仿宋_GB2312" w:cs="仿宋_GB2312"/>
          <w:sz w:val="32"/>
        </w:rPr>
      </w:pPr>
      <w:r>
        <w:rPr>
          <w:rFonts w:hint="eastAsia" w:ascii="仿宋_GB2312" w:hAnsi="仿宋_GB2312" w:eastAsia="仿宋_GB2312" w:cs="仿宋_GB2312"/>
          <w:sz w:val="32"/>
        </w:rPr>
        <w:drawing>
          <wp:inline distT="0" distB="0" distL="114300" distR="114300">
            <wp:extent cx="8862060" cy="4333875"/>
            <wp:effectExtent l="0" t="0" r="7620" b="9525"/>
            <wp:docPr id="10" name="图片 10" descr="169831722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8317226793"/>
                    <pic:cNvPicPr>
                      <a:picLocks noChangeAspect="1"/>
                    </pic:cNvPicPr>
                  </pic:nvPicPr>
                  <pic:blipFill>
                    <a:blip r:embed="rId12" cstate="print"/>
                    <a:stretch>
                      <a:fillRect/>
                    </a:stretch>
                  </pic:blipFill>
                  <pic:spPr>
                    <a:xfrm>
                      <a:off x="0" y="0"/>
                      <a:ext cx="8862060" cy="4333875"/>
                    </a:xfrm>
                    <a:prstGeom prst="rect">
                      <a:avLst/>
                    </a:prstGeom>
                  </pic:spPr>
                </pic:pic>
              </a:graphicData>
            </a:graphic>
          </wp:inline>
        </w:drawing>
      </w:r>
    </w:p>
    <w:p>
      <w:pPr>
        <w:tabs>
          <w:tab w:val="left" w:pos="2100"/>
        </w:tabs>
        <w:spacing w:line="579" w:lineRule="exact"/>
        <w:rPr>
          <w:rFonts w:ascii="方正小标宋简体" w:hAnsi="方正小标宋简体" w:eastAsia="仿宋_GB2312" w:cs="方正小标宋简体"/>
          <w:b/>
          <w:bCs/>
          <w:sz w:val="30"/>
          <w:szCs w:val="30"/>
        </w:rPr>
      </w:pPr>
      <w:r>
        <w:rPr>
          <w:rFonts w:hint="eastAsia" w:ascii="仿宋_GB2312" w:hAnsi="仿宋_GB2312" w:eastAsia="仿宋_GB2312" w:cs="仿宋_GB2312"/>
          <w:b/>
          <w:bCs/>
          <w:sz w:val="30"/>
          <w:szCs w:val="30"/>
        </w:rPr>
        <w:t>附件3</w:t>
      </w:r>
    </w:p>
    <w:p>
      <w:pPr>
        <w:tabs>
          <w:tab w:val="left" w:pos="2100"/>
        </w:tabs>
        <w:spacing w:line="579" w:lineRule="exact"/>
        <w:jc w:val="center"/>
        <w:rPr>
          <w:rFonts w:ascii="仿宋_GB2312" w:hAnsi="仿宋_GB2312" w:eastAsia="方正小标宋简体" w:cs="仿宋_GB2312"/>
          <w:sz w:val="44"/>
          <w:szCs w:val="44"/>
        </w:rPr>
      </w:pPr>
      <w:r>
        <w:rPr>
          <w:rFonts w:hint="eastAsia" w:ascii="方正小标宋简体" w:hAnsi="方正小标宋简体" w:eastAsia="方正小标宋简体" w:cs="方正小标宋简体"/>
          <w:sz w:val="44"/>
          <w:szCs w:val="44"/>
        </w:rPr>
        <w:t>陇县烟草制品零售点单元规划表（城区）</w:t>
      </w:r>
    </w:p>
    <w:tbl>
      <w:tblPr>
        <w:tblStyle w:val="7"/>
        <w:tblW w:w="14582" w:type="dxa"/>
        <w:tblInd w:w="-176" w:type="dxa"/>
        <w:tblLayout w:type="fixed"/>
        <w:tblCellMar>
          <w:top w:w="0" w:type="dxa"/>
          <w:left w:w="108" w:type="dxa"/>
          <w:bottom w:w="0" w:type="dxa"/>
          <w:right w:w="108" w:type="dxa"/>
        </w:tblCellMar>
      </w:tblPr>
      <w:tblGrid>
        <w:gridCol w:w="832"/>
        <w:gridCol w:w="1570"/>
        <w:gridCol w:w="4605"/>
        <w:gridCol w:w="1200"/>
        <w:gridCol w:w="1163"/>
        <w:gridCol w:w="1025"/>
        <w:gridCol w:w="1000"/>
        <w:gridCol w:w="1250"/>
        <w:gridCol w:w="1937"/>
      </w:tblGrid>
      <w:tr>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sz w:val="24"/>
              </w:rPr>
              <w:t>单元</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单元格</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划定界限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距离（米）</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拟布局数量(个)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现存数量(个)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增减(个)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区域网格划分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731" w:hRule="atLeast"/>
        </w:trPr>
        <w:tc>
          <w:tcPr>
            <w:tcW w:w="832"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城区</w:t>
            </w:r>
          </w:p>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东大街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东起泰和广场</w:t>
            </w:r>
          </w:p>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西至西门广场红绿灯十字及周边辅路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1625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棚户区改造发展区域</w:t>
            </w:r>
          </w:p>
        </w:tc>
      </w:tr>
      <w:tr>
        <w:tblPrEx>
          <w:tblCellMar>
            <w:top w:w="0" w:type="dxa"/>
            <w:left w:w="108" w:type="dxa"/>
            <w:bottom w:w="0" w:type="dxa"/>
            <w:right w:w="108" w:type="dxa"/>
          </w:tblCellMar>
        </w:tblPrEx>
        <w:trPr>
          <w:trHeight w:val="839"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西大街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kern w:val="0"/>
                <w:sz w:val="24"/>
              </w:rPr>
              <w:t>东起</w:t>
            </w:r>
            <w:r>
              <w:rPr>
                <w:rFonts w:hint="eastAsia" w:ascii="仿宋_GB2312" w:hAnsi="宋体" w:eastAsia="仿宋_GB2312" w:cs="宋体"/>
                <w:bCs/>
                <w:sz w:val="24"/>
              </w:rPr>
              <w:t>西门广场红绿灯十字</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西至宝平路西关十字及周边辅路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1645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Style w:val="11"/>
                <w:rFonts w:hint="default" w:ascii="仿宋_GB2312" w:eastAsia="仿宋_GB2312"/>
                <w:bCs/>
                <w:color w:val="auto"/>
                <w:sz w:val="24"/>
                <w:szCs w:val="24"/>
              </w:rPr>
              <w:t>商业繁华区域</w:t>
            </w:r>
          </w:p>
        </w:tc>
      </w:tr>
      <w:tr>
        <w:tblPrEx>
          <w:tblCellMar>
            <w:top w:w="0" w:type="dxa"/>
            <w:left w:w="108" w:type="dxa"/>
            <w:bottom w:w="0" w:type="dxa"/>
            <w:right w:w="108" w:type="dxa"/>
          </w:tblCellMar>
        </w:tblPrEx>
        <w:trPr>
          <w:trHeight w:val="696"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南大街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kern w:val="0"/>
                <w:sz w:val="24"/>
              </w:rPr>
              <w:t>北起</w:t>
            </w:r>
            <w:r>
              <w:rPr>
                <w:rFonts w:hint="eastAsia" w:ascii="仿宋_GB2312" w:hAnsi="宋体" w:eastAsia="仿宋_GB2312" w:cs="宋体"/>
                <w:bCs/>
                <w:sz w:val="24"/>
              </w:rPr>
              <w:t>西门广场红绿灯十字</w:t>
            </w:r>
          </w:p>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kern w:val="0"/>
                <w:sz w:val="24"/>
              </w:rPr>
              <w:t>南至南河大桥十字及周边辅路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2260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商业繁华区域</w:t>
            </w:r>
          </w:p>
        </w:tc>
      </w:tr>
      <w:tr>
        <w:tblPrEx>
          <w:tblCellMar>
            <w:top w:w="0" w:type="dxa"/>
            <w:left w:w="108" w:type="dxa"/>
            <w:bottom w:w="0" w:type="dxa"/>
            <w:right w:w="108" w:type="dxa"/>
          </w:tblCellMar>
        </w:tblPrEx>
        <w:trPr>
          <w:trHeight w:val="694"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北大街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kern w:val="0"/>
                <w:sz w:val="24"/>
              </w:rPr>
              <w:t>北起北河大桥桥南</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南至尚德路交叉口及周边辅路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1240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Style w:val="11"/>
                <w:rFonts w:hint="default" w:ascii="仿宋_GB2312" w:eastAsia="仿宋_GB2312"/>
                <w:bCs/>
                <w:color w:val="auto"/>
                <w:sz w:val="24"/>
                <w:szCs w:val="24"/>
              </w:rPr>
              <w:t>商业繁华区域</w:t>
            </w:r>
          </w:p>
        </w:tc>
      </w:tr>
      <w:tr>
        <w:tblPrEx>
          <w:tblCellMar>
            <w:top w:w="0" w:type="dxa"/>
            <w:left w:w="108" w:type="dxa"/>
            <w:bottom w:w="0" w:type="dxa"/>
            <w:right w:w="108" w:type="dxa"/>
          </w:tblCellMar>
        </w:tblPrEx>
        <w:trPr>
          <w:trHeight w:val="771"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尚德路</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东起和氏大厦</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西至宝平路陇马路十字及周边辅路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1865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人口稠密区域</w:t>
            </w:r>
          </w:p>
        </w:tc>
      </w:tr>
      <w:tr>
        <w:tblPrEx>
          <w:tblCellMar>
            <w:top w:w="0" w:type="dxa"/>
            <w:left w:w="108" w:type="dxa"/>
            <w:bottom w:w="0" w:type="dxa"/>
            <w:right w:w="108" w:type="dxa"/>
          </w:tblCellMar>
        </w:tblPrEx>
        <w:trPr>
          <w:trHeight w:val="540"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秦源东路</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东起迎宾大道交叉口</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西至北河大桥桥北交叉口及周边辅路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440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kern w:val="0"/>
                <w:sz w:val="24"/>
              </w:rPr>
            </w:pPr>
            <w:r>
              <w:rPr>
                <w:rFonts w:hint="eastAsia" w:ascii="仿宋_GB2312" w:hAnsi="宋体" w:eastAsia="仿宋_GB2312" w:cs="宋体"/>
                <w:bCs/>
                <w:kern w:val="0"/>
                <w:sz w:val="24"/>
              </w:rPr>
              <w:t>餐饮及住宅集中区</w:t>
            </w:r>
          </w:p>
        </w:tc>
      </w:tr>
      <w:tr>
        <w:tblPrEx>
          <w:tblCellMar>
            <w:top w:w="0" w:type="dxa"/>
            <w:left w:w="108" w:type="dxa"/>
            <w:bottom w:w="0" w:type="dxa"/>
            <w:right w:w="108" w:type="dxa"/>
          </w:tblCellMar>
        </w:tblPrEx>
        <w:trPr>
          <w:trHeight w:val="795"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南岸新城</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kern w:val="0"/>
                <w:sz w:val="24"/>
              </w:rPr>
              <w:t>东起高速路口十字</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西至千邑路十字及周边辅路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42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kern w:val="0"/>
                <w:sz w:val="24"/>
              </w:rPr>
            </w:pPr>
            <w:r>
              <w:rPr>
                <w:rFonts w:hint="eastAsia" w:ascii="仿宋_GB2312" w:hAnsi="宋体" w:eastAsia="仿宋_GB2312" w:cs="宋体"/>
                <w:bCs/>
                <w:kern w:val="0"/>
                <w:sz w:val="24"/>
              </w:rPr>
              <w:t>商业及住宅集中区</w:t>
            </w:r>
          </w:p>
        </w:tc>
      </w:tr>
      <w:tr>
        <w:tblPrEx>
          <w:tblCellMar>
            <w:top w:w="0" w:type="dxa"/>
            <w:left w:w="108" w:type="dxa"/>
            <w:bottom w:w="0" w:type="dxa"/>
            <w:right w:w="108" w:type="dxa"/>
          </w:tblCellMar>
        </w:tblPrEx>
        <w:trPr>
          <w:trHeight w:val="607" w:hRule="atLeast"/>
        </w:trPr>
        <w:tc>
          <w:tcPr>
            <w:tcW w:w="832"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南道巷</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kern w:val="0"/>
                <w:sz w:val="24"/>
              </w:rPr>
              <w:t>东起南街中段交叉口</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西至南大街中段交叉口及周边辅路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445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844" w:hRule="atLeast"/>
        </w:trPr>
        <w:tc>
          <w:tcPr>
            <w:tcW w:w="83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sz w:val="24"/>
              </w:rPr>
              <w:t>单元</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单元格</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划定界限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距离（米）</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拟布局数量(个)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现存数量(个)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增减(个)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区域网格划分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843" w:hRule="atLeast"/>
        </w:trPr>
        <w:tc>
          <w:tcPr>
            <w:tcW w:w="832" w:type="dxa"/>
            <w:vMerge w:val="restart"/>
            <w:tcBorders>
              <w:top w:val="single" w:color="auto"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p>
          <w:p>
            <w:pPr>
              <w:snapToGrid w:val="0"/>
              <w:jc w:val="center"/>
              <w:textAlignment w:val="center"/>
              <w:rPr>
                <w:rFonts w:ascii="仿宋_GB2312" w:hAnsi="宋体" w:eastAsia="仿宋_GB2312" w:cs="宋体"/>
                <w:b/>
                <w:bCs/>
                <w:sz w:val="24"/>
              </w:rPr>
            </w:pPr>
            <w:r>
              <w:rPr>
                <w:rFonts w:hint="eastAsia" w:ascii="仿宋_GB2312" w:hAnsi="宋体" w:eastAsia="仿宋_GB2312" w:cs="宋体"/>
                <w:bCs/>
                <w:sz w:val="24"/>
              </w:rPr>
              <w:t>城区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儒林巷</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北起东大街武装部交叉口</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南至南道巷中段交叉口及周边辅路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305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684" w:hRule="atLeast"/>
        </w:trPr>
        <w:tc>
          <w:tcPr>
            <w:tcW w:w="832" w:type="dxa"/>
            <w:vMerge w:val="continue"/>
            <w:tcBorders>
              <w:left w:val="single" w:color="000000" w:sz="4" w:space="0"/>
              <w:right w:val="single" w:color="000000" w:sz="4" w:space="0"/>
            </w:tcBorders>
            <w:shd w:val="clear" w:color="auto" w:fill="auto"/>
            <w:vAlign w:val="center"/>
          </w:tcPr>
          <w:p>
            <w:pPr>
              <w:snapToGrid w:val="0"/>
              <w:jc w:val="center"/>
              <w:textAlignment w:val="center"/>
              <w:rPr>
                <w:rFonts w:ascii="仿宋_GB2312" w:hAnsi="宋体" w:eastAsia="仿宋_GB2312" w:cs="宋体"/>
                <w:b/>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崇文路</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ind w:firstLine="480" w:firstLineChars="20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东起崇文路路东</w:t>
            </w:r>
          </w:p>
          <w:p>
            <w:pPr>
              <w:widowControl/>
              <w:snapToGrid w:val="0"/>
              <w:ind w:firstLine="480" w:firstLineChars="20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西至赵家坡村以西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530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规划发展区域</w:t>
            </w:r>
          </w:p>
        </w:tc>
      </w:tr>
      <w:tr>
        <w:tblPrEx>
          <w:tblCellMar>
            <w:top w:w="0" w:type="dxa"/>
            <w:left w:w="108" w:type="dxa"/>
            <w:bottom w:w="0" w:type="dxa"/>
            <w:right w:w="108" w:type="dxa"/>
          </w:tblCellMar>
        </w:tblPrEx>
        <w:trPr>
          <w:trHeight w:val="850" w:hRule="atLeast"/>
        </w:trPr>
        <w:tc>
          <w:tcPr>
            <w:tcW w:w="832" w:type="dxa"/>
            <w:vMerge w:val="continue"/>
            <w:tcBorders>
              <w:left w:val="single" w:color="000000" w:sz="4" w:space="0"/>
              <w:right w:val="single" w:color="000000" w:sz="4" w:space="0"/>
            </w:tcBorders>
            <w:shd w:val="clear" w:color="auto" w:fill="auto"/>
            <w:vAlign w:val="center"/>
          </w:tcPr>
          <w:p>
            <w:pPr>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新民路</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北起县医院西侧</w:t>
            </w:r>
            <w:r>
              <w:rPr>
                <w:rFonts w:hint="eastAsia" w:ascii="仿宋_GB2312" w:hAnsi="宋体" w:eastAsia="仿宋_GB2312" w:cs="宋体"/>
                <w:bCs/>
                <w:kern w:val="0"/>
                <w:sz w:val="24"/>
              </w:rPr>
              <w:br w:type="textWrapping"/>
            </w:r>
            <w:r>
              <w:rPr>
                <w:rFonts w:hint="eastAsia" w:ascii="仿宋_GB2312" w:hAnsi="宋体" w:eastAsia="仿宋_GB2312" w:cs="宋体"/>
                <w:bCs/>
                <w:kern w:val="0"/>
                <w:sz w:val="24"/>
              </w:rPr>
              <w:t>南至崇文路交叉口及周边辅路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435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847"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宝平路（城区段）</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东起迎宾大道</w:t>
            </w:r>
          </w:p>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西至环城公路交叉口</w:t>
            </w:r>
            <w:r>
              <w:rPr>
                <w:rFonts w:hint="eastAsia" w:ascii="仿宋_GB2312" w:hAnsi="宋体" w:eastAsia="仿宋_GB2312" w:cs="宋体"/>
                <w:bCs/>
                <w:kern w:val="0"/>
                <w:sz w:val="24"/>
              </w:rPr>
              <w:t>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1020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规划发展区域</w:t>
            </w:r>
          </w:p>
        </w:tc>
      </w:tr>
      <w:tr>
        <w:tblPrEx>
          <w:tblCellMar>
            <w:top w:w="0" w:type="dxa"/>
            <w:left w:w="108" w:type="dxa"/>
            <w:bottom w:w="0" w:type="dxa"/>
            <w:right w:w="108" w:type="dxa"/>
          </w:tblCellMar>
        </w:tblPrEx>
        <w:trPr>
          <w:trHeight w:val="832"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南街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北起陇县中学红绿灯</w:t>
            </w:r>
          </w:p>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南至南河大桥红绿灯</w:t>
            </w:r>
            <w:r>
              <w:rPr>
                <w:rFonts w:hint="eastAsia" w:ascii="仿宋_GB2312" w:hAnsi="宋体" w:eastAsia="仿宋_GB2312" w:cs="宋体"/>
                <w:bCs/>
                <w:kern w:val="0"/>
                <w:sz w:val="24"/>
              </w:rPr>
              <w:t>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270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规划发展区域</w:t>
            </w:r>
          </w:p>
        </w:tc>
      </w:tr>
      <w:tr>
        <w:tblPrEx>
          <w:tblCellMar>
            <w:top w:w="0" w:type="dxa"/>
            <w:left w:w="108" w:type="dxa"/>
            <w:bottom w:w="0" w:type="dxa"/>
            <w:right w:w="108" w:type="dxa"/>
          </w:tblCellMar>
        </w:tblPrEx>
        <w:trPr>
          <w:trHeight w:val="843" w:hRule="atLeast"/>
        </w:trPr>
        <w:tc>
          <w:tcPr>
            <w:tcW w:w="832" w:type="dxa"/>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环城路（城区段）</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北起高速路口十字</w:t>
            </w:r>
          </w:p>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南至宝平路交叉口及周边辅路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245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规划发展区域</w:t>
            </w:r>
          </w:p>
        </w:tc>
      </w:tr>
      <w:tr>
        <w:tblPrEx>
          <w:tblCellMar>
            <w:top w:w="0" w:type="dxa"/>
            <w:left w:w="108" w:type="dxa"/>
            <w:bottom w:w="0" w:type="dxa"/>
            <w:right w:w="108" w:type="dxa"/>
          </w:tblCellMar>
        </w:tblPrEx>
        <w:trPr>
          <w:trHeight w:val="540" w:hRule="atLeast"/>
        </w:trPr>
        <w:tc>
          <w:tcPr>
            <w:tcW w:w="820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小计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7"/>
              <w:tblW w:w="3240" w:type="dxa"/>
              <w:tblInd w:w="0" w:type="dxa"/>
              <w:tblLayout w:type="fixed"/>
              <w:tblCellMar>
                <w:top w:w="0" w:type="dxa"/>
                <w:left w:w="108" w:type="dxa"/>
                <w:bottom w:w="0" w:type="dxa"/>
                <w:right w:w="108" w:type="dxa"/>
              </w:tblCellMar>
            </w:tblPr>
            <w:tblGrid>
              <w:gridCol w:w="1080"/>
              <w:gridCol w:w="1080"/>
              <w:gridCol w:w="1080"/>
            </w:tblGrid>
            <w:tr>
              <w:tblPrEx>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pPr>
                    <w:widowControl/>
                    <w:ind w:right="440"/>
                    <w:jc w:val="right"/>
                    <w:rPr>
                      <w:rFonts w:ascii="宋体" w:hAnsi="宋体" w:cs="宋体"/>
                      <w:b/>
                      <w:color w:val="000000"/>
                      <w:kern w:val="0"/>
                      <w:sz w:val="22"/>
                      <w:szCs w:val="22"/>
                    </w:rPr>
                  </w:pPr>
                  <w:r>
                    <w:rPr>
                      <w:rFonts w:hint="eastAsia" w:ascii="宋体" w:hAnsi="宋体" w:cs="宋体"/>
                      <w:b/>
                      <w:color w:val="000000"/>
                      <w:kern w:val="0"/>
                      <w:sz w:val="22"/>
                      <w:szCs w:val="22"/>
                    </w:rPr>
                    <w:t>281</w:t>
                  </w:r>
                </w:p>
              </w:tc>
              <w:tc>
                <w:tcPr>
                  <w:tcW w:w="1080" w:type="dxa"/>
                  <w:tcBorders>
                    <w:top w:val="nil"/>
                    <w:left w:val="nil"/>
                    <w:bottom w:val="nil"/>
                    <w:right w:val="nil"/>
                  </w:tcBorders>
                  <w:shd w:val="clear" w:color="auto" w:fill="auto"/>
                  <w:noWrap/>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252</w:t>
                  </w:r>
                </w:p>
              </w:tc>
              <w:tc>
                <w:tcPr>
                  <w:tcW w:w="1080" w:type="dxa"/>
                  <w:tcBorders>
                    <w:top w:val="nil"/>
                    <w:left w:val="nil"/>
                    <w:bottom w:val="nil"/>
                    <w:right w:val="nil"/>
                  </w:tcBorders>
                  <w:shd w:val="clear" w:color="auto" w:fill="auto"/>
                  <w:noWrap/>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29</w:t>
                  </w:r>
                </w:p>
              </w:tc>
            </w:tr>
          </w:tbl>
          <w:p>
            <w:pPr>
              <w:widowControl/>
              <w:snapToGrid w:val="0"/>
              <w:jc w:val="center"/>
              <w:textAlignment w:val="center"/>
              <w:rPr>
                <w:rStyle w:val="11"/>
                <w:rFonts w:hint="default" w:ascii="仿宋_GB2312" w:eastAsia="仿宋_GB2312"/>
                <w:b/>
                <w:bCs/>
                <w:color w:val="auto"/>
                <w:sz w:val="24"/>
                <w:szCs w:val="24"/>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252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bl>
    <w:p>
      <w:pPr>
        <w:tabs>
          <w:tab w:val="left" w:pos="2100"/>
        </w:tabs>
        <w:spacing w:line="579" w:lineRule="exact"/>
        <w:jc w:val="center"/>
        <w:rPr>
          <w:rFonts w:ascii="方正小标宋简体" w:hAnsi="方正小标宋简体" w:eastAsia="方正小标宋简体" w:cs="方正小标宋简体"/>
          <w:sz w:val="44"/>
          <w:szCs w:val="44"/>
        </w:rPr>
      </w:pPr>
    </w:p>
    <w:p>
      <w:pPr>
        <w:tabs>
          <w:tab w:val="left" w:pos="2100"/>
        </w:tabs>
        <w:spacing w:line="579" w:lineRule="exact"/>
        <w:jc w:val="center"/>
        <w:rPr>
          <w:rFonts w:ascii="方正小标宋简体" w:hAnsi="方正小标宋简体" w:eastAsia="方正小标宋简体" w:cs="方正小标宋简体"/>
          <w:sz w:val="44"/>
          <w:szCs w:val="44"/>
        </w:rPr>
      </w:pPr>
    </w:p>
    <w:p>
      <w:pPr>
        <w:tabs>
          <w:tab w:val="left" w:pos="2100"/>
        </w:tabs>
        <w:spacing w:line="579" w:lineRule="exact"/>
        <w:rPr>
          <w:rFonts w:ascii="方正小标宋简体" w:hAnsi="方正小标宋简体" w:eastAsia="方正小标宋简体" w:cs="方正小标宋简体"/>
          <w:sz w:val="44"/>
          <w:szCs w:val="44"/>
        </w:rPr>
      </w:pPr>
    </w:p>
    <w:p>
      <w:pPr>
        <w:tabs>
          <w:tab w:val="left" w:pos="2100"/>
        </w:tabs>
        <w:spacing w:line="579" w:lineRule="exact"/>
        <w:jc w:val="center"/>
        <w:rPr>
          <w:rFonts w:ascii="仿宋_GB2312" w:hAnsi="仿宋_GB2312" w:eastAsia="方正小标宋简体" w:cs="仿宋_GB2312"/>
          <w:sz w:val="44"/>
          <w:szCs w:val="44"/>
        </w:rPr>
      </w:pPr>
      <w:r>
        <w:rPr>
          <w:rFonts w:hint="eastAsia" w:ascii="方正小标宋简体" w:hAnsi="方正小标宋简体" w:eastAsia="方正小标宋简体" w:cs="方正小标宋简体"/>
          <w:sz w:val="44"/>
          <w:szCs w:val="44"/>
        </w:rPr>
        <w:t>陇县烟草制品零售点单元规划表（镇驻地）</w:t>
      </w:r>
    </w:p>
    <w:tbl>
      <w:tblPr>
        <w:tblStyle w:val="7"/>
        <w:tblW w:w="14676" w:type="dxa"/>
        <w:tblInd w:w="-176" w:type="dxa"/>
        <w:tblLayout w:type="fixed"/>
        <w:tblCellMar>
          <w:top w:w="0" w:type="dxa"/>
          <w:left w:w="108" w:type="dxa"/>
          <w:bottom w:w="0" w:type="dxa"/>
          <w:right w:w="108" w:type="dxa"/>
        </w:tblCellMar>
      </w:tblPr>
      <w:tblGrid>
        <w:gridCol w:w="832"/>
        <w:gridCol w:w="1570"/>
        <w:gridCol w:w="2773"/>
        <w:gridCol w:w="1363"/>
        <w:gridCol w:w="1400"/>
        <w:gridCol w:w="1437"/>
        <w:gridCol w:w="1375"/>
        <w:gridCol w:w="1069"/>
        <w:gridCol w:w="1126"/>
        <w:gridCol w:w="1731"/>
      </w:tblGrid>
      <w:tr>
        <w:tblPrEx>
          <w:tblCellMar>
            <w:top w:w="0" w:type="dxa"/>
            <w:left w:w="108" w:type="dxa"/>
            <w:bottom w:w="0" w:type="dxa"/>
            <w:right w:w="108" w:type="dxa"/>
          </w:tblCellMar>
        </w:tblPrEx>
        <w:trPr>
          <w:trHeight w:val="82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sz w:val="24"/>
              </w:rPr>
              <w:t>单元</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单元格</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划定界限</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人口数量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距离（米）</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拟布局数量（个）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现存数量（个）</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增减(个)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区域划分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601" w:hRule="atLeast"/>
        </w:trPr>
        <w:tc>
          <w:tcPr>
            <w:tcW w:w="832"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镇驻地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八渡镇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杨家庄村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2444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540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旅游休闲发展区域增加2个</w:t>
            </w:r>
          </w:p>
        </w:tc>
      </w:tr>
      <w:tr>
        <w:tblPrEx>
          <w:tblCellMar>
            <w:top w:w="0" w:type="dxa"/>
            <w:left w:w="108" w:type="dxa"/>
            <w:bottom w:w="0" w:type="dxa"/>
            <w:right w:w="108" w:type="dxa"/>
          </w:tblCellMar>
        </w:tblPrEx>
        <w:trPr>
          <w:trHeight w:val="594"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东风镇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sz w:val="24"/>
              </w:rPr>
              <w:t>娘娘庙村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1330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770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567"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东南镇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sz w:val="24"/>
              </w:rPr>
              <w:t>梁家村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2745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545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492"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城关镇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sz w:val="24"/>
              </w:rPr>
              <w:t>西关村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1590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220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540"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天成镇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sz w:val="24"/>
              </w:rPr>
              <w:t>上寨子村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3541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735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469"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曹家湾镇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曹家湾村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3625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745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540"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固关镇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固关街村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2805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955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535"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温水镇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团结村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3376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480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898"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新集川镇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新集川村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1974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725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涉及一处旅游景点</w:t>
            </w:r>
            <w:r>
              <w:rPr>
                <w:rStyle w:val="11"/>
                <w:rFonts w:hint="default" w:ascii="仿宋_GB2312" w:eastAsia="仿宋_GB2312"/>
                <w:bCs/>
                <w:color w:val="auto"/>
                <w:sz w:val="24"/>
                <w:szCs w:val="24"/>
              </w:rPr>
              <w:t>增加2个</w:t>
            </w:r>
          </w:p>
        </w:tc>
      </w:tr>
      <w:tr>
        <w:tblPrEx>
          <w:tblCellMar>
            <w:top w:w="0" w:type="dxa"/>
            <w:left w:w="108" w:type="dxa"/>
            <w:bottom w:w="0" w:type="dxa"/>
            <w:right w:w="108" w:type="dxa"/>
          </w:tblCellMar>
        </w:tblPrEx>
        <w:trPr>
          <w:trHeight w:val="540" w:hRule="atLeast"/>
        </w:trPr>
        <w:tc>
          <w:tcPr>
            <w:tcW w:w="832"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河北镇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东坡村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2972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180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r>
        <w:tblPrEx>
          <w:tblCellMar>
            <w:top w:w="0" w:type="dxa"/>
            <w:left w:w="108" w:type="dxa"/>
            <w:bottom w:w="0" w:type="dxa"/>
            <w:right w:w="108" w:type="dxa"/>
          </w:tblCellMar>
        </w:tblPrEx>
        <w:trPr>
          <w:trHeight w:val="540" w:hRule="atLeast"/>
        </w:trPr>
        <w:tc>
          <w:tcPr>
            <w:tcW w:w="7938"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小计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110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108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r>
    </w:tbl>
    <w:p>
      <w:pPr>
        <w:tabs>
          <w:tab w:val="left" w:pos="2100"/>
        </w:tabs>
        <w:spacing w:line="579" w:lineRule="exact"/>
        <w:jc w:val="center"/>
        <w:rPr>
          <w:rFonts w:ascii="仿宋_GB2312" w:hAnsi="仿宋_GB2312" w:eastAsia="方正小标宋简体" w:cs="仿宋_GB2312"/>
          <w:sz w:val="44"/>
          <w:szCs w:val="44"/>
        </w:rPr>
      </w:pPr>
      <w:r>
        <w:rPr>
          <w:rFonts w:hint="eastAsia" w:ascii="方正小标宋简体" w:hAnsi="方正小标宋简体" w:eastAsia="方正小标宋简体" w:cs="方正小标宋简体"/>
          <w:sz w:val="44"/>
          <w:szCs w:val="44"/>
        </w:rPr>
        <w:t>陇县烟草制品零售点单元规划表（农村）</w:t>
      </w:r>
    </w:p>
    <w:tbl>
      <w:tblPr>
        <w:tblStyle w:val="7"/>
        <w:tblW w:w="14876" w:type="dxa"/>
        <w:tblInd w:w="-176" w:type="dxa"/>
        <w:tblLayout w:type="fixed"/>
        <w:tblCellMar>
          <w:top w:w="0" w:type="dxa"/>
          <w:left w:w="108" w:type="dxa"/>
          <w:bottom w:w="0" w:type="dxa"/>
          <w:right w:w="108" w:type="dxa"/>
        </w:tblCellMar>
      </w:tblPr>
      <w:tblGrid>
        <w:gridCol w:w="832"/>
        <w:gridCol w:w="1295"/>
        <w:gridCol w:w="4820"/>
        <w:gridCol w:w="850"/>
        <w:gridCol w:w="2022"/>
        <w:gridCol w:w="978"/>
        <w:gridCol w:w="859"/>
        <w:gridCol w:w="978"/>
        <w:gridCol w:w="1185"/>
        <w:gridCol w:w="1057"/>
      </w:tblGrid>
      <w:tr>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sz w:val="24"/>
              </w:rPr>
              <w:t>单元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单元格</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划定界限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人口（个）</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设置标准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拟布局数量（个）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现存数量（个）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增减（个）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区域划分</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496" w:hRule="atLeast"/>
        </w:trPr>
        <w:tc>
          <w:tcPr>
            <w:tcW w:w="832"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农村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八渡片区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西坡村、桃园村、大力村、党家河村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6760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1786"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东风片区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textAlignment w:val="center"/>
              <w:rPr>
                <w:rFonts w:ascii="仿宋_GB2312" w:hAnsi="宋体" w:eastAsia="仿宋_GB2312" w:cs="宋体"/>
                <w:bCs/>
                <w:sz w:val="24"/>
              </w:rPr>
            </w:pPr>
          </w:p>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娘娘庙村、兴中村、普乐塬村、西沟村、枣林寨村、南村、峪头村、尧场村、麻家台村、梨林川村、杜阳村、焦家坡村、胡家庄村、刘家咀村、下凉泉村、上凉泉村、川糜村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32480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1396" w:hRule="atLeast"/>
        </w:trPr>
        <w:tc>
          <w:tcPr>
            <w:tcW w:w="832"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东南片区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边家庄村、张家庄村、高庙村、菜园村、郑家沟村、纸沟村、黄花峪村、东兴村、河沟村、梁甫村、予村、闫家庵村、杨家坡村、鸡家庄村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44626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1119" w:hRule="atLeast"/>
        </w:trPr>
        <w:tc>
          <w:tcPr>
            <w:tcW w:w="832" w:type="dxa"/>
            <w:vMerge w:val="restart"/>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城关片区</w:t>
            </w:r>
          </w:p>
        </w:tc>
        <w:tc>
          <w:tcPr>
            <w:tcW w:w="4820" w:type="dxa"/>
            <w:tcBorders>
              <w:top w:val="single" w:color="000000" w:sz="4" w:space="0"/>
              <w:left w:val="single" w:color="000000" w:sz="4" w:space="0"/>
              <w:bottom w:val="single" w:color="auto" w:sz="4" w:space="0"/>
              <w:right w:val="single" w:color="000000" w:sz="4" w:space="0"/>
            </w:tcBorders>
            <w:shd w:val="clear" w:color="auto" w:fill="auto"/>
          </w:tcPr>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神泉村、高</w:t>
            </w:r>
            <w:r>
              <w:rPr>
                <w:rFonts w:hint="eastAsia" w:ascii="仿宋_GB2312" w:hAnsi="宋体" w:cs="宋体"/>
                <w:bCs/>
                <w:sz w:val="24"/>
              </w:rPr>
              <w:t>堎</w:t>
            </w:r>
            <w:r>
              <w:rPr>
                <w:rFonts w:hint="eastAsia" w:ascii="仿宋_GB2312" w:hAnsi="宋体" w:eastAsia="仿宋_GB2312" w:cs="宋体"/>
                <w:bCs/>
                <w:sz w:val="24"/>
              </w:rPr>
              <w:t>村、店子村、东关村、千邑村、新兴村、黄家崖村、北关村、堡子身村、</w:t>
            </w:r>
            <w:r>
              <w:rPr>
                <w:rFonts w:hint="eastAsia" w:ascii="仿宋_GB2312" w:hAnsi="宋体" w:cs="宋体"/>
                <w:bCs/>
                <w:sz w:val="24"/>
              </w:rPr>
              <w:t>堎</w:t>
            </w:r>
            <w:r>
              <w:rPr>
                <w:rFonts w:hint="eastAsia" w:ascii="仿宋_GB2312" w:hAnsi="宋体" w:eastAsia="仿宋_GB2312" w:cs="宋体"/>
                <w:bCs/>
                <w:sz w:val="24"/>
              </w:rPr>
              <w:t>底下村、麦枣村、小沟村</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74012</w:t>
            </w:r>
          </w:p>
        </w:tc>
        <w:tc>
          <w:tcPr>
            <w:tcW w:w="20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105</w:t>
            </w:r>
          </w:p>
        </w:tc>
        <w:tc>
          <w:tcPr>
            <w:tcW w:w="85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110</w:t>
            </w:r>
          </w:p>
        </w:tc>
        <w:tc>
          <w:tcPr>
            <w:tcW w:w="9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-5</w:t>
            </w: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0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1280" w:hRule="atLeast"/>
        </w:trPr>
        <w:tc>
          <w:tcPr>
            <w:tcW w:w="832" w:type="dxa"/>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天成片区</w:t>
            </w:r>
          </w:p>
        </w:tc>
        <w:tc>
          <w:tcPr>
            <w:tcW w:w="4820" w:type="dxa"/>
            <w:tcBorders>
              <w:top w:val="single" w:color="auto" w:sz="4" w:space="0"/>
              <w:left w:val="single" w:color="000000" w:sz="4" w:space="0"/>
              <w:bottom w:val="single" w:color="auto" w:sz="4" w:space="0"/>
              <w:right w:val="single" w:color="000000" w:sz="4" w:space="0"/>
            </w:tcBorders>
            <w:shd w:val="clear" w:color="auto" w:fill="auto"/>
          </w:tcPr>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韦家庄村、马曲村、王家庄村、铁塬村、范家营村、张家山村、关山村、八龙潭村、王马咀村</w:t>
            </w: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13153</w:t>
            </w:r>
          </w:p>
        </w:tc>
        <w:tc>
          <w:tcPr>
            <w:tcW w:w="202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42</w:t>
            </w:r>
          </w:p>
        </w:tc>
        <w:tc>
          <w:tcPr>
            <w:tcW w:w="8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40</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+2</w:t>
            </w:r>
          </w:p>
        </w:tc>
        <w:tc>
          <w:tcPr>
            <w:tcW w:w="118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05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涉及一处旅游景点</w:t>
            </w:r>
          </w:p>
        </w:tc>
      </w:tr>
      <w:tr>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sz w:val="24"/>
              </w:rPr>
              <w:t>单元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单元格</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sz w:val="24"/>
              </w:rPr>
            </w:pPr>
            <w:r>
              <w:rPr>
                <w:rFonts w:hint="eastAsia" w:ascii="仿宋_GB2312" w:hAnsi="宋体" w:eastAsia="仿宋_GB2312" w:cs="宋体"/>
                <w:b/>
                <w:bCs/>
                <w:kern w:val="0"/>
                <w:sz w:val="24"/>
              </w:rPr>
              <w:t>划定界限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人口（个）</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设置标准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拟布局数量（个）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现存数量（个）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增减（个）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区域划分</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90" w:hRule="atLeast"/>
        </w:trPr>
        <w:tc>
          <w:tcPr>
            <w:tcW w:w="832" w:type="dxa"/>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曹家湾片区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咸宜关村、三里营村、三联村、教场塬村、段家峡村、流渠村、红星村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15335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623" w:hRule="atLeast"/>
        </w:trPr>
        <w:tc>
          <w:tcPr>
            <w:tcW w:w="832" w:type="dxa"/>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固关片区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上岔村、柴家咀村、殿咀村、苟家沟村、水滩村、穆家庄村、北大山村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6651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一般区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980" w:hRule="atLeast"/>
        </w:trPr>
        <w:tc>
          <w:tcPr>
            <w:tcW w:w="832" w:type="dxa"/>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农村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温水片区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tcPr>
          <w:p>
            <w:pPr>
              <w:widowControl/>
              <w:snapToGrid w:val="0"/>
              <w:textAlignment w:val="center"/>
              <w:rPr>
                <w:rFonts w:ascii="仿宋_GB2312" w:hAnsi="宋体" w:eastAsia="仿宋_GB2312" w:cs="宋体"/>
                <w:bCs/>
                <w:sz w:val="24"/>
              </w:rPr>
            </w:pPr>
            <w:r>
              <w:rPr>
                <w:rFonts w:hint="eastAsia" w:ascii="仿宋_GB2312" w:hAnsi="宋体" w:eastAsia="仿宋_GB2312" w:cs="宋体"/>
                <w:bCs/>
                <w:sz w:val="24"/>
              </w:rPr>
              <w:t>坪头村、枣林村、田家河村、闫家湾村、峡口村、温河村、火烧寨村、上川村、花园村、</w:t>
            </w:r>
            <w:r>
              <w:rPr>
                <w:rFonts w:hint="eastAsia" w:ascii="仿宋_GB2312" w:hAnsi="宋体" w:cs="宋体"/>
                <w:bCs/>
                <w:sz w:val="24"/>
              </w:rPr>
              <w:t>茍</w:t>
            </w:r>
            <w:r>
              <w:rPr>
                <w:rFonts w:hint="eastAsia" w:ascii="仿宋_GB2312" w:hAnsi="宋体" w:eastAsia="仿宋_GB2312" w:cs="宋体"/>
                <w:bCs/>
                <w:sz w:val="24"/>
              </w:rPr>
              <w:t>家寨村、峰山村、李家河村、郭家山村、三成村、苏家塬村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35157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88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饱和区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484" w:hRule="atLeast"/>
        </w:trPr>
        <w:tc>
          <w:tcPr>
            <w:tcW w:w="832" w:type="dxa"/>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新集川片区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李家庄村、李家山村、铁马河村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3927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一般区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仿宋_GB2312" w:hAnsi="宋体" w:eastAsia="仿宋_GB2312" w:cs="宋体"/>
                <w:bCs/>
                <w:kern w:val="0"/>
                <w:sz w:val="24"/>
              </w:rPr>
            </w:pPr>
          </w:p>
        </w:tc>
      </w:tr>
      <w:tr>
        <w:tblPrEx>
          <w:tblCellMar>
            <w:top w:w="0" w:type="dxa"/>
            <w:left w:w="108" w:type="dxa"/>
            <w:bottom w:w="0" w:type="dxa"/>
            <w:right w:w="108" w:type="dxa"/>
          </w:tblCellMar>
        </w:tblPrEx>
        <w:trPr>
          <w:trHeight w:val="664" w:hRule="atLeast"/>
        </w:trPr>
        <w:tc>
          <w:tcPr>
            <w:tcW w:w="832" w:type="dxa"/>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河北片区</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兰家堡村、权家下村、歧家塬村、西凉湾村、白石村、韦家堡村、庙坡村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Fonts w:hint="eastAsia" w:ascii="仿宋_GB2312" w:hAnsi="宋体" w:eastAsia="仿宋_GB2312" w:cs="宋体"/>
                <w:bCs/>
                <w:sz w:val="24"/>
              </w:rPr>
              <w:t>8798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sz w:val="24"/>
              </w:rPr>
            </w:pPr>
            <w:r>
              <w:rPr>
                <w:rStyle w:val="11"/>
                <w:rFonts w:hint="default" w:ascii="仿宋_GB2312" w:eastAsia="仿宋_GB2312"/>
                <w:bCs/>
                <w:color w:val="auto"/>
                <w:sz w:val="24"/>
                <w:szCs w:val="24"/>
              </w:rPr>
              <w:t>300人以下行政村设1个/每增加500人增加1个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Style w:val="11"/>
                <w:rFonts w:hint="default" w:ascii="仿宋_GB2312" w:eastAsia="仿宋_GB2312"/>
                <w:bCs/>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Cs/>
                <w:color w:val="auto"/>
                <w:sz w:val="24"/>
                <w:szCs w:val="24"/>
              </w:rPr>
            </w:pPr>
            <w:r>
              <w:rPr>
                <w:rFonts w:hint="eastAsia" w:ascii="仿宋_GB2312" w:hAnsi="宋体" w:eastAsia="仿宋_GB2312" w:cs="宋体"/>
                <w:bCs/>
                <w:kern w:val="0"/>
                <w:sz w:val="24"/>
              </w:rPr>
              <w:t>发展区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r>
              <w:rPr>
                <w:rFonts w:hint="eastAsia" w:ascii="仿宋_GB2312" w:hAnsi="宋体" w:eastAsia="仿宋_GB2312" w:cs="宋体"/>
                <w:bCs/>
                <w:kern w:val="0"/>
                <w:sz w:val="24"/>
              </w:rPr>
              <w:t>按村级数量核定</w:t>
            </w:r>
          </w:p>
        </w:tc>
      </w:tr>
      <w:tr>
        <w:tblPrEx>
          <w:tblCellMar>
            <w:top w:w="0" w:type="dxa"/>
            <w:left w:w="108" w:type="dxa"/>
            <w:bottom w:w="0" w:type="dxa"/>
            <w:right w:w="108" w:type="dxa"/>
          </w:tblCellMar>
        </w:tblPrEx>
        <w:trPr>
          <w:trHeight w:val="664" w:hRule="atLeast"/>
        </w:trPr>
        <w:tc>
          <w:tcPr>
            <w:tcW w:w="9819"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小计</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489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505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Style w:val="11"/>
                <w:rFonts w:hint="default" w:ascii="仿宋_GB2312" w:eastAsia="仿宋_GB2312"/>
                <w:b/>
                <w:bCs/>
                <w:color w:val="auto"/>
                <w:sz w:val="24"/>
                <w:szCs w:val="24"/>
              </w:rPr>
            </w:pPr>
            <w:r>
              <w:rPr>
                <w:rStyle w:val="11"/>
                <w:rFonts w:hint="default" w:ascii="仿宋_GB2312" w:eastAsia="仿宋_GB2312"/>
                <w:b/>
                <w:bCs/>
                <w:color w:val="auto"/>
                <w:sz w:val="24"/>
                <w:szCs w:val="24"/>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宋体"/>
                <w:bCs/>
                <w:kern w:val="0"/>
                <w:sz w:val="24"/>
              </w:rPr>
            </w:pPr>
          </w:p>
        </w:tc>
      </w:tr>
    </w:tbl>
    <w:p>
      <w:pPr>
        <w:spacing w:line="360" w:lineRule="auto"/>
        <w:rPr>
          <w:rFonts w:ascii="宋体" w:hAnsi="宋体" w:cs="宋体"/>
          <w:sz w:val="32"/>
          <w:szCs w:val="32"/>
        </w:rPr>
      </w:pPr>
    </w:p>
    <w:p>
      <w:pPr>
        <w:spacing w:line="360" w:lineRule="auto"/>
        <w:rPr>
          <w:rFonts w:ascii="宋体" w:hAnsi="宋体" w:cs="宋体"/>
          <w:sz w:val="32"/>
          <w:szCs w:val="32"/>
        </w:rPr>
      </w:pPr>
    </w:p>
    <w:sect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76C78"/>
    <w:multiLevelType w:val="singleLevel"/>
    <w:tmpl w:val="FB176C78"/>
    <w:lvl w:ilvl="0" w:tentative="0">
      <w:start w:val="2"/>
      <w:numFmt w:val="chineseCounting"/>
      <w:suff w:val="space"/>
      <w:lvlText w:val="第%1章"/>
      <w:lvlJc w:val="left"/>
      <w:rPr>
        <w:rFonts w:hint="eastAsia"/>
      </w:rPr>
    </w:lvl>
  </w:abstractNum>
  <w:abstractNum w:abstractNumId="1">
    <w:nsid w:val="4E1789C4"/>
    <w:multiLevelType w:val="singleLevel"/>
    <w:tmpl w:val="4E1789C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mVjMTQwZDcxYWZkMDgxOGE0NGJmOTdkMDlmNGYifQ=="/>
  </w:docVars>
  <w:rsids>
    <w:rsidRoot w:val="00BB5BF1"/>
    <w:rsid w:val="00004F82"/>
    <w:rsid w:val="0004405A"/>
    <w:rsid w:val="000769DD"/>
    <w:rsid w:val="000B5482"/>
    <w:rsid w:val="000B5D4A"/>
    <w:rsid w:val="000E6D22"/>
    <w:rsid w:val="001868AB"/>
    <w:rsid w:val="0019478D"/>
    <w:rsid w:val="001A1D2A"/>
    <w:rsid w:val="001C1528"/>
    <w:rsid w:val="001E2926"/>
    <w:rsid w:val="00204DA3"/>
    <w:rsid w:val="00224480"/>
    <w:rsid w:val="00294989"/>
    <w:rsid w:val="002F35CB"/>
    <w:rsid w:val="003369C2"/>
    <w:rsid w:val="00350B37"/>
    <w:rsid w:val="003C1533"/>
    <w:rsid w:val="003C226F"/>
    <w:rsid w:val="003E5773"/>
    <w:rsid w:val="003E6977"/>
    <w:rsid w:val="003F4113"/>
    <w:rsid w:val="004E43BF"/>
    <w:rsid w:val="00507966"/>
    <w:rsid w:val="005A73E2"/>
    <w:rsid w:val="00606D90"/>
    <w:rsid w:val="00613C5C"/>
    <w:rsid w:val="00622647"/>
    <w:rsid w:val="00651457"/>
    <w:rsid w:val="00651E25"/>
    <w:rsid w:val="00696FB5"/>
    <w:rsid w:val="006B4BDE"/>
    <w:rsid w:val="007B31B3"/>
    <w:rsid w:val="007F0AFD"/>
    <w:rsid w:val="007F7692"/>
    <w:rsid w:val="00813CA1"/>
    <w:rsid w:val="00824EC8"/>
    <w:rsid w:val="00826D6F"/>
    <w:rsid w:val="008720FA"/>
    <w:rsid w:val="008901B9"/>
    <w:rsid w:val="00890EB2"/>
    <w:rsid w:val="008B16F7"/>
    <w:rsid w:val="008B6B4B"/>
    <w:rsid w:val="0094147A"/>
    <w:rsid w:val="009527E7"/>
    <w:rsid w:val="00965B01"/>
    <w:rsid w:val="00A57FCF"/>
    <w:rsid w:val="00A81887"/>
    <w:rsid w:val="00A82AFE"/>
    <w:rsid w:val="00AC0C8F"/>
    <w:rsid w:val="00AC35E6"/>
    <w:rsid w:val="00AF7041"/>
    <w:rsid w:val="00B22D50"/>
    <w:rsid w:val="00B33BA0"/>
    <w:rsid w:val="00B6138B"/>
    <w:rsid w:val="00B82E00"/>
    <w:rsid w:val="00BA6485"/>
    <w:rsid w:val="00BB5BF1"/>
    <w:rsid w:val="00BE13B4"/>
    <w:rsid w:val="00C52C99"/>
    <w:rsid w:val="00C944ED"/>
    <w:rsid w:val="00D86A03"/>
    <w:rsid w:val="00D903E4"/>
    <w:rsid w:val="00DB2707"/>
    <w:rsid w:val="00E04612"/>
    <w:rsid w:val="00E20678"/>
    <w:rsid w:val="00E312D3"/>
    <w:rsid w:val="00E53BA6"/>
    <w:rsid w:val="00E60B3C"/>
    <w:rsid w:val="00E65ED0"/>
    <w:rsid w:val="00E80370"/>
    <w:rsid w:val="00F30109"/>
    <w:rsid w:val="00F44F2A"/>
    <w:rsid w:val="00F50251"/>
    <w:rsid w:val="00FB2B89"/>
    <w:rsid w:val="00FE0457"/>
    <w:rsid w:val="00FF39CC"/>
    <w:rsid w:val="013B2B96"/>
    <w:rsid w:val="01423F24"/>
    <w:rsid w:val="016C0FA1"/>
    <w:rsid w:val="01704CE9"/>
    <w:rsid w:val="018C33F1"/>
    <w:rsid w:val="02115860"/>
    <w:rsid w:val="02172B67"/>
    <w:rsid w:val="022818AB"/>
    <w:rsid w:val="02427F54"/>
    <w:rsid w:val="02A76009"/>
    <w:rsid w:val="02F96864"/>
    <w:rsid w:val="03B92498"/>
    <w:rsid w:val="03E219EE"/>
    <w:rsid w:val="040F3E66"/>
    <w:rsid w:val="04167BF6"/>
    <w:rsid w:val="041E22FB"/>
    <w:rsid w:val="04206073"/>
    <w:rsid w:val="044004C3"/>
    <w:rsid w:val="04455AD9"/>
    <w:rsid w:val="044E2BE0"/>
    <w:rsid w:val="048A4544"/>
    <w:rsid w:val="04BD38C2"/>
    <w:rsid w:val="05924D4E"/>
    <w:rsid w:val="05A86320"/>
    <w:rsid w:val="05B747B5"/>
    <w:rsid w:val="060379FA"/>
    <w:rsid w:val="062C6F51"/>
    <w:rsid w:val="065344DE"/>
    <w:rsid w:val="06622973"/>
    <w:rsid w:val="066F5090"/>
    <w:rsid w:val="06982838"/>
    <w:rsid w:val="06B27F6D"/>
    <w:rsid w:val="06F07F7E"/>
    <w:rsid w:val="07043A2A"/>
    <w:rsid w:val="0721282E"/>
    <w:rsid w:val="07300CC3"/>
    <w:rsid w:val="073E6F3C"/>
    <w:rsid w:val="078A03D3"/>
    <w:rsid w:val="07AA45D1"/>
    <w:rsid w:val="07D4164E"/>
    <w:rsid w:val="084C5688"/>
    <w:rsid w:val="084C7436"/>
    <w:rsid w:val="08730E67"/>
    <w:rsid w:val="088F37C7"/>
    <w:rsid w:val="089112ED"/>
    <w:rsid w:val="090C748B"/>
    <w:rsid w:val="091B505B"/>
    <w:rsid w:val="09524F20"/>
    <w:rsid w:val="09A6526C"/>
    <w:rsid w:val="09E71B0D"/>
    <w:rsid w:val="0AA479FE"/>
    <w:rsid w:val="0ABF0394"/>
    <w:rsid w:val="0AD100C7"/>
    <w:rsid w:val="0AE82F01"/>
    <w:rsid w:val="0B077F8D"/>
    <w:rsid w:val="0B386398"/>
    <w:rsid w:val="0B8B64C8"/>
    <w:rsid w:val="0B8E5FB8"/>
    <w:rsid w:val="0B8E7D66"/>
    <w:rsid w:val="0C7927C4"/>
    <w:rsid w:val="0C801A57"/>
    <w:rsid w:val="0C827803"/>
    <w:rsid w:val="0CC33CD4"/>
    <w:rsid w:val="0CD207AC"/>
    <w:rsid w:val="0D140B7D"/>
    <w:rsid w:val="0D1735E4"/>
    <w:rsid w:val="0D215336"/>
    <w:rsid w:val="0D6F5B80"/>
    <w:rsid w:val="0E664FCA"/>
    <w:rsid w:val="0F1051B4"/>
    <w:rsid w:val="0FD77F2D"/>
    <w:rsid w:val="0FF54858"/>
    <w:rsid w:val="10030D22"/>
    <w:rsid w:val="10B244F7"/>
    <w:rsid w:val="10B9412D"/>
    <w:rsid w:val="10E01064"/>
    <w:rsid w:val="1125116C"/>
    <w:rsid w:val="113413B0"/>
    <w:rsid w:val="12A346BD"/>
    <w:rsid w:val="12AC7848"/>
    <w:rsid w:val="13053004"/>
    <w:rsid w:val="13AE369B"/>
    <w:rsid w:val="13B660AC"/>
    <w:rsid w:val="141334FE"/>
    <w:rsid w:val="14292D22"/>
    <w:rsid w:val="143A0A8B"/>
    <w:rsid w:val="144D6A10"/>
    <w:rsid w:val="14733F9D"/>
    <w:rsid w:val="14E05AD6"/>
    <w:rsid w:val="15610299"/>
    <w:rsid w:val="1571672E"/>
    <w:rsid w:val="160C5E9B"/>
    <w:rsid w:val="167157C0"/>
    <w:rsid w:val="16976BF9"/>
    <w:rsid w:val="16CB00C0"/>
    <w:rsid w:val="16DE4297"/>
    <w:rsid w:val="1744209E"/>
    <w:rsid w:val="18455C50"/>
    <w:rsid w:val="18ED583D"/>
    <w:rsid w:val="19045B0B"/>
    <w:rsid w:val="191078AE"/>
    <w:rsid w:val="19121FD6"/>
    <w:rsid w:val="192D0BBE"/>
    <w:rsid w:val="19704F4F"/>
    <w:rsid w:val="19AE61A3"/>
    <w:rsid w:val="19B7492C"/>
    <w:rsid w:val="1A9058A9"/>
    <w:rsid w:val="1AA9357D"/>
    <w:rsid w:val="1ABD41C4"/>
    <w:rsid w:val="1AD75285"/>
    <w:rsid w:val="1AFF2A2E"/>
    <w:rsid w:val="1B1A33C4"/>
    <w:rsid w:val="1B2B3823"/>
    <w:rsid w:val="1B302BE8"/>
    <w:rsid w:val="1B397CEE"/>
    <w:rsid w:val="1B7C5E2D"/>
    <w:rsid w:val="1BAF2809"/>
    <w:rsid w:val="1C146065"/>
    <w:rsid w:val="1C4A7CD9"/>
    <w:rsid w:val="1C9A47BD"/>
    <w:rsid w:val="1C9F24B4"/>
    <w:rsid w:val="1CA473E9"/>
    <w:rsid w:val="1CAA0778"/>
    <w:rsid w:val="1CCB0E1A"/>
    <w:rsid w:val="1CE974F2"/>
    <w:rsid w:val="1D3369BF"/>
    <w:rsid w:val="1DED6B6E"/>
    <w:rsid w:val="1FCD6C57"/>
    <w:rsid w:val="20014042"/>
    <w:rsid w:val="200603BB"/>
    <w:rsid w:val="20270A5D"/>
    <w:rsid w:val="20476A09"/>
    <w:rsid w:val="20B51442"/>
    <w:rsid w:val="20B9542D"/>
    <w:rsid w:val="20F16975"/>
    <w:rsid w:val="212154AC"/>
    <w:rsid w:val="212C3E51"/>
    <w:rsid w:val="21313216"/>
    <w:rsid w:val="214E201A"/>
    <w:rsid w:val="21613AFB"/>
    <w:rsid w:val="21867A05"/>
    <w:rsid w:val="218872DA"/>
    <w:rsid w:val="21D40771"/>
    <w:rsid w:val="236E5908"/>
    <w:rsid w:val="238E2BA1"/>
    <w:rsid w:val="23A128D5"/>
    <w:rsid w:val="23AB5501"/>
    <w:rsid w:val="23AE0B4E"/>
    <w:rsid w:val="24207C9D"/>
    <w:rsid w:val="245142FB"/>
    <w:rsid w:val="24DB1E16"/>
    <w:rsid w:val="24F44C86"/>
    <w:rsid w:val="25592D3B"/>
    <w:rsid w:val="258E5975"/>
    <w:rsid w:val="25AB17E9"/>
    <w:rsid w:val="260D5FFF"/>
    <w:rsid w:val="261A071C"/>
    <w:rsid w:val="263C4369"/>
    <w:rsid w:val="26E50D2A"/>
    <w:rsid w:val="27053EDB"/>
    <w:rsid w:val="27082C6B"/>
    <w:rsid w:val="273A72C8"/>
    <w:rsid w:val="273D46C2"/>
    <w:rsid w:val="274F43F6"/>
    <w:rsid w:val="27CC3FA5"/>
    <w:rsid w:val="27DF1C1D"/>
    <w:rsid w:val="28341F69"/>
    <w:rsid w:val="28812CD5"/>
    <w:rsid w:val="28E60D8A"/>
    <w:rsid w:val="28FB65E3"/>
    <w:rsid w:val="29023E15"/>
    <w:rsid w:val="296D5007"/>
    <w:rsid w:val="298F31CF"/>
    <w:rsid w:val="29B42C36"/>
    <w:rsid w:val="29CA2459"/>
    <w:rsid w:val="29FF0355"/>
    <w:rsid w:val="2A385615"/>
    <w:rsid w:val="2A9211C9"/>
    <w:rsid w:val="2A975D47"/>
    <w:rsid w:val="2AC450FA"/>
    <w:rsid w:val="2ADD2316"/>
    <w:rsid w:val="2B142BAC"/>
    <w:rsid w:val="2B147E30"/>
    <w:rsid w:val="2B4B5632"/>
    <w:rsid w:val="2B7A5FA8"/>
    <w:rsid w:val="2B940F71"/>
    <w:rsid w:val="2BAD5B8F"/>
    <w:rsid w:val="2BC74EA2"/>
    <w:rsid w:val="2C1B0D4A"/>
    <w:rsid w:val="2C842BA5"/>
    <w:rsid w:val="2D5269EE"/>
    <w:rsid w:val="2DC07DFB"/>
    <w:rsid w:val="2DDD0F14"/>
    <w:rsid w:val="2E2769C5"/>
    <w:rsid w:val="2E424CB4"/>
    <w:rsid w:val="2E465D68"/>
    <w:rsid w:val="2E8E1CA7"/>
    <w:rsid w:val="2EAB2192"/>
    <w:rsid w:val="2ED022C0"/>
    <w:rsid w:val="2EED2E72"/>
    <w:rsid w:val="2EFA733D"/>
    <w:rsid w:val="2F1877C3"/>
    <w:rsid w:val="2F4255AA"/>
    <w:rsid w:val="2F5527C5"/>
    <w:rsid w:val="2FD36B7C"/>
    <w:rsid w:val="30847806"/>
    <w:rsid w:val="30A92DC8"/>
    <w:rsid w:val="31032CAA"/>
    <w:rsid w:val="31540F86"/>
    <w:rsid w:val="320F75A3"/>
    <w:rsid w:val="326E42CA"/>
    <w:rsid w:val="32902492"/>
    <w:rsid w:val="32904240"/>
    <w:rsid w:val="32931D93"/>
    <w:rsid w:val="32EE71B8"/>
    <w:rsid w:val="33024A12"/>
    <w:rsid w:val="331D184C"/>
    <w:rsid w:val="33680D19"/>
    <w:rsid w:val="33C5616B"/>
    <w:rsid w:val="33DA3507"/>
    <w:rsid w:val="343E7CCC"/>
    <w:rsid w:val="34897199"/>
    <w:rsid w:val="348B4B08"/>
    <w:rsid w:val="34B14942"/>
    <w:rsid w:val="34B32468"/>
    <w:rsid w:val="351F18AB"/>
    <w:rsid w:val="35245113"/>
    <w:rsid w:val="352B7037"/>
    <w:rsid w:val="352E7D40"/>
    <w:rsid w:val="355A6D87"/>
    <w:rsid w:val="35F745D6"/>
    <w:rsid w:val="36127662"/>
    <w:rsid w:val="36146F36"/>
    <w:rsid w:val="36B246A8"/>
    <w:rsid w:val="36B349A1"/>
    <w:rsid w:val="36D84407"/>
    <w:rsid w:val="36DB4C9E"/>
    <w:rsid w:val="375A306E"/>
    <w:rsid w:val="376161AB"/>
    <w:rsid w:val="379540A7"/>
    <w:rsid w:val="37D82FC1"/>
    <w:rsid w:val="38575800"/>
    <w:rsid w:val="38A74091"/>
    <w:rsid w:val="38C56C0D"/>
    <w:rsid w:val="39AB5E03"/>
    <w:rsid w:val="39F51FDF"/>
    <w:rsid w:val="3A2F07E2"/>
    <w:rsid w:val="3A63223A"/>
    <w:rsid w:val="3A810912"/>
    <w:rsid w:val="3ACA4067"/>
    <w:rsid w:val="3C4542ED"/>
    <w:rsid w:val="3C722C08"/>
    <w:rsid w:val="3D1D2B74"/>
    <w:rsid w:val="3DAC3EF8"/>
    <w:rsid w:val="3DFA4C63"/>
    <w:rsid w:val="3E442382"/>
    <w:rsid w:val="3E500D27"/>
    <w:rsid w:val="3EF21DDE"/>
    <w:rsid w:val="3F051733"/>
    <w:rsid w:val="3FF658FE"/>
    <w:rsid w:val="3FFA2F31"/>
    <w:rsid w:val="40061FE5"/>
    <w:rsid w:val="40362571"/>
    <w:rsid w:val="40646D0C"/>
    <w:rsid w:val="40AD420F"/>
    <w:rsid w:val="40E1210B"/>
    <w:rsid w:val="42205C4D"/>
    <w:rsid w:val="42241B5C"/>
    <w:rsid w:val="42734FE4"/>
    <w:rsid w:val="427F7E2D"/>
    <w:rsid w:val="42CB6BCE"/>
    <w:rsid w:val="42CF2B62"/>
    <w:rsid w:val="43291B47"/>
    <w:rsid w:val="43747266"/>
    <w:rsid w:val="4383394D"/>
    <w:rsid w:val="43CC0E50"/>
    <w:rsid w:val="44A1408B"/>
    <w:rsid w:val="44FC5765"/>
    <w:rsid w:val="458F65D9"/>
    <w:rsid w:val="466457ED"/>
    <w:rsid w:val="46EB5D68"/>
    <w:rsid w:val="46EE5581"/>
    <w:rsid w:val="476D46F8"/>
    <w:rsid w:val="481E1E96"/>
    <w:rsid w:val="48311BC9"/>
    <w:rsid w:val="48651873"/>
    <w:rsid w:val="489A151D"/>
    <w:rsid w:val="48BC5937"/>
    <w:rsid w:val="48CF1315"/>
    <w:rsid w:val="491017DF"/>
    <w:rsid w:val="49190DE2"/>
    <w:rsid w:val="49647D7D"/>
    <w:rsid w:val="499E328F"/>
    <w:rsid w:val="49D942C7"/>
    <w:rsid w:val="4A1C2405"/>
    <w:rsid w:val="4A5676C5"/>
    <w:rsid w:val="4A5F22C7"/>
    <w:rsid w:val="4A730277"/>
    <w:rsid w:val="4A881849"/>
    <w:rsid w:val="4AC00FE3"/>
    <w:rsid w:val="4ACE1952"/>
    <w:rsid w:val="4B7047B7"/>
    <w:rsid w:val="4B933353"/>
    <w:rsid w:val="4C404189"/>
    <w:rsid w:val="4C78796E"/>
    <w:rsid w:val="4CA7245A"/>
    <w:rsid w:val="4CD717BC"/>
    <w:rsid w:val="4D53613E"/>
    <w:rsid w:val="4D626381"/>
    <w:rsid w:val="4DD66729"/>
    <w:rsid w:val="4E2D4BE1"/>
    <w:rsid w:val="4EC20665"/>
    <w:rsid w:val="4F4904C0"/>
    <w:rsid w:val="4F4915A7"/>
    <w:rsid w:val="4F756840"/>
    <w:rsid w:val="4F8C03EA"/>
    <w:rsid w:val="4FF0236A"/>
    <w:rsid w:val="50461F8A"/>
    <w:rsid w:val="507C7355"/>
    <w:rsid w:val="50BF1A9B"/>
    <w:rsid w:val="51D05FAF"/>
    <w:rsid w:val="520E6AD8"/>
    <w:rsid w:val="522E79FF"/>
    <w:rsid w:val="52483D98"/>
    <w:rsid w:val="524D7600"/>
    <w:rsid w:val="527728CF"/>
    <w:rsid w:val="536F00DD"/>
    <w:rsid w:val="53CB1124"/>
    <w:rsid w:val="54260108"/>
    <w:rsid w:val="547D591C"/>
    <w:rsid w:val="559B0682"/>
    <w:rsid w:val="55E42029"/>
    <w:rsid w:val="561623FF"/>
    <w:rsid w:val="5627460C"/>
    <w:rsid w:val="571B2471"/>
    <w:rsid w:val="57266671"/>
    <w:rsid w:val="580E15DF"/>
    <w:rsid w:val="58337298"/>
    <w:rsid w:val="58627B7D"/>
    <w:rsid w:val="58BD6B62"/>
    <w:rsid w:val="592B61C1"/>
    <w:rsid w:val="59492735"/>
    <w:rsid w:val="595B4CF8"/>
    <w:rsid w:val="59D46859"/>
    <w:rsid w:val="59E7033A"/>
    <w:rsid w:val="59FE5684"/>
    <w:rsid w:val="5A1B4488"/>
    <w:rsid w:val="5A504131"/>
    <w:rsid w:val="5A513A05"/>
    <w:rsid w:val="5B13515F"/>
    <w:rsid w:val="5B834092"/>
    <w:rsid w:val="5BE30FD5"/>
    <w:rsid w:val="5BF46D3E"/>
    <w:rsid w:val="5BF925A6"/>
    <w:rsid w:val="5C221AFD"/>
    <w:rsid w:val="5C292E8C"/>
    <w:rsid w:val="5C361105"/>
    <w:rsid w:val="5C583771"/>
    <w:rsid w:val="5CD97AA9"/>
    <w:rsid w:val="5CE60D7D"/>
    <w:rsid w:val="5D017965"/>
    <w:rsid w:val="5D1458EA"/>
    <w:rsid w:val="5D743FB9"/>
    <w:rsid w:val="5DC0337C"/>
    <w:rsid w:val="5E3D49CC"/>
    <w:rsid w:val="5EA52572"/>
    <w:rsid w:val="5EC21376"/>
    <w:rsid w:val="5EDF65F5"/>
    <w:rsid w:val="5F1F2324"/>
    <w:rsid w:val="5FBA3DFB"/>
    <w:rsid w:val="5FC44859"/>
    <w:rsid w:val="5FFE018B"/>
    <w:rsid w:val="602776E2"/>
    <w:rsid w:val="60285208"/>
    <w:rsid w:val="60791F08"/>
    <w:rsid w:val="60BF5B6D"/>
    <w:rsid w:val="60CA62C0"/>
    <w:rsid w:val="613A3445"/>
    <w:rsid w:val="6155202D"/>
    <w:rsid w:val="617C7847"/>
    <w:rsid w:val="61F950AE"/>
    <w:rsid w:val="623205C0"/>
    <w:rsid w:val="624502F4"/>
    <w:rsid w:val="62C03E1E"/>
    <w:rsid w:val="63100901"/>
    <w:rsid w:val="631F28F3"/>
    <w:rsid w:val="63732C3E"/>
    <w:rsid w:val="63D01E3F"/>
    <w:rsid w:val="63F024E1"/>
    <w:rsid w:val="641206A9"/>
    <w:rsid w:val="64122457"/>
    <w:rsid w:val="64363188"/>
    <w:rsid w:val="64395C36"/>
    <w:rsid w:val="64446389"/>
    <w:rsid w:val="64923598"/>
    <w:rsid w:val="64A82DBC"/>
    <w:rsid w:val="64C34A6E"/>
    <w:rsid w:val="64CD45D0"/>
    <w:rsid w:val="651A5A67"/>
    <w:rsid w:val="655B1BDC"/>
    <w:rsid w:val="65870C23"/>
    <w:rsid w:val="65921613"/>
    <w:rsid w:val="65931376"/>
    <w:rsid w:val="65DA6FA5"/>
    <w:rsid w:val="660D737A"/>
    <w:rsid w:val="664663E8"/>
    <w:rsid w:val="669E3D80"/>
    <w:rsid w:val="66C13CC1"/>
    <w:rsid w:val="66CA526B"/>
    <w:rsid w:val="66CD6B09"/>
    <w:rsid w:val="66DB1226"/>
    <w:rsid w:val="674943E2"/>
    <w:rsid w:val="6787315C"/>
    <w:rsid w:val="67B51A77"/>
    <w:rsid w:val="67C717AB"/>
    <w:rsid w:val="67D619EE"/>
    <w:rsid w:val="67D67B80"/>
    <w:rsid w:val="685A74CC"/>
    <w:rsid w:val="68FB72E9"/>
    <w:rsid w:val="699B2EEF"/>
    <w:rsid w:val="69BD2E65"/>
    <w:rsid w:val="6A0942FC"/>
    <w:rsid w:val="6A152CA1"/>
    <w:rsid w:val="6A276531"/>
    <w:rsid w:val="6AA933EA"/>
    <w:rsid w:val="6ABA1153"/>
    <w:rsid w:val="6B2A62D8"/>
    <w:rsid w:val="6B99345E"/>
    <w:rsid w:val="6BAA7419"/>
    <w:rsid w:val="6C515AE7"/>
    <w:rsid w:val="6C64581A"/>
    <w:rsid w:val="6C9D2ADA"/>
    <w:rsid w:val="6CD504C6"/>
    <w:rsid w:val="6CF1508D"/>
    <w:rsid w:val="6D0B3EE8"/>
    <w:rsid w:val="6D1E3C1B"/>
    <w:rsid w:val="6D1F7993"/>
    <w:rsid w:val="6D877A12"/>
    <w:rsid w:val="6DAC7479"/>
    <w:rsid w:val="6E192634"/>
    <w:rsid w:val="6E551491"/>
    <w:rsid w:val="6EC27E83"/>
    <w:rsid w:val="6F2B0871"/>
    <w:rsid w:val="6F577108"/>
    <w:rsid w:val="6FF84BF7"/>
    <w:rsid w:val="703D085C"/>
    <w:rsid w:val="70B76860"/>
    <w:rsid w:val="715B3690"/>
    <w:rsid w:val="71A14E1B"/>
    <w:rsid w:val="71B92164"/>
    <w:rsid w:val="71CB764E"/>
    <w:rsid w:val="72710C91"/>
    <w:rsid w:val="7271728C"/>
    <w:rsid w:val="72E0289A"/>
    <w:rsid w:val="730833A3"/>
    <w:rsid w:val="731F693F"/>
    <w:rsid w:val="73357F10"/>
    <w:rsid w:val="734D7008"/>
    <w:rsid w:val="734E2D80"/>
    <w:rsid w:val="735C549D"/>
    <w:rsid w:val="737E18B7"/>
    <w:rsid w:val="73B52DFF"/>
    <w:rsid w:val="73F152F7"/>
    <w:rsid w:val="7456013E"/>
    <w:rsid w:val="74E41BEE"/>
    <w:rsid w:val="752336E6"/>
    <w:rsid w:val="75A03D67"/>
    <w:rsid w:val="75AF3FAA"/>
    <w:rsid w:val="75F95225"/>
    <w:rsid w:val="761F3904"/>
    <w:rsid w:val="763C15B6"/>
    <w:rsid w:val="764346F2"/>
    <w:rsid w:val="766A1C7F"/>
    <w:rsid w:val="76746FA2"/>
    <w:rsid w:val="76C770D1"/>
    <w:rsid w:val="76CC1F18"/>
    <w:rsid w:val="76FB321F"/>
    <w:rsid w:val="77500583"/>
    <w:rsid w:val="77660698"/>
    <w:rsid w:val="77A967D7"/>
    <w:rsid w:val="77D777E8"/>
    <w:rsid w:val="77DA2E34"/>
    <w:rsid w:val="782D11B6"/>
    <w:rsid w:val="783C3009"/>
    <w:rsid w:val="785030F6"/>
    <w:rsid w:val="786D1EFA"/>
    <w:rsid w:val="7881542C"/>
    <w:rsid w:val="789D27E0"/>
    <w:rsid w:val="78A07BDA"/>
    <w:rsid w:val="78A21BA4"/>
    <w:rsid w:val="78B13B95"/>
    <w:rsid w:val="793B7903"/>
    <w:rsid w:val="79876FEC"/>
    <w:rsid w:val="79BC6C95"/>
    <w:rsid w:val="79D7587D"/>
    <w:rsid w:val="7B130B37"/>
    <w:rsid w:val="7B3D5BB4"/>
    <w:rsid w:val="7BF2699E"/>
    <w:rsid w:val="7C232FFC"/>
    <w:rsid w:val="7C286864"/>
    <w:rsid w:val="7C5533D1"/>
    <w:rsid w:val="7CC3658D"/>
    <w:rsid w:val="7D0C7F34"/>
    <w:rsid w:val="7D0E47B7"/>
    <w:rsid w:val="7D5B4A17"/>
    <w:rsid w:val="7D6A4C5A"/>
    <w:rsid w:val="7D7B6E68"/>
    <w:rsid w:val="7DB3215D"/>
    <w:rsid w:val="7DB61C4E"/>
    <w:rsid w:val="7E040C0B"/>
    <w:rsid w:val="7E68119A"/>
    <w:rsid w:val="7E8B4E88"/>
    <w:rsid w:val="7EA63A70"/>
    <w:rsid w:val="7EB20667"/>
    <w:rsid w:val="7EC108AA"/>
    <w:rsid w:val="7F3472CE"/>
    <w:rsid w:val="7F7973D7"/>
    <w:rsid w:val="7F857B2A"/>
    <w:rsid w:val="7FD60385"/>
    <w:rsid w:val="7FDF723A"/>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font01"/>
    <w:basedOn w:val="9"/>
    <w:qFormat/>
    <w:uiPriority w:val="0"/>
    <w:rPr>
      <w:rFonts w:hint="eastAsia" w:ascii="宋体" w:hAnsi="宋体" w:eastAsia="宋体" w:cs="宋体"/>
      <w:color w:val="000000"/>
      <w:sz w:val="22"/>
      <w:szCs w:val="22"/>
      <w:u w:val="none"/>
    </w:rPr>
  </w:style>
  <w:style w:type="character" w:customStyle="1" w:styleId="12">
    <w:name w:val="批注框文本 Char"/>
    <w:basedOn w:val="9"/>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Company>
  <Pages>23</Pages>
  <Words>1424</Words>
  <Characters>8122</Characters>
  <Lines>67</Lines>
  <Paragraphs>19</Paragraphs>
  <TotalTime>64</TotalTime>
  <ScaleCrop>false</ScaleCrop>
  <LinksUpToDate>false</LinksUpToDate>
  <CharactersWithSpaces>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2023-11-13T09:56:00Z</dcterms:created>
  <dc:creator>Administrator</dc:creator>
  <cp:lastModifiedBy>Mr.王</cp:lastModifiedBy>
  <cp:lastPrinted>2023-11-17T03:36:00Z</cp:lastPrinted>
  <dcterms:modified xsi:type="dcterms:W3CDTF">2023-11-22T06:57:03Z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00D7F15E916D4E23AF42474FC0D479B3_13</vt:lpwstr>
  </property>
</Properties>
</file>