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56B" w:rsidRPr="00875457" w:rsidRDefault="004B056B" w:rsidP="00B7010B">
      <w:pPr>
        <w:widowControl/>
        <w:spacing w:line="600" w:lineRule="atLeast"/>
        <w:ind w:firstLineChars="196" w:firstLine="708"/>
        <w:rPr>
          <w:rFonts w:ascii="宋体" w:hAnsi="宋体" w:cs="宋体"/>
          <w:b/>
          <w:bCs/>
          <w:color w:val="333333"/>
          <w:kern w:val="0"/>
          <w:sz w:val="36"/>
          <w:szCs w:val="36"/>
        </w:rPr>
      </w:pPr>
      <w:r w:rsidRPr="00875457">
        <w:rPr>
          <w:rFonts w:ascii="宋体" w:hAnsi="宋体" w:cs="宋体" w:hint="eastAsia"/>
          <w:b/>
          <w:bCs/>
          <w:color w:val="333333"/>
          <w:kern w:val="0"/>
          <w:sz w:val="36"/>
          <w:szCs w:val="36"/>
        </w:rPr>
        <w:t>20</w:t>
      </w:r>
      <w:r>
        <w:rPr>
          <w:rFonts w:ascii="宋体" w:hAnsi="宋体" w:cs="宋体" w:hint="eastAsia"/>
          <w:b/>
          <w:bCs/>
          <w:color w:val="333333"/>
          <w:kern w:val="0"/>
          <w:sz w:val="36"/>
          <w:szCs w:val="36"/>
        </w:rPr>
        <w:t>22</w:t>
      </w:r>
      <w:r w:rsidRPr="00875457">
        <w:rPr>
          <w:rFonts w:ascii="宋体" w:hAnsi="宋体" w:cs="宋体" w:hint="eastAsia"/>
          <w:b/>
          <w:bCs/>
          <w:color w:val="333333"/>
          <w:kern w:val="0"/>
          <w:sz w:val="36"/>
          <w:szCs w:val="36"/>
        </w:rPr>
        <w:t>年政府可用财力及转移支付和预算平衡</w:t>
      </w:r>
    </w:p>
    <w:p w:rsidR="004B056B" w:rsidRPr="00875457" w:rsidRDefault="004B056B" w:rsidP="00B7010B">
      <w:pPr>
        <w:widowControl/>
        <w:spacing w:line="600" w:lineRule="atLeast"/>
        <w:ind w:firstLineChars="700" w:firstLine="2530"/>
        <w:rPr>
          <w:rFonts w:ascii="宋体" w:hAnsi="宋体" w:cs="宋体"/>
          <w:color w:val="000000"/>
          <w:kern w:val="0"/>
          <w:sz w:val="36"/>
          <w:szCs w:val="36"/>
        </w:rPr>
      </w:pPr>
      <w:r w:rsidRPr="00875457">
        <w:rPr>
          <w:rFonts w:ascii="宋体" w:hAnsi="宋体" w:cs="宋体" w:hint="eastAsia"/>
          <w:b/>
          <w:bCs/>
          <w:color w:val="333333"/>
          <w:kern w:val="0"/>
          <w:sz w:val="36"/>
          <w:szCs w:val="36"/>
        </w:rPr>
        <w:t>有关情况的说明</w:t>
      </w:r>
    </w:p>
    <w:p w:rsidR="004B056B" w:rsidRPr="00EE51F1" w:rsidRDefault="004B056B" w:rsidP="004B056B">
      <w:pPr>
        <w:widowControl/>
        <w:spacing w:line="600" w:lineRule="atLeast"/>
        <w:ind w:firstLine="640"/>
        <w:jc w:val="left"/>
        <w:rPr>
          <w:rFonts w:ascii="宋体" w:hAnsi="宋体" w:cs="宋体"/>
          <w:color w:val="000000"/>
          <w:kern w:val="0"/>
          <w:sz w:val="32"/>
          <w:szCs w:val="32"/>
        </w:rPr>
      </w:pPr>
    </w:p>
    <w:p w:rsidR="004B056B" w:rsidRPr="00897EAB" w:rsidRDefault="004B056B" w:rsidP="004B056B">
      <w:pPr>
        <w:widowControl/>
        <w:spacing w:line="600" w:lineRule="atLeast"/>
        <w:ind w:firstLineChars="250" w:firstLine="800"/>
        <w:jc w:val="left"/>
        <w:rPr>
          <w:rFonts w:ascii="仿宋" w:eastAsia="仿宋" w:hAnsi="仿宋" w:cs="宋体"/>
          <w:color w:val="000000"/>
          <w:kern w:val="0"/>
          <w:szCs w:val="21"/>
        </w:rPr>
      </w:pPr>
      <w:r w:rsidRPr="00897EAB">
        <w:rPr>
          <w:rFonts w:ascii="仿宋" w:eastAsia="仿宋" w:hAnsi="仿宋" w:cs="宋体"/>
          <w:color w:val="000000"/>
          <w:kern w:val="0"/>
          <w:sz w:val="32"/>
          <w:szCs w:val="32"/>
        </w:rPr>
        <w:t>20</w:t>
      </w:r>
      <w:r w:rsidRPr="00897EAB">
        <w:rPr>
          <w:rFonts w:ascii="仿宋" w:eastAsia="仿宋" w:hAnsi="仿宋" w:cs="宋体" w:hint="eastAsia"/>
          <w:color w:val="000000"/>
          <w:kern w:val="0"/>
          <w:sz w:val="32"/>
          <w:szCs w:val="32"/>
        </w:rPr>
        <w:t>22年我县地方财政收入预算16800万元（</w:t>
      </w:r>
      <w:r w:rsidRPr="00897EAB">
        <w:rPr>
          <w:rFonts w:ascii="仿宋" w:eastAsia="仿宋" w:hAnsi="仿宋" w:hint="eastAsia"/>
          <w:color w:val="000000"/>
          <w:sz w:val="32"/>
          <w:szCs w:val="32"/>
        </w:rPr>
        <w:t>其中：税收收入11808万元，非税收入4992万元</w:t>
      </w:r>
      <w:r w:rsidRPr="00897EAB">
        <w:rPr>
          <w:rFonts w:ascii="仿宋" w:eastAsia="仿宋" w:hAnsi="仿宋" w:cs="宋体" w:hint="eastAsia"/>
          <w:color w:val="000000"/>
          <w:kern w:val="0"/>
          <w:sz w:val="32"/>
          <w:szCs w:val="32"/>
        </w:rPr>
        <w:t>）</w:t>
      </w:r>
      <w:r w:rsidRPr="00897EAB">
        <w:rPr>
          <w:rFonts w:ascii="仿宋" w:eastAsia="仿宋" w:hAnsi="仿宋" w:hint="eastAsia"/>
          <w:color w:val="000000"/>
          <w:sz w:val="32"/>
          <w:szCs w:val="32"/>
        </w:rPr>
        <w:t>，</w:t>
      </w:r>
      <w:r w:rsidRPr="00897EAB">
        <w:rPr>
          <w:rFonts w:ascii="仿宋" w:eastAsia="仿宋" w:hAnsi="仿宋" w:cs="宋体" w:hint="eastAsia"/>
          <w:color w:val="000000"/>
          <w:kern w:val="0"/>
          <w:sz w:val="32"/>
          <w:szCs w:val="32"/>
        </w:rPr>
        <w:t>加上上级补助收入172781万元（其中：返还性收入1630万元，一般性转移支付补助收入86032万元，专项转移支付补助收入85119万元），加上上年结余结转1398万元，调入预算稳定调节基金1174万元，减去专项上解支出758万元，全县可用财力为191395万元。</w:t>
      </w:r>
    </w:p>
    <w:p w:rsidR="004B056B" w:rsidRPr="00897EAB" w:rsidRDefault="004B056B" w:rsidP="004B056B">
      <w:pPr>
        <w:widowControl/>
        <w:spacing w:line="600" w:lineRule="atLeast"/>
        <w:ind w:firstLine="640"/>
        <w:jc w:val="left"/>
        <w:rPr>
          <w:rFonts w:ascii="仿宋" w:eastAsia="仿宋" w:hAnsi="仿宋" w:cs="宋体"/>
          <w:color w:val="000000"/>
          <w:kern w:val="0"/>
          <w:sz w:val="32"/>
          <w:szCs w:val="32"/>
        </w:rPr>
      </w:pPr>
      <w:r w:rsidRPr="00897EAB">
        <w:rPr>
          <w:rFonts w:ascii="仿宋" w:eastAsia="仿宋" w:hAnsi="仿宋" w:cs="宋体" w:hint="eastAsia"/>
          <w:color w:val="000000"/>
          <w:kern w:val="0"/>
          <w:sz w:val="32"/>
          <w:szCs w:val="32"/>
        </w:rPr>
        <w:t>2022年支出预算安排191395万元，年初预算收支平衡。</w:t>
      </w: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Pr="003744D5" w:rsidRDefault="004B056B" w:rsidP="004B056B">
      <w:pPr>
        <w:widowControl/>
        <w:spacing w:line="600" w:lineRule="atLeast"/>
        <w:jc w:val="center"/>
        <w:rPr>
          <w:rFonts w:ascii="方正小标宋简体" w:eastAsia="方正小标宋简体" w:hAnsi="宋体" w:cs="宋体"/>
          <w:color w:val="000000"/>
          <w:kern w:val="0"/>
          <w:sz w:val="44"/>
          <w:szCs w:val="44"/>
        </w:rPr>
      </w:pPr>
      <w:r w:rsidRPr="003744D5">
        <w:rPr>
          <w:rFonts w:ascii="方正小标宋简体" w:eastAsia="方正小标宋简体" w:hAnsi="宋体" w:cs="宋体" w:hint="eastAsia"/>
          <w:bCs/>
          <w:color w:val="333333"/>
          <w:kern w:val="0"/>
          <w:sz w:val="44"/>
          <w:szCs w:val="44"/>
        </w:rPr>
        <w:lastRenderedPageBreak/>
        <w:t>陇县政府性债务有关情况的说明</w:t>
      </w:r>
    </w:p>
    <w:p w:rsidR="004B056B" w:rsidRDefault="004B056B" w:rsidP="004B056B">
      <w:pPr>
        <w:widowControl/>
        <w:spacing w:line="600" w:lineRule="atLeast"/>
        <w:ind w:firstLineChars="200" w:firstLine="720"/>
        <w:jc w:val="left"/>
        <w:rPr>
          <w:rFonts w:ascii="宋体" w:hAnsi="宋体" w:cs="宋体"/>
          <w:color w:val="333333"/>
          <w:kern w:val="0"/>
          <w:sz w:val="36"/>
          <w:szCs w:val="36"/>
        </w:rPr>
      </w:pPr>
    </w:p>
    <w:p w:rsidR="004B056B" w:rsidRPr="003744D5" w:rsidRDefault="004B056B" w:rsidP="004B056B">
      <w:pPr>
        <w:widowControl/>
        <w:spacing w:line="600" w:lineRule="atLeast"/>
        <w:ind w:firstLineChars="200" w:firstLine="640"/>
        <w:jc w:val="left"/>
        <w:rPr>
          <w:rFonts w:ascii="仿宋" w:eastAsia="仿宋" w:hAnsi="仿宋" w:cs="宋体"/>
          <w:color w:val="000000"/>
          <w:kern w:val="0"/>
          <w:sz w:val="32"/>
          <w:szCs w:val="32"/>
        </w:rPr>
      </w:pPr>
      <w:r w:rsidRPr="003744D5">
        <w:rPr>
          <w:rFonts w:ascii="仿宋" w:eastAsia="仿宋" w:hAnsi="仿宋" w:cs="宋体" w:hint="eastAsia"/>
          <w:color w:val="333333"/>
          <w:kern w:val="0"/>
          <w:sz w:val="32"/>
          <w:szCs w:val="32"/>
        </w:rPr>
        <w:t>2021年市上批准下达我县政府债务限额23.45亿元，其中：一般债务限额15.25亿元、专项债务限额8.17亿元。截止</w:t>
      </w:r>
      <w:r w:rsidRPr="003744D5">
        <w:rPr>
          <w:rFonts w:ascii="仿宋" w:eastAsia="仿宋" w:hAnsi="仿宋" w:cs="宋体"/>
          <w:color w:val="333333"/>
          <w:kern w:val="0"/>
          <w:sz w:val="32"/>
          <w:szCs w:val="32"/>
        </w:rPr>
        <w:t>20</w:t>
      </w:r>
      <w:r w:rsidRPr="003744D5">
        <w:rPr>
          <w:rFonts w:ascii="仿宋" w:eastAsia="仿宋" w:hAnsi="仿宋" w:cs="宋体" w:hint="eastAsia"/>
          <w:color w:val="333333"/>
          <w:kern w:val="0"/>
          <w:sz w:val="32"/>
          <w:szCs w:val="32"/>
        </w:rPr>
        <w:t>21年底，全县政府性债务余额18.96亿元（其中：一般债务11.0</w:t>
      </w:r>
      <w:bookmarkStart w:id="0" w:name="_GoBack"/>
      <w:bookmarkEnd w:id="0"/>
      <w:r w:rsidRPr="003744D5">
        <w:rPr>
          <w:rFonts w:ascii="仿宋" w:eastAsia="仿宋" w:hAnsi="仿宋" w:cs="宋体" w:hint="eastAsia"/>
          <w:color w:val="333333"/>
          <w:kern w:val="0"/>
          <w:sz w:val="32"/>
          <w:szCs w:val="32"/>
        </w:rPr>
        <w:t>8亿元，专项债务7.88亿元）</w:t>
      </w:r>
      <w:r w:rsidRPr="003744D5">
        <w:rPr>
          <w:rFonts w:ascii="仿宋" w:eastAsia="仿宋" w:hAnsi="仿宋" w:hint="eastAsia"/>
          <w:color w:val="000000"/>
          <w:sz w:val="32"/>
          <w:szCs w:val="32"/>
        </w:rPr>
        <w:t>全部为县级债务。</w:t>
      </w:r>
      <w:r w:rsidRPr="003744D5">
        <w:rPr>
          <w:rFonts w:ascii="仿宋" w:eastAsia="仿宋" w:hAnsi="仿宋" w:cs="宋体" w:hint="eastAsia"/>
          <w:color w:val="333333"/>
          <w:kern w:val="0"/>
          <w:sz w:val="32"/>
          <w:szCs w:val="32"/>
        </w:rPr>
        <w:t>按照我县综合财力测算，政府负有偿还责任的债务在省测算的限额规模内。</w:t>
      </w:r>
      <w:r w:rsidRPr="003744D5">
        <w:rPr>
          <w:rFonts w:ascii="仿宋" w:eastAsia="仿宋" w:hAnsi="仿宋" w:hint="eastAsia"/>
          <w:color w:val="000000"/>
          <w:sz w:val="32"/>
          <w:szCs w:val="32"/>
        </w:rPr>
        <w:t>政府低于全市平均水平，债务风险在可控范围内</w:t>
      </w:r>
      <w:r w:rsidRPr="003744D5">
        <w:rPr>
          <w:rFonts w:ascii="仿宋" w:eastAsia="仿宋" w:hAnsi="仿宋" w:cs="宋体" w:hint="eastAsia"/>
          <w:color w:val="333333"/>
          <w:kern w:val="0"/>
          <w:sz w:val="32"/>
          <w:szCs w:val="32"/>
        </w:rPr>
        <w:t>。2022年政府债务限额等市上核定后公开。2022年政府债务余额待年底汇总后公开。</w:t>
      </w:r>
    </w:p>
    <w:p w:rsidR="004B056B" w:rsidRPr="003744D5" w:rsidRDefault="004B056B" w:rsidP="004B056B">
      <w:pPr>
        <w:ind w:firstLineChars="200" w:firstLine="640"/>
        <w:rPr>
          <w:rFonts w:ascii="仿宋" w:eastAsia="仿宋" w:hAnsi="仿宋"/>
          <w:sz w:val="32"/>
          <w:szCs w:val="32"/>
        </w:rPr>
      </w:pPr>
      <w:r w:rsidRPr="003744D5">
        <w:rPr>
          <w:rFonts w:ascii="仿宋" w:eastAsia="仿宋" w:hAnsi="仿宋" w:cs="宋体" w:hint="eastAsia"/>
          <w:color w:val="333333"/>
          <w:kern w:val="0"/>
          <w:sz w:val="32"/>
          <w:szCs w:val="32"/>
        </w:rPr>
        <w:t>在政府性债务管理方面要严格执行新《预算法》和中省市政府性债务管理办法的规定，对政府债务实行规模控制，严格限定举债程序和资金用途，把政府债务分门别类纳入全口径预算管理，实现“借、用、还”相统一。</w:t>
      </w: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B15D5A" w:rsidRPr="00F35929" w:rsidRDefault="00B15D5A" w:rsidP="00B15D5A">
      <w:pPr>
        <w:jc w:val="center"/>
        <w:rPr>
          <w:rFonts w:ascii="宋体" w:hAnsi="宋体"/>
          <w:sz w:val="36"/>
          <w:szCs w:val="36"/>
        </w:rPr>
      </w:pPr>
      <w:r w:rsidRPr="00F35929">
        <w:rPr>
          <w:rFonts w:ascii="宋体" w:hAnsi="宋体" w:hint="eastAsia"/>
          <w:b/>
          <w:bCs/>
          <w:sz w:val="36"/>
          <w:szCs w:val="36"/>
        </w:rPr>
        <w:lastRenderedPageBreak/>
        <w:t>陇县</w:t>
      </w:r>
      <w:r w:rsidRPr="00F35929">
        <w:rPr>
          <w:rFonts w:ascii="宋体" w:hAnsi="宋体"/>
          <w:b/>
          <w:bCs/>
          <w:sz w:val="36"/>
          <w:szCs w:val="36"/>
        </w:rPr>
        <w:t>20</w:t>
      </w:r>
      <w:r>
        <w:rPr>
          <w:rFonts w:ascii="宋体" w:hAnsi="宋体" w:hint="eastAsia"/>
          <w:b/>
          <w:bCs/>
          <w:sz w:val="36"/>
          <w:szCs w:val="36"/>
        </w:rPr>
        <w:t>22</w:t>
      </w:r>
      <w:r w:rsidRPr="00F35929">
        <w:rPr>
          <w:rFonts w:ascii="宋体" w:hAnsi="宋体" w:hint="eastAsia"/>
          <w:b/>
          <w:bCs/>
          <w:sz w:val="36"/>
          <w:szCs w:val="36"/>
        </w:rPr>
        <w:t>年 “三公经费”预算及说明</w:t>
      </w:r>
    </w:p>
    <w:tbl>
      <w:tblPr>
        <w:tblpPr w:leftFromText="180" w:rightFromText="180" w:vertAnchor="text" w:tblpY="1"/>
        <w:tblOverlap w:val="never"/>
        <w:tblW w:w="8520" w:type="dxa"/>
        <w:tblLayout w:type="fixed"/>
        <w:tblCellMar>
          <w:left w:w="0" w:type="dxa"/>
          <w:right w:w="0" w:type="dxa"/>
        </w:tblCellMar>
        <w:tblLook w:val="00A0"/>
      </w:tblPr>
      <w:tblGrid>
        <w:gridCol w:w="1716"/>
        <w:gridCol w:w="768"/>
        <w:gridCol w:w="1354"/>
        <w:gridCol w:w="997"/>
        <w:gridCol w:w="855"/>
        <w:gridCol w:w="827"/>
        <w:gridCol w:w="2003"/>
      </w:tblGrid>
      <w:tr w:rsidR="00B15D5A" w:rsidRPr="00F35929" w:rsidTr="008B56A9">
        <w:trPr>
          <w:gridAfter w:val="5"/>
          <w:wAfter w:w="6036" w:type="dxa"/>
          <w:trHeight w:val="400"/>
        </w:trPr>
        <w:tc>
          <w:tcPr>
            <w:tcW w:w="1716" w:type="dxa"/>
            <w:tcMar>
              <w:top w:w="15" w:type="dxa"/>
              <w:left w:w="15" w:type="dxa"/>
              <w:bottom w:w="15" w:type="dxa"/>
              <w:right w:w="15" w:type="dxa"/>
            </w:tcMar>
            <w:vAlign w:val="bottom"/>
          </w:tcPr>
          <w:p w:rsidR="00B15D5A" w:rsidRPr="00F35929" w:rsidRDefault="00B15D5A" w:rsidP="008B56A9">
            <w:pPr>
              <w:widowControl/>
              <w:spacing w:before="100" w:beforeAutospacing="1" w:after="100" w:afterAutospacing="1"/>
              <w:rPr>
                <w:rFonts w:ascii="宋体" w:hAnsi="宋体" w:cs="宋体"/>
                <w:kern w:val="0"/>
                <w:sz w:val="24"/>
                <w:szCs w:val="24"/>
              </w:rPr>
            </w:pPr>
            <w:r w:rsidRPr="00D54FDC">
              <w:rPr>
                <w:rFonts w:ascii="宋体" w:hAnsi="宋体" w:cs="宋体" w:hint="eastAsia"/>
                <w:kern w:val="0"/>
                <w:sz w:val="24"/>
                <w:szCs w:val="24"/>
              </w:rPr>
              <w:t xml:space="preserve">                                                                    金额单位：万元</w:t>
            </w:r>
          </w:p>
        </w:tc>
        <w:tc>
          <w:tcPr>
            <w:tcW w:w="768" w:type="dxa"/>
            <w:tcMar>
              <w:top w:w="15" w:type="dxa"/>
              <w:left w:w="15" w:type="dxa"/>
              <w:bottom w:w="15" w:type="dxa"/>
              <w:right w:w="15" w:type="dxa"/>
            </w:tcMar>
            <w:vAlign w:val="bottom"/>
          </w:tcPr>
          <w:p w:rsidR="00B15D5A" w:rsidRPr="00F35929" w:rsidRDefault="00B15D5A" w:rsidP="008B56A9">
            <w:pPr>
              <w:widowControl/>
              <w:jc w:val="left"/>
              <w:rPr>
                <w:rFonts w:ascii="宋体" w:hAnsi="宋体" w:cs="宋体"/>
                <w:kern w:val="0"/>
                <w:sz w:val="24"/>
                <w:szCs w:val="24"/>
              </w:rPr>
            </w:pPr>
          </w:p>
        </w:tc>
      </w:tr>
      <w:tr w:rsidR="00B15D5A" w:rsidRPr="00F35929" w:rsidTr="008B56A9">
        <w:trPr>
          <w:trHeight w:val="600"/>
        </w:trPr>
        <w:tc>
          <w:tcPr>
            <w:tcW w:w="171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jc w:val="center"/>
              <w:rPr>
                <w:rFonts w:ascii="仿宋" w:eastAsia="仿宋" w:hAnsi="仿宋" w:cs="宋体"/>
                <w:kern w:val="0"/>
                <w:sz w:val="32"/>
                <w:szCs w:val="32"/>
              </w:rPr>
            </w:pPr>
            <w:r w:rsidRPr="00E311D8">
              <w:rPr>
                <w:rFonts w:ascii="仿宋" w:eastAsia="仿宋" w:hAnsi="仿宋" w:cs="宋体"/>
                <w:color w:val="000000"/>
                <w:kern w:val="0"/>
                <w:sz w:val="32"/>
                <w:szCs w:val="32"/>
              </w:rPr>
              <w:t xml:space="preserve">                     </w:t>
            </w:r>
            <w:r w:rsidRPr="00E311D8">
              <w:rPr>
                <w:rFonts w:ascii="仿宋" w:eastAsia="仿宋" w:hAnsi="仿宋" w:cs="宋体" w:hint="eastAsia"/>
                <w:color w:val="000000"/>
                <w:kern w:val="0"/>
                <w:sz w:val="32"/>
                <w:szCs w:val="32"/>
              </w:rPr>
              <w:t xml:space="preserve">  单位名称</w:t>
            </w:r>
          </w:p>
        </w:tc>
        <w:tc>
          <w:tcPr>
            <w:tcW w:w="6804" w:type="dxa"/>
            <w:gridSpan w:val="6"/>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jc w:val="center"/>
              <w:rPr>
                <w:rFonts w:ascii="仿宋" w:eastAsia="仿宋" w:hAnsi="仿宋" w:cs="宋体"/>
                <w:kern w:val="0"/>
                <w:sz w:val="32"/>
                <w:szCs w:val="32"/>
              </w:rPr>
            </w:pPr>
            <w:r w:rsidRPr="00E311D8">
              <w:rPr>
                <w:rFonts w:ascii="仿宋" w:eastAsia="仿宋" w:hAnsi="仿宋" w:cs="宋体" w:hint="eastAsia"/>
                <w:color w:val="000000"/>
                <w:kern w:val="0"/>
                <w:sz w:val="32"/>
                <w:szCs w:val="32"/>
              </w:rPr>
              <w:t>三公经费</w:t>
            </w:r>
          </w:p>
        </w:tc>
      </w:tr>
      <w:tr w:rsidR="00B15D5A" w:rsidRPr="00F35929" w:rsidTr="008B56A9">
        <w:trPr>
          <w:trHeight w:val="600"/>
        </w:trPr>
        <w:tc>
          <w:tcPr>
            <w:tcW w:w="1716" w:type="dxa"/>
            <w:vMerge/>
            <w:tcBorders>
              <w:top w:val="single" w:sz="8" w:space="0" w:color="000000"/>
              <w:left w:val="single" w:sz="8" w:space="0" w:color="000000"/>
              <w:bottom w:val="single" w:sz="8" w:space="0" w:color="000000"/>
              <w:right w:val="single" w:sz="8" w:space="0" w:color="000000"/>
            </w:tcBorders>
            <w:vAlign w:val="center"/>
          </w:tcPr>
          <w:p w:rsidR="00B15D5A" w:rsidRPr="00E311D8" w:rsidRDefault="00B15D5A" w:rsidP="008B56A9">
            <w:pPr>
              <w:widowControl/>
              <w:jc w:val="left"/>
              <w:rPr>
                <w:rFonts w:ascii="仿宋" w:eastAsia="仿宋" w:hAnsi="仿宋" w:cs="宋体"/>
                <w:kern w:val="0"/>
                <w:sz w:val="32"/>
                <w:szCs w:val="32"/>
              </w:rPr>
            </w:pPr>
          </w:p>
        </w:tc>
        <w:tc>
          <w:tcPr>
            <w:tcW w:w="2122"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kern w:val="0"/>
                <w:sz w:val="32"/>
                <w:szCs w:val="32"/>
              </w:rPr>
            </w:pPr>
            <w:r w:rsidRPr="00E311D8">
              <w:rPr>
                <w:rFonts w:ascii="仿宋" w:eastAsia="仿宋" w:hAnsi="仿宋" w:cs="宋体" w:hint="eastAsia"/>
                <w:kern w:val="0"/>
                <w:sz w:val="32"/>
                <w:szCs w:val="32"/>
              </w:rPr>
              <w:t>合计</w:t>
            </w:r>
          </w:p>
        </w:tc>
        <w:tc>
          <w:tcPr>
            <w:tcW w:w="99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kern w:val="0"/>
                <w:sz w:val="32"/>
                <w:szCs w:val="32"/>
              </w:rPr>
            </w:pPr>
            <w:r w:rsidRPr="00E311D8">
              <w:rPr>
                <w:rFonts w:ascii="仿宋" w:eastAsia="仿宋" w:hAnsi="仿宋" w:cs="宋体" w:hint="eastAsia"/>
                <w:color w:val="000000"/>
                <w:kern w:val="0"/>
                <w:sz w:val="32"/>
                <w:szCs w:val="32"/>
              </w:rPr>
              <w:t>因公出国出境费</w:t>
            </w:r>
          </w:p>
        </w:tc>
        <w:tc>
          <w:tcPr>
            <w:tcW w:w="85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kern w:val="0"/>
                <w:sz w:val="32"/>
                <w:szCs w:val="32"/>
              </w:rPr>
            </w:pPr>
            <w:r w:rsidRPr="00E311D8">
              <w:rPr>
                <w:rFonts w:ascii="仿宋" w:eastAsia="仿宋" w:hAnsi="仿宋" w:cs="宋体" w:hint="eastAsia"/>
                <w:color w:val="000000"/>
                <w:kern w:val="0"/>
                <w:sz w:val="32"/>
                <w:szCs w:val="32"/>
              </w:rPr>
              <w:t>公务接待费</w:t>
            </w:r>
          </w:p>
        </w:tc>
        <w:tc>
          <w:tcPr>
            <w:tcW w:w="8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kern w:val="0"/>
                <w:sz w:val="32"/>
                <w:szCs w:val="32"/>
              </w:rPr>
            </w:pPr>
            <w:r w:rsidRPr="00E311D8">
              <w:rPr>
                <w:rFonts w:ascii="仿宋" w:eastAsia="仿宋" w:hAnsi="仿宋" w:cs="宋体" w:hint="eastAsia"/>
                <w:color w:val="000000"/>
                <w:kern w:val="0"/>
                <w:sz w:val="32"/>
                <w:szCs w:val="32"/>
              </w:rPr>
              <w:t>公务用车购置</w:t>
            </w:r>
          </w:p>
        </w:tc>
        <w:tc>
          <w:tcPr>
            <w:tcW w:w="2003"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kern w:val="0"/>
                <w:sz w:val="32"/>
                <w:szCs w:val="32"/>
              </w:rPr>
            </w:pPr>
            <w:r w:rsidRPr="00E311D8">
              <w:rPr>
                <w:rFonts w:ascii="仿宋" w:eastAsia="仿宋" w:hAnsi="仿宋" w:cs="宋体" w:hint="eastAsia"/>
                <w:color w:val="000000"/>
                <w:kern w:val="0"/>
                <w:sz w:val="32"/>
                <w:szCs w:val="32"/>
              </w:rPr>
              <w:t>公务车辆运行维护费</w:t>
            </w:r>
          </w:p>
        </w:tc>
      </w:tr>
      <w:tr w:rsidR="00B15D5A" w:rsidRPr="00F35929" w:rsidTr="008B56A9">
        <w:trPr>
          <w:trHeight w:val="1035"/>
        </w:trPr>
        <w:tc>
          <w:tcPr>
            <w:tcW w:w="1716"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color w:val="000000"/>
                <w:kern w:val="0"/>
                <w:sz w:val="32"/>
                <w:szCs w:val="32"/>
              </w:rPr>
            </w:pPr>
            <w:r w:rsidRPr="00E311D8">
              <w:rPr>
                <w:rFonts w:ascii="仿宋" w:eastAsia="仿宋" w:hAnsi="仿宋" w:cs="宋体"/>
                <w:color w:val="000000"/>
                <w:kern w:val="0"/>
                <w:sz w:val="32"/>
                <w:szCs w:val="32"/>
              </w:rPr>
              <w:t>20</w:t>
            </w:r>
            <w:r>
              <w:rPr>
                <w:rFonts w:ascii="仿宋" w:eastAsia="仿宋" w:hAnsi="仿宋" w:cs="宋体" w:hint="eastAsia"/>
                <w:color w:val="000000"/>
                <w:kern w:val="0"/>
                <w:sz w:val="32"/>
                <w:szCs w:val="32"/>
              </w:rPr>
              <w:t>22</w:t>
            </w:r>
            <w:r w:rsidRPr="00E311D8">
              <w:rPr>
                <w:rFonts w:ascii="仿宋" w:eastAsia="仿宋" w:hAnsi="仿宋" w:cs="宋体" w:hint="eastAsia"/>
                <w:color w:val="000000"/>
                <w:kern w:val="0"/>
                <w:sz w:val="32"/>
                <w:szCs w:val="32"/>
              </w:rPr>
              <w:t>年预算合计</w:t>
            </w:r>
          </w:p>
        </w:tc>
        <w:tc>
          <w:tcPr>
            <w:tcW w:w="2122"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color w:val="000000"/>
                <w:kern w:val="0"/>
                <w:sz w:val="32"/>
                <w:szCs w:val="32"/>
              </w:rPr>
            </w:pPr>
            <w:r>
              <w:rPr>
                <w:rFonts w:ascii="仿宋" w:eastAsia="仿宋" w:hAnsi="仿宋" w:cs="宋体" w:hint="eastAsia"/>
                <w:color w:val="000000"/>
                <w:kern w:val="0"/>
                <w:sz w:val="32"/>
                <w:szCs w:val="32"/>
              </w:rPr>
              <w:t>434.7</w:t>
            </w:r>
          </w:p>
        </w:tc>
        <w:tc>
          <w:tcPr>
            <w:tcW w:w="99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line="360" w:lineRule="exact"/>
              <w:jc w:val="center"/>
              <w:rPr>
                <w:rFonts w:ascii="仿宋" w:eastAsia="仿宋" w:hAnsi="仿宋" w:cs="宋体"/>
                <w:color w:val="000000"/>
                <w:kern w:val="0"/>
                <w:sz w:val="32"/>
                <w:szCs w:val="32"/>
              </w:rPr>
            </w:pPr>
            <w:r w:rsidRPr="00E311D8">
              <w:rPr>
                <w:rFonts w:ascii="仿宋" w:eastAsia="仿宋" w:hAnsi="仿宋" w:cs="宋体"/>
                <w:color w:val="000000"/>
                <w:kern w:val="0"/>
                <w:sz w:val="32"/>
                <w:szCs w:val="32"/>
              </w:rPr>
              <w:t>0</w:t>
            </w:r>
          </w:p>
        </w:tc>
        <w:tc>
          <w:tcPr>
            <w:tcW w:w="85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color w:val="000000"/>
                <w:kern w:val="0"/>
                <w:sz w:val="32"/>
                <w:szCs w:val="32"/>
              </w:rPr>
            </w:pPr>
            <w:r>
              <w:rPr>
                <w:rFonts w:ascii="仿宋" w:eastAsia="仿宋" w:hAnsi="仿宋" w:cs="宋体" w:hint="eastAsia"/>
                <w:color w:val="000000"/>
                <w:kern w:val="0"/>
                <w:sz w:val="32"/>
                <w:szCs w:val="32"/>
              </w:rPr>
              <w:t>101.1</w:t>
            </w:r>
          </w:p>
        </w:tc>
        <w:tc>
          <w:tcPr>
            <w:tcW w:w="8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line="360" w:lineRule="exact"/>
              <w:jc w:val="center"/>
              <w:rPr>
                <w:rFonts w:ascii="仿宋" w:eastAsia="仿宋" w:hAnsi="仿宋" w:cs="宋体"/>
                <w:color w:val="000000"/>
                <w:kern w:val="0"/>
                <w:sz w:val="32"/>
                <w:szCs w:val="32"/>
              </w:rPr>
            </w:pPr>
            <w:r w:rsidRPr="00E311D8">
              <w:rPr>
                <w:rFonts w:ascii="仿宋" w:eastAsia="仿宋" w:hAnsi="仿宋" w:cs="宋体"/>
                <w:color w:val="000000"/>
                <w:kern w:val="0"/>
                <w:sz w:val="32"/>
                <w:szCs w:val="32"/>
              </w:rPr>
              <w:t>0</w:t>
            </w:r>
          </w:p>
        </w:tc>
        <w:tc>
          <w:tcPr>
            <w:tcW w:w="2003"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B15D5A" w:rsidRPr="00E311D8" w:rsidRDefault="00B15D5A" w:rsidP="008B56A9">
            <w:pPr>
              <w:widowControl/>
              <w:spacing w:before="100" w:beforeAutospacing="1" w:after="100" w:afterAutospacing="1" w:line="360" w:lineRule="exact"/>
              <w:jc w:val="center"/>
              <w:rPr>
                <w:rFonts w:ascii="仿宋" w:eastAsia="仿宋" w:hAnsi="仿宋" w:cs="宋体"/>
                <w:color w:val="000000"/>
                <w:kern w:val="0"/>
                <w:sz w:val="32"/>
                <w:szCs w:val="32"/>
              </w:rPr>
            </w:pPr>
            <w:r>
              <w:rPr>
                <w:rFonts w:ascii="仿宋" w:eastAsia="仿宋" w:hAnsi="仿宋" w:cs="宋体" w:hint="eastAsia"/>
                <w:color w:val="000000"/>
                <w:kern w:val="0"/>
                <w:sz w:val="32"/>
                <w:szCs w:val="32"/>
              </w:rPr>
              <w:t>334.3</w:t>
            </w:r>
          </w:p>
        </w:tc>
      </w:tr>
      <w:tr w:rsidR="00B15D5A" w:rsidRPr="00F35929" w:rsidTr="008B56A9">
        <w:trPr>
          <w:trHeight w:val="945"/>
        </w:trPr>
        <w:tc>
          <w:tcPr>
            <w:tcW w:w="8520" w:type="dxa"/>
            <w:gridSpan w:val="7"/>
            <w:tcBorders>
              <w:top w:val="nil"/>
              <w:left w:val="nil"/>
              <w:bottom w:val="nil"/>
              <w:right w:val="nil"/>
            </w:tcBorders>
            <w:tcMar>
              <w:top w:w="15" w:type="dxa"/>
              <w:left w:w="15" w:type="dxa"/>
              <w:bottom w:w="15" w:type="dxa"/>
              <w:right w:w="15" w:type="dxa"/>
            </w:tcMar>
            <w:vAlign w:val="center"/>
          </w:tcPr>
          <w:p w:rsidR="00B15D5A" w:rsidRPr="00E311D8" w:rsidRDefault="00B15D5A" w:rsidP="008B56A9">
            <w:pPr>
              <w:widowControl/>
              <w:spacing w:before="100" w:beforeAutospacing="1" w:after="240"/>
              <w:ind w:firstLine="320"/>
              <w:jc w:val="left"/>
              <w:rPr>
                <w:rFonts w:ascii="仿宋" w:eastAsia="仿宋" w:hAnsi="仿宋" w:cs="宋体"/>
                <w:kern w:val="0"/>
                <w:sz w:val="24"/>
                <w:szCs w:val="24"/>
              </w:rPr>
            </w:pPr>
            <w:r w:rsidRPr="00E311D8">
              <w:rPr>
                <w:rFonts w:ascii="仿宋" w:eastAsia="仿宋" w:hAnsi="仿宋" w:cs="宋体" w:hint="eastAsia"/>
                <w:color w:val="000000"/>
                <w:kern w:val="0"/>
                <w:sz w:val="32"/>
                <w:szCs w:val="32"/>
              </w:rPr>
              <w:t>说明：</w:t>
            </w:r>
            <w:r w:rsidRPr="00E311D8">
              <w:rPr>
                <w:rFonts w:ascii="仿宋" w:eastAsia="仿宋" w:hAnsi="仿宋" w:cs="宋体"/>
                <w:color w:val="000000"/>
                <w:kern w:val="0"/>
                <w:sz w:val="32"/>
                <w:szCs w:val="32"/>
              </w:rPr>
              <w:t>20</w:t>
            </w:r>
            <w:r w:rsidRPr="00E311D8">
              <w:rPr>
                <w:rFonts w:ascii="仿宋" w:eastAsia="仿宋" w:hAnsi="仿宋" w:cs="宋体" w:hint="eastAsia"/>
                <w:color w:val="000000"/>
                <w:kern w:val="0"/>
                <w:sz w:val="32"/>
                <w:szCs w:val="32"/>
              </w:rPr>
              <w:t>2</w:t>
            </w:r>
            <w:r>
              <w:rPr>
                <w:rFonts w:ascii="仿宋" w:eastAsia="仿宋" w:hAnsi="仿宋" w:cs="宋体" w:hint="eastAsia"/>
                <w:color w:val="000000"/>
                <w:kern w:val="0"/>
                <w:sz w:val="32"/>
                <w:szCs w:val="32"/>
              </w:rPr>
              <w:t>2</w:t>
            </w:r>
            <w:r w:rsidRPr="00E311D8">
              <w:rPr>
                <w:rFonts w:ascii="仿宋" w:eastAsia="仿宋" w:hAnsi="仿宋" w:cs="宋体" w:hint="eastAsia"/>
                <w:color w:val="000000"/>
                <w:kern w:val="0"/>
                <w:sz w:val="32"/>
                <w:szCs w:val="32"/>
              </w:rPr>
              <w:t>年全县三公经费预算总额为4</w:t>
            </w:r>
            <w:r>
              <w:rPr>
                <w:rFonts w:ascii="仿宋" w:eastAsia="仿宋" w:hAnsi="仿宋" w:cs="宋体" w:hint="eastAsia"/>
                <w:color w:val="000000"/>
                <w:kern w:val="0"/>
                <w:sz w:val="32"/>
                <w:szCs w:val="32"/>
              </w:rPr>
              <w:t>34.7</w:t>
            </w:r>
            <w:r w:rsidRPr="00E311D8">
              <w:rPr>
                <w:rFonts w:ascii="仿宋" w:eastAsia="仿宋" w:hAnsi="仿宋" w:cs="宋体" w:hint="eastAsia"/>
                <w:color w:val="000000"/>
                <w:kern w:val="0"/>
                <w:sz w:val="32"/>
                <w:szCs w:val="32"/>
              </w:rPr>
              <w:t>万元，较</w:t>
            </w:r>
            <w:r>
              <w:rPr>
                <w:rFonts w:ascii="仿宋" w:eastAsia="仿宋" w:hAnsi="仿宋" w:cs="宋体" w:hint="eastAsia"/>
                <w:color w:val="000000"/>
                <w:kern w:val="0"/>
                <w:sz w:val="32"/>
                <w:szCs w:val="32"/>
              </w:rPr>
              <w:t>2021</w:t>
            </w:r>
            <w:r w:rsidRPr="00E311D8">
              <w:rPr>
                <w:rFonts w:ascii="仿宋" w:eastAsia="仿宋" w:hAnsi="仿宋" w:cs="宋体" w:hint="eastAsia"/>
                <w:color w:val="000000"/>
                <w:kern w:val="0"/>
                <w:sz w:val="32"/>
                <w:szCs w:val="32"/>
              </w:rPr>
              <w:t>年预算数减少</w:t>
            </w:r>
            <w:r>
              <w:rPr>
                <w:rFonts w:ascii="仿宋" w:eastAsia="仿宋" w:hAnsi="仿宋" w:cs="宋体" w:hint="eastAsia"/>
                <w:color w:val="000000"/>
                <w:kern w:val="0"/>
                <w:sz w:val="32"/>
                <w:szCs w:val="32"/>
              </w:rPr>
              <w:t>1.8</w:t>
            </w:r>
            <w:r w:rsidRPr="00E311D8">
              <w:rPr>
                <w:rFonts w:ascii="仿宋" w:eastAsia="仿宋" w:hAnsi="仿宋" w:cs="宋体" w:hint="eastAsia"/>
                <w:color w:val="000000"/>
                <w:kern w:val="0"/>
                <w:sz w:val="32"/>
                <w:szCs w:val="32"/>
              </w:rPr>
              <w:t>万元，下降0.</w:t>
            </w:r>
            <w:r>
              <w:rPr>
                <w:rFonts w:ascii="仿宋" w:eastAsia="仿宋" w:hAnsi="仿宋" w:cs="宋体" w:hint="eastAsia"/>
                <w:color w:val="000000"/>
                <w:kern w:val="0"/>
                <w:sz w:val="32"/>
                <w:szCs w:val="32"/>
              </w:rPr>
              <w:t>41</w:t>
            </w:r>
            <w:r w:rsidRPr="00E311D8">
              <w:rPr>
                <w:rFonts w:ascii="仿宋" w:eastAsia="仿宋" w:hAnsi="仿宋" w:cs="宋体"/>
                <w:color w:val="000000"/>
                <w:kern w:val="0"/>
                <w:sz w:val="32"/>
                <w:szCs w:val="32"/>
              </w:rPr>
              <w:t>%</w:t>
            </w:r>
            <w:r w:rsidRPr="00E311D8">
              <w:rPr>
                <w:rFonts w:ascii="仿宋" w:eastAsia="仿宋" w:hAnsi="仿宋" w:cs="宋体" w:hint="eastAsia"/>
                <w:color w:val="000000"/>
                <w:kern w:val="0"/>
                <w:sz w:val="32"/>
                <w:szCs w:val="32"/>
              </w:rPr>
              <w:t>（其中：公务接待费减少</w:t>
            </w:r>
            <w:r>
              <w:rPr>
                <w:rFonts w:ascii="仿宋" w:eastAsia="仿宋" w:hAnsi="仿宋" w:cs="宋体" w:hint="eastAsia"/>
                <w:color w:val="000000"/>
                <w:kern w:val="0"/>
                <w:sz w:val="32"/>
                <w:szCs w:val="32"/>
              </w:rPr>
              <w:t>0.6</w:t>
            </w:r>
            <w:r w:rsidRPr="00E311D8">
              <w:rPr>
                <w:rFonts w:ascii="仿宋" w:eastAsia="仿宋" w:hAnsi="仿宋" w:cs="宋体" w:hint="eastAsia"/>
                <w:color w:val="000000"/>
                <w:kern w:val="0"/>
                <w:sz w:val="32"/>
                <w:szCs w:val="32"/>
              </w:rPr>
              <w:t>万元，下降</w:t>
            </w:r>
            <w:r>
              <w:rPr>
                <w:rFonts w:ascii="仿宋" w:eastAsia="仿宋" w:hAnsi="仿宋" w:cs="宋体" w:hint="eastAsia"/>
                <w:color w:val="000000"/>
                <w:kern w:val="0"/>
                <w:sz w:val="32"/>
                <w:szCs w:val="32"/>
              </w:rPr>
              <w:t>0.59</w:t>
            </w:r>
            <w:r w:rsidRPr="00E311D8">
              <w:rPr>
                <w:rFonts w:ascii="仿宋" w:eastAsia="仿宋" w:hAnsi="仿宋" w:cs="宋体"/>
                <w:color w:val="000000"/>
                <w:kern w:val="0"/>
                <w:sz w:val="32"/>
                <w:szCs w:val="32"/>
              </w:rPr>
              <w:t>%</w:t>
            </w:r>
            <w:r w:rsidRPr="00E311D8">
              <w:rPr>
                <w:rFonts w:ascii="仿宋" w:eastAsia="仿宋" w:hAnsi="仿宋" w:cs="宋体" w:hint="eastAsia"/>
                <w:color w:val="000000"/>
                <w:kern w:val="0"/>
                <w:sz w:val="32"/>
                <w:szCs w:val="32"/>
              </w:rPr>
              <w:t>；公务车辆运行维护费减少</w:t>
            </w:r>
            <w:r>
              <w:rPr>
                <w:rFonts w:ascii="仿宋" w:eastAsia="仿宋" w:hAnsi="仿宋" w:cs="宋体" w:hint="eastAsia"/>
                <w:color w:val="000000"/>
                <w:kern w:val="0"/>
                <w:sz w:val="32"/>
                <w:szCs w:val="32"/>
              </w:rPr>
              <w:t>0.5</w:t>
            </w:r>
            <w:r w:rsidRPr="00E311D8">
              <w:rPr>
                <w:rFonts w:ascii="仿宋" w:eastAsia="仿宋" w:hAnsi="仿宋" w:cs="宋体" w:hint="eastAsia"/>
                <w:color w:val="000000"/>
                <w:kern w:val="0"/>
                <w:sz w:val="32"/>
                <w:szCs w:val="32"/>
              </w:rPr>
              <w:t>万元，下降</w:t>
            </w:r>
            <w:r>
              <w:rPr>
                <w:rFonts w:ascii="仿宋" w:eastAsia="仿宋" w:hAnsi="仿宋" w:cs="宋体" w:hint="eastAsia"/>
                <w:color w:val="000000"/>
                <w:kern w:val="0"/>
                <w:sz w:val="32"/>
                <w:szCs w:val="32"/>
              </w:rPr>
              <w:t>0.15</w:t>
            </w:r>
            <w:r w:rsidRPr="00E311D8">
              <w:rPr>
                <w:rFonts w:ascii="仿宋" w:eastAsia="仿宋" w:hAnsi="仿宋" w:cs="宋体"/>
                <w:color w:val="000000"/>
                <w:kern w:val="0"/>
                <w:sz w:val="32"/>
                <w:szCs w:val="32"/>
              </w:rPr>
              <w:t>%</w:t>
            </w:r>
            <w:r w:rsidRPr="00E311D8">
              <w:rPr>
                <w:rFonts w:ascii="仿宋" w:eastAsia="仿宋" w:hAnsi="仿宋" w:cs="宋体" w:hint="eastAsia"/>
                <w:color w:val="000000"/>
                <w:kern w:val="0"/>
                <w:sz w:val="32"/>
                <w:szCs w:val="32"/>
              </w:rPr>
              <w:t>）。</w:t>
            </w:r>
          </w:p>
        </w:tc>
      </w:tr>
    </w:tbl>
    <w:p w:rsidR="00B15D5A" w:rsidRPr="004B056B"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B15D5A" w:rsidRDefault="00B15D5A" w:rsidP="00B15D5A">
      <w:pPr>
        <w:jc w:val="center"/>
        <w:rPr>
          <w:rFonts w:ascii="黑体" w:eastAsia="黑体" w:hAnsi="黑体"/>
          <w:sz w:val="44"/>
          <w:szCs w:val="44"/>
        </w:rPr>
      </w:pPr>
    </w:p>
    <w:p w:rsidR="004B056B" w:rsidRPr="002D77B4" w:rsidRDefault="004B056B" w:rsidP="004B056B">
      <w:pPr>
        <w:jc w:val="center"/>
        <w:rPr>
          <w:rFonts w:ascii="黑体" w:eastAsia="黑体" w:hAnsi="黑体"/>
          <w:sz w:val="36"/>
          <w:szCs w:val="36"/>
        </w:rPr>
      </w:pPr>
      <w:r w:rsidRPr="002D77B4">
        <w:rPr>
          <w:rFonts w:ascii="黑体" w:eastAsia="黑体" w:hAnsi="黑体" w:hint="eastAsia"/>
          <w:sz w:val="36"/>
          <w:szCs w:val="36"/>
        </w:rPr>
        <w:lastRenderedPageBreak/>
        <w:t>202</w:t>
      </w:r>
      <w:r>
        <w:rPr>
          <w:rFonts w:ascii="黑体" w:eastAsia="黑体" w:hAnsi="黑体" w:hint="eastAsia"/>
          <w:sz w:val="36"/>
          <w:szCs w:val="36"/>
        </w:rPr>
        <w:t>2</w:t>
      </w:r>
      <w:r w:rsidRPr="002D77B4">
        <w:rPr>
          <w:rFonts w:ascii="黑体" w:eastAsia="黑体" w:hAnsi="黑体" w:hint="eastAsia"/>
          <w:sz w:val="36"/>
          <w:szCs w:val="36"/>
        </w:rPr>
        <w:t>年</w:t>
      </w:r>
      <w:r w:rsidRPr="00585F2A">
        <w:rPr>
          <w:rFonts w:ascii="黑体" w:eastAsia="黑体" w:hAnsi="黑体" w:hint="eastAsia"/>
          <w:sz w:val="36"/>
          <w:szCs w:val="36"/>
        </w:rPr>
        <w:t>巩固脱贫攻坚成果和乡村振兴</w:t>
      </w:r>
      <w:r w:rsidRPr="002D77B4">
        <w:rPr>
          <w:rFonts w:ascii="黑体" w:eastAsia="黑体" w:hAnsi="黑体" w:hint="eastAsia"/>
          <w:sz w:val="36"/>
          <w:szCs w:val="36"/>
        </w:rPr>
        <w:t>资金情况说明</w:t>
      </w:r>
    </w:p>
    <w:p w:rsidR="004B056B" w:rsidRDefault="004B056B" w:rsidP="004B056B">
      <w:pPr>
        <w:ind w:firstLineChars="200" w:firstLine="600"/>
        <w:rPr>
          <w:sz w:val="30"/>
          <w:szCs w:val="30"/>
        </w:rPr>
      </w:pPr>
    </w:p>
    <w:p w:rsidR="004B056B" w:rsidRPr="00897EAB" w:rsidRDefault="004B056B" w:rsidP="004B056B">
      <w:pPr>
        <w:ind w:firstLineChars="200" w:firstLine="600"/>
        <w:rPr>
          <w:rFonts w:ascii="仿宋" w:eastAsia="仿宋" w:hAnsi="仿宋"/>
          <w:sz w:val="30"/>
          <w:szCs w:val="30"/>
        </w:rPr>
      </w:pPr>
      <w:r w:rsidRPr="00897EAB">
        <w:rPr>
          <w:rFonts w:ascii="仿宋" w:eastAsia="仿宋" w:hAnsi="仿宋" w:hint="eastAsia"/>
          <w:sz w:val="30"/>
          <w:szCs w:val="30"/>
        </w:rPr>
        <w:t>2022年，县本级财政预算安排乡村振兴专项资金2300万元，其中：</w:t>
      </w:r>
      <w:r w:rsidR="00897EAB" w:rsidRPr="00897EAB">
        <w:rPr>
          <w:rFonts w:ascii="仿宋" w:eastAsia="仿宋" w:hAnsi="仿宋" w:hint="eastAsia"/>
          <w:kern w:val="0"/>
          <w:sz w:val="30"/>
          <w:szCs w:val="30"/>
        </w:rPr>
        <w:t>产业发展资金</w:t>
      </w:r>
      <w:r w:rsidR="00897EAB" w:rsidRPr="00897EAB">
        <w:rPr>
          <w:rFonts w:ascii="仿宋" w:eastAsia="仿宋" w:hAnsi="仿宋"/>
          <w:kern w:val="0"/>
          <w:sz w:val="30"/>
          <w:szCs w:val="30"/>
        </w:rPr>
        <w:t>777</w:t>
      </w:r>
      <w:r w:rsidR="00897EAB" w:rsidRPr="00897EAB">
        <w:rPr>
          <w:rFonts w:ascii="仿宋" w:eastAsia="仿宋" w:hAnsi="仿宋" w:hint="eastAsia"/>
          <w:kern w:val="0"/>
          <w:sz w:val="30"/>
          <w:szCs w:val="30"/>
        </w:rPr>
        <w:t>万元，基础设施建设</w:t>
      </w:r>
      <w:r w:rsidR="00897EAB" w:rsidRPr="00897EAB">
        <w:rPr>
          <w:rFonts w:ascii="仿宋" w:eastAsia="仿宋" w:hAnsi="仿宋"/>
          <w:kern w:val="0"/>
          <w:sz w:val="30"/>
          <w:szCs w:val="30"/>
        </w:rPr>
        <w:t>203</w:t>
      </w:r>
      <w:r w:rsidR="00897EAB" w:rsidRPr="00897EAB">
        <w:rPr>
          <w:rFonts w:ascii="仿宋" w:eastAsia="仿宋" w:hAnsi="仿宋" w:hint="eastAsia"/>
          <w:kern w:val="0"/>
          <w:sz w:val="30"/>
          <w:szCs w:val="30"/>
        </w:rPr>
        <w:t>万元，教育扶贫、贴息贷款等</w:t>
      </w:r>
      <w:r w:rsidR="00897EAB" w:rsidRPr="00897EAB">
        <w:rPr>
          <w:rFonts w:ascii="仿宋" w:eastAsia="仿宋" w:hAnsi="仿宋"/>
          <w:kern w:val="0"/>
          <w:sz w:val="30"/>
          <w:szCs w:val="30"/>
        </w:rPr>
        <w:t>1220</w:t>
      </w:r>
      <w:r w:rsidR="00897EAB" w:rsidRPr="00897EAB">
        <w:rPr>
          <w:rFonts w:ascii="仿宋" w:eastAsia="仿宋" w:hAnsi="仿宋" w:hint="eastAsia"/>
          <w:kern w:val="0"/>
          <w:sz w:val="30"/>
          <w:szCs w:val="30"/>
        </w:rPr>
        <w:t>万元，</w:t>
      </w:r>
      <w:r w:rsidRPr="00897EAB">
        <w:rPr>
          <w:rFonts w:ascii="仿宋" w:eastAsia="仿宋" w:hAnsi="仿宋" w:hint="eastAsia"/>
          <w:sz w:val="30"/>
          <w:szCs w:val="30"/>
        </w:rPr>
        <w:t>乡村振兴专项工作经费100万元。2021年财政预算安排的扶贫专项资金2100万元，比2021年预算安排数增长9.52%，占地方一般预算收入16800万元的13.7%。</w:t>
      </w:r>
    </w:p>
    <w:p w:rsidR="004B056B" w:rsidRPr="00897EAB" w:rsidRDefault="004B056B" w:rsidP="004B056B">
      <w:pPr>
        <w:widowControl/>
        <w:spacing w:line="600" w:lineRule="atLeast"/>
        <w:ind w:firstLine="640"/>
        <w:jc w:val="left"/>
        <w:rPr>
          <w:rFonts w:ascii="仿宋" w:eastAsia="仿宋" w:hAnsi="仿宋"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P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widowControl/>
        <w:spacing w:line="600" w:lineRule="atLeast"/>
        <w:ind w:firstLine="640"/>
        <w:jc w:val="left"/>
        <w:rPr>
          <w:rFonts w:ascii="宋体" w:hAnsi="宋体" w:cs="宋体"/>
          <w:color w:val="000000"/>
          <w:kern w:val="0"/>
          <w:sz w:val="32"/>
          <w:szCs w:val="32"/>
        </w:rPr>
      </w:pPr>
    </w:p>
    <w:p w:rsidR="004B056B" w:rsidRDefault="004B056B" w:rsidP="004B056B">
      <w:pPr>
        <w:jc w:val="center"/>
        <w:rPr>
          <w:rFonts w:ascii="宋体" w:hAnsi="宋体"/>
          <w:b/>
          <w:bCs/>
          <w:sz w:val="36"/>
          <w:szCs w:val="36"/>
        </w:rPr>
      </w:pPr>
      <w:r>
        <w:rPr>
          <w:rFonts w:ascii="宋体" w:hAnsi="宋体" w:hint="eastAsia"/>
          <w:b/>
          <w:bCs/>
          <w:sz w:val="36"/>
          <w:szCs w:val="36"/>
        </w:rPr>
        <w:lastRenderedPageBreak/>
        <w:t xml:space="preserve"> </w:t>
      </w:r>
      <w:r w:rsidR="00B15D5A">
        <w:rPr>
          <w:noProof/>
        </w:rPr>
        <w:drawing>
          <wp:inline distT="0" distB="0" distL="0" distR="0">
            <wp:extent cx="5502114" cy="831532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5502944" cy="8316580"/>
                    </a:xfrm>
                    <a:prstGeom prst="rect">
                      <a:avLst/>
                    </a:prstGeom>
                  </pic:spPr>
                </pic:pic>
              </a:graphicData>
            </a:graphic>
          </wp:inline>
        </w:drawing>
      </w:r>
    </w:p>
    <w:p w:rsidR="00B15D5A" w:rsidRDefault="00B15D5A" w:rsidP="004B056B">
      <w:pPr>
        <w:jc w:val="center"/>
        <w:rPr>
          <w:rFonts w:ascii="宋体" w:hAnsi="宋体"/>
          <w:b/>
          <w:bCs/>
          <w:sz w:val="36"/>
          <w:szCs w:val="36"/>
        </w:rPr>
      </w:pPr>
      <w:r>
        <w:rPr>
          <w:noProof/>
        </w:rPr>
        <w:lastRenderedPageBreak/>
        <w:drawing>
          <wp:inline distT="0" distB="0" distL="0" distR="0">
            <wp:extent cx="6048375" cy="8705849"/>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6053190" cy="8712780"/>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5981118" cy="85153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78240" cy="8511252"/>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5848350" cy="8610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847083" cy="8608735"/>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5915025" cy="86106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17068" cy="8613574"/>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6056332" cy="865822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066044" cy="8672110"/>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5838825" cy="86963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848378" cy="8710553"/>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6361667" cy="86772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371217" cy="8690301"/>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5924550" cy="87344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26546" cy="8737367"/>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5819775" cy="87344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818358" cy="8732298"/>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6067425" cy="8667749"/>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064505" cy="8663578"/>
                    </a:xfrm>
                    <a:prstGeom prst="rect">
                      <a:avLst/>
                    </a:prstGeom>
                  </pic:spPr>
                </pic:pic>
              </a:graphicData>
            </a:graphic>
          </wp:inline>
        </w:drawing>
      </w:r>
    </w:p>
    <w:p w:rsidR="004B056B" w:rsidRDefault="00B15D5A" w:rsidP="004B056B">
      <w:pPr>
        <w:jc w:val="center"/>
        <w:rPr>
          <w:rFonts w:ascii="宋体" w:hAnsi="宋体"/>
          <w:b/>
          <w:bCs/>
          <w:sz w:val="36"/>
          <w:szCs w:val="36"/>
        </w:rPr>
      </w:pPr>
      <w:r>
        <w:rPr>
          <w:noProof/>
        </w:rPr>
        <w:lastRenderedPageBreak/>
        <w:drawing>
          <wp:inline distT="0" distB="0" distL="0" distR="0">
            <wp:extent cx="5705475" cy="86963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06710" cy="8698208"/>
                    </a:xfrm>
                    <a:prstGeom prst="rect">
                      <a:avLst/>
                    </a:prstGeom>
                  </pic:spPr>
                </pic:pic>
              </a:graphicData>
            </a:graphic>
          </wp:inline>
        </w:drawing>
      </w:r>
    </w:p>
    <w:p w:rsidR="004B056B" w:rsidRDefault="004B056B" w:rsidP="004B056B">
      <w:pPr>
        <w:jc w:val="center"/>
        <w:rPr>
          <w:rFonts w:ascii="黑体" w:eastAsia="黑体" w:hAnsi="黑体"/>
          <w:sz w:val="44"/>
          <w:szCs w:val="44"/>
        </w:rPr>
      </w:pPr>
      <w:r w:rsidRPr="004E2B16">
        <w:rPr>
          <w:rFonts w:ascii="黑体" w:eastAsia="黑体" w:hAnsi="黑体" w:hint="eastAsia"/>
          <w:sz w:val="44"/>
          <w:szCs w:val="44"/>
        </w:rPr>
        <w:lastRenderedPageBreak/>
        <w:t>名</w:t>
      </w:r>
      <w:r>
        <w:rPr>
          <w:rFonts w:ascii="黑体" w:eastAsia="黑体" w:hAnsi="黑体" w:hint="eastAsia"/>
          <w:sz w:val="44"/>
          <w:szCs w:val="44"/>
        </w:rPr>
        <w:t xml:space="preserve"> </w:t>
      </w:r>
      <w:r w:rsidRPr="004E2B16">
        <w:rPr>
          <w:rFonts w:ascii="黑体" w:eastAsia="黑体" w:hAnsi="黑体" w:hint="eastAsia"/>
          <w:sz w:val="44"/>
          <w:szCs w:val="44"/>
        </w:rPr>
        <w:t>词</w:t>
      </w:r>
      <w:r>
        <w:rPr>
          <w:rFonts w:ascii="黑体" w:eastAsia="黑体" w:hAnsi="黑体" w:hint="eastAsia"/>
          <w:sz w:val="44"/>
          <w:szCs w:val="44"/>
        </w:rPr>
        <w:t xml:space="preserve"> </w:t>
      </w:r>
      <w:r w:rsidRPr="004E2B16">
        <w:rPr>
          <w:rFonts w:ascii="黑体" w:eastAsia="黑体" w:hAnsi="黑体" w:hint="eastAsia"/>
          <w:sz w:val="44"/>
          <w:szCs w:val="44"/>
        </w:rPr>
        <w:t>解</w:t>
      </w:r>
      <w:r>
        <w:rPr>
          <w:rFonts w:ascii="黑体" w:eastAsia="黑体" w:hAnsi="黑体" w:hint="eastAsia"/>
          <w:sz w:val="44"/>
          <w:szCs w:val="44"/>
        </w:rPr>
        <w:t xml:space="preserve"> </w:t>
      </w:r>
      <w:r w:rsidRPr="004E2B16">
        <w:rPr>
          <w:rFonts w:ascii="黑体" w:eastAsia="黑体" w:hAnsi="黑体" w:hint="eastAsia"/>
          <w:sz w:val="44"/>
          <w:szCs w:val="44"/>
        </w:rPr>
        <w:t>释</w:t>
      </w:r>
    </w:p>
    <w:p w:rsidR="00897EAB" w:rsidRDefault="004B056B" w:rsidP="004B056B">
      <w:pPr>
        <w:widowControl/>
        <w:shd w:val="clear" w:color="auto" w:fill="FFFFFF"/>
        <w:spacing w:line="480" w:lineRule="auto"/>
        <w:rPr>
          <w:rFonts w:ascii="仿宋" w:eastAsia="仿宋" w:hAnsi="仿宋" w:cs="宋体"/>
          <w:b/>
          <w:kern w:val="0"/>
          <w:sz w:val="32"/>
          <w:szCs w:val="32"/>
        </w:rPr>
      </w:pPr>
      <w:r>
        <w:rPr>
          <w:rFonts w:ascii="仿宋" w:eastAsia="仿宋" w:hAnsi="仿宋" w:cs="宋体" w:hint="eastAsia"/>
          <w:b/>
          <w:kern w:val="0"/>
          <w:sz w:val="32"/>
          <w:szCs w:val="32"/>
        </w:rPr>
        <w:t xml:space="preserve">  </w:t>
      </w:r>
      <w:r w:rsidRPr="00F116BE">
        <w:rPr>
          <w:rFonts w:ascii="仿宋" w:eastAsia="仿宋" w:hAnsi="仿宋" w:cs="宋体" w:hint="eastAsia"/>
          <w:b/>
          <w:kern w:val="0"/>
          <w:sz w:val="32"/>
          <w:szCs w:val="32"/>
        </w:rPr>
        <w:t xml:space="preserve"> </w:t>
      </w:r>
      <w:r>
        <w:rPr>
          <w:rFonts w:ascii="仿宋" w:eastAsia="仿宋" w:hAnsi="仿宋" w:cs="宋体" w:hint="eastAsia"/>
          <w:b/>
          <w:kern w:val="0"/>
          <w:sz w:val="32"/>
          <w:szCs w:val="32"/>
        </w:rPr>
        <w:t xml:space="preserve"> </w:t>
      </w:r>
    </w:p>
    <w:p w:rsidR="004B056B" w:rsidRPr="00F116BE" w:rsidRDefault="004B056B" w:rsidP="00897EAB">
      <w:pPr>
        <w:widowControl/>
        <w:shd w:val="clear" w:color="auto" w:fill="FFFFFF"/>
        <w:spacing w:line="480" w:lineRule="auto"/>
        <w:ind w:firstLineChars="200" w:firstLine="643"/>
        <w:rPr>
          <w:rFonts w:ascii="仿宋" w:eastAsia="仿宋" w:hAnsi="仿宋" w:cs="宋体"/>
          <w:b/>
          <w:kern w:val="0"/>
          <w:sz w:val="32"/>
          <w:szCs w:val="32"/>
        </w:rPr>
      </w:pPr>
      <w:r w:rsidRPr="00F116BE">
        <w:rPr>
          <w:rFonts w:ascii="仿宋" w:eastAsia="仿宋" w:hAnsi="仿宋" w:cs="宋体" w:hint="eastAsia"/>
          <w:b/>
          <w:kern w:val="0"/>
          <w:sz w:val="32"/>
          <w:szCs w:val="32"/>
        </w:rPr>
        <w:t>1.政府支出功能分类</w:t>
      </w:r>
      <w:r w:rsidRPr="00F116BE">
        <w:rPr>
          <w:rFonts w:ascii="仿宋" w:eastAsia="仿宋" w:hAnsi="仿宋" w:cs="宋体" w:hint="eastAsia"/>
          <w:kern w:val="0"/>
          <w:sz w:val="32"/>
          <w:szCs w:val="32"/>
        </w:rPr>
        <w:t>:</w:t>
      </w:r>
      <w:r w:rsidRPr="00F116BE">
        <w:rPr>
          <w:rFonts w:ascii="仿宋" w:eastAsia="仿宋" w:hAnsi="仿宋" w:hint="eastAsia"/>
          <w:color w:val="26214A"/>
          <w:sz w:val="32"/>
          <w:szCs w:val="32"/>
          <w:shd w:val="clear" w:color="auto" w:fill="F8F8F8"/>
        </w:rPr>
        <w:t xml:space="preserve"> </w:t>
      </w:r>
      <w:r w:rsidRPr="00F116BE">
        <w:rPr>
          <w:rFonts w:ascii="仿宋" w:eastAsia="仿宋" w:hAnsi="仿宋" w:cs="宋体" w:hint="eastAsia"/>
          <w:kern w:val="0"/>
          <w:sz w:val="32"/>
          <w:szCs w:val="32"/>
        </w:rPr>
        <w:t>主要反映政府的各项职能活动的支出，我国政府支出功能分类设置一般公共服务、外交、国防、公共安全、教育等大类，类下再分款、项两级,如一般公共服务类下分人大事务、发展与改革事务等款支出,通常由财政总预算会计按财政支出的功能详细列示,以反映政府用于各项事务的总括支出。以“教育”为例，类、款、项三级结构对应为“教育”—“普通教育”—“小学教育”，反映出政府为完成教育职能在“普通教育”中用于“小学教育”这个具体方面的支出费用多少。</w:t>
      </w:r>
    </w:p>
    <w:p w:rsidR="004B056B" w:rsidRPr="00F116BE" w:rsidRDefault="004B056B" w:rsidP="004B056B">
      <w:pPr>
        <w:widowControl/>
        <w:shd w:val="clear" w:color="auto" w:fill="FFFFFF"/>
        <w:spacing w:line="480" w:lineRule="auto"/>
        <w:rPr>
          <w:rFonts w:ascii="仿宋" w:eastAsia="仿宋" w:hAnsi="仿宋" w:cs="宋体"/>
          <w:kern w:val="0"/>
          <w:sz w:val="32"/>
          <w:szCs w:val="32"/>
        </w:rPr>
      </w:pPr>
      <w:r w:rsidRPr="00F116BE">
        <w:rPr>
          <w:rFonts w:ascii="仿宋" w:eastAsia="仿宋" w:hAnsi="仿宋" w:cs="宋体" w:hint="eastAsia"/>
          <w:kern w:val="0"/>
          <w:sz w:val="32"/>
          <w:szCs w:val="32"/>
        </w:rPr>
        <w:t xml:space="preserve">    </w:t>
      </w:r>
      <w:r w:rsidRPr="00F116BE">
        <w:rPr>
          <w:rFonts w:ascii="仿宋" w:eastAsia="仿宋" w:hAnsi="仿宋" w:cs="宋体" w:hint="eastAsia"/>
          <w:b/>
          <w:kern w:val="0"/>
          <w:sz w:val="32"/>
          <w:szCs w:val="32"/>
        </w:rPr>
        <w:t>2.</w:t>
      </w:r>
      <w:r w:rsidRPr="00F116BE">
        <w:rPr>
          <w:rFonts w:ascii="仿宋" w:eastAsia="仿宋" w:hAnsi="仿宋" w:hint="eastAsia"/>
          <w:b/>
          <w:color w:val="26214A"/>
          <w:sz w:val="32"/>
          <w:szCs w:val="32"/>
          <w:shd w:val="clear" w:color="auto" w:fill="F8F8F8"/>
        </w:rPr>
        <w:t xml:space="preserve"> </w:t>
      </w:r>
      <w:r w:rsidRPr="00F116BE">
        <w:rPr>
          <w:rFonts w:ascii="仿宋" w:eastAsia="仿宋" w:hAnsi="仿宋" w:cs="宋体" w:hint="eastAsia"/>
          <w:b/>
          <w:kern w:val="0"/>
          <w:sz w:val="32"/>
          <w:szCs w:val="32"/>
        </w:rPr>
        <w:t>政府支出经济分类:</w:t>
      </w:r>
      <w:r w:rsidRPr="00F116BE">
        <w:rPr>
          <w:rFonts w:ascii="仿宋" w:eastAsia="仿宋" w:hAnsi="仿宋" w:cs="宋体" w:hint="eastAsia"/>
          <w:kern w:val="0"/>
          <w:sz w:val="32"/>
          <w:szCs w:val="32"/>
        </w:rPr>
        <w:t>主要反映政府支出的经济性质和具体用途,通常由使用财政拨款的单位在执行预算执行时具体列示。</w:t>
      </w:r>
      <w:r w:rsidRPr="00F116BE">
        <w:rPr>
          <w:rFonts w:ascii="仿宋" w:eastAsia="仿宋" w:hAnsi="仿宋" w:hint="eastAsia"/>
          <w:color w:val="333333"/>
          <w:sz w:val="32"/>
          <w:szCs w:val="32"/>
          <w:shd w:val="clear" w:color="auto" w:fill="FFFFFF"/>
        </w:rPr>
        <w:t>支出经济分类设类、款两级，</w:t>
      </w:r>
      <w:r w:rsidRPr="00F116BE">
        <w:rPr>
          <w:rFonts w:ascii="仿宋" w:eastAsia="仿宋" w:hAnsi="仿宋" w:cs="宋体" w:hint="eastAsia"/>
          <w:kern w:val="0"/>
          <w:sz w:val="32"/>
          <w:szCs w:val="32"/>
        </w:rPr>
        <w:t>比如教育经费中分别有多少用于教师工资、房屋建设、教学设备、修缮等，这种分类更能一目了然地分清“钱花到哪儿去了”。</w:t>
      </w:r>
    </w:p>
    <w:p w:rsidR="004B056B" w:rsidRPr="00F116BE" w:rsidRDefault="004B056B" w:rsidP="004B056B">
      <w:pPr>
        <w:widowControl/>
        <w:shd w:val="clear" w:color="auto" w:fill="FFFFFF"/>
        <w:spacing w:line="480" w:lineRule="auto"/>
        <w:ind w:firstLineChars="200" w:firstLine="643"/>
        <w:rPr>
          <w:rFonts w:ascii="仿宋" w:eastAsia="仿宋" w:hAnsi="仿宋" w:cs="宋体"/>
          <w:kern w:val="0"/>
          <w:sz w:val="32"/>
          <w:szCs w:val="32"/>
        </w:rPr>
      </w:pPr>
      <w:r w:rsidRPr="00F116BE">
        <w:rPr>
          <w:rFonts w:ascii="仿宋" w:eastAsia="仿宋" w:hAnsi="仿宋" w:cs="宋体" w:hint="eastAsia"/>
          <w:b/>
          <w:kern w:val="0"/>
          <w:sz w:val="32"/>
          <w:szCs w:val="32"/>
        </w:rPr>
        <w:t>3.“三公”经费：</w:t>
      </w:r>
      <w:r w:rsidRPr="00F116BE">
        <w:rPr>
          <w:rFonts w:ascii="仿宋" w:eastAsia="仿宋" w:hAnsi="仿宋" w:cs="宋体" w:hint="eastAsia"/>
          <w:kern w:val="0"/>
          <w:sz w:val="32"/>
          <w:szCs w:val="32"/>
        </w:rPr>
        <w:t>是指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牌照费）及按规定保留的公务用车燃料费、维修费、</w:t>
      </w:r>
      <w:r w:rsidRPr="00F116BE">
        <w:rPr>
          <w:rFonts w:ascii="仿宋" w:eastAsia="仿宋" w:hAnsi="仿宋" w:cs="宋体" w:hint="eastAsia"/>
          <w:kern w:val="0"/>
          <w:sz w:val="32"/>
          <w:szCs w:val="32"/>
        </w:rPr>
        <w:lastRenderedPageBreak/>
        <w:t>过路过桥费、保险费、安全奖励费用等支出；公务接待费反映单位按规定开支的各类公务接待（含外宾接待）支出。</w:t>
      </w:r>
    </w:p>
    <w:p w:rsidR="004B056B" w:rsidRDefault="004B056B" w:rsidP="004B056B">
      <w:pPr>
        <w:ind w:firstLine="645"/>
        <w:rPr>
          <w:rFonts w:ascii="仿宋" w:eastAsia="仿宋" w:hAnsi="仿宋" w:cs="宋体"/>
          <w:kern w:val="0"/>
          <w:sz w:val="32"/>
          <w:szCs w:val="32"/>
        </w:rPr>
      </w:pPr>
      <w:r w:rsidRPr="00F116BE">
        <w:rPr>
          <w:rFonts w:ascii="仿宋" w:eastAsia="仿宋" w:hAnsi="仿宋" w:cs="宋体" w:hint="eastAsia"/>
          <w:b/>
          <w:kern w:val="0"/>
          <w:sz w:val="32"/>
          <w:szCs w:val="32"/>
        </w:rPr>
        <w:t>4.机关运行经费：</w:t>
      </w:r>
      <w:r w:rsidRPr="00F116BE">
        <w:rPr>
          <w:rFonts w:ascii="仿宋" w:eastAsia="仿宋" w:hAnsi="仿宋" w:cs="宋体" w:hint="eastAsia"/>
          <w:kern w:val="0"/>
          <w:sz w:val="32"/>
          <w:szCs w:val="32"/>
        </w:rPr>
        <w:t>为保障行政单位（包括参照公务员法管理的事业单位）运行用于购买货物和服务的各项公用经费，包括办公费、印刷费、邮电费、差旅费、会议费、福利费、日常维修费、专用材料及办公用房水电费、办公用房取暖费、办公用房物业管理费、公务用车运行维护费以及其他费用。</w:t>
      </w:r>
    </w:p>
    <w:p w:rsidR="004B056B" w:rsidRPr="00AF0C25" w:rsidRDefault="004B056B" w:rsidP="004B056B">
      <w:pPr>
        <w:ind w:firstLine="645"/>
        <w:rPr>
          <w:rFonts w:ascii="仿宋" w:eastAsia="仿宋" w:hAnsi="仿宋"/>
          <w:sz w:val="32"/>
          <w:szCs w:val="32"/>
        </w:rPr>
      </w:pPr>
      <w:r w:rsidRPr="00AF0C25">
        <w:rPr>
          <w:rFonts w:ascii="仿宋" w:eastAsia="仿宋" w:hAnsi="仿宋" w:hint="eastAsia"/>
          <w:b/>
          <w:sz w:val="32"/>
          <w:szCs w:val="32"/>
        </w:rPr>
        <w:t>5.一般公共预算：</w:t>
      </w:r>
      <w:r w:rsidRPr="00AF0C25">
        <w:rPr>
          <w:rFonts w:ascii="仿宋" w:eastAsia="仿宋" w:hAnsi="仿宋" w:hint="eastAsia"/>
          <w:sz w:val="32"/>
          <w:szCs w:val="32"/>
        </w:rPr>
        <w:t>是指以税收为主体的财政收入，安排用于保障和改善民生、推动经济社会发展、维护国家安全、维持国家机构正常运转等方面的收支预算。</w:t>
      </w:r>
    </w:p>
    <w:p w:rsidR="004B056B" w:rsidRPr="00AF0C25" w:rsidRDefault="004B056B" w:rsidP="004B056B">
      <w:pPr>
        <w:ind w:firstLine="645"/>
        <w:rPr>
          <w:rFonts w:ascii="仿宋" w:eastAsia="仿宋" w:hAnsi="仿宋"/>
          <w:sz w:val="32"/>
          <w:szCs w:val="32"/>
        </w:rPr>
      </w:pPr>
      <w:r w:rsidRPr="00AF0C25">
        <w:rPr>
          <w:rFonts w:ascii="仿宋" w:eastAsia="仿宋" w:hAnsi="仿宋" w:hint="eastAsia"/>
          <w:b/>
          <w:sz w:val="32"/>
          <w:szCs w:val="32"/>
        </w:rPr>
        <w:t>6.政府性基金预算：</w:t>
      </w:r>
      <w:r w:rsidRPr="00AF0C25">
        <w:rPr>
          <w:rFonts w:ascii="仿宋" w:eastAsia="仿宋" w:hAnsi="仿宋" w:hint="eastAsia"/>
          <w:sz w:val="32"/>
          <w:szCs w:val="32"/>
        </w:rPr>
        <w:t>是指国家通过向社会征收以及出让土地、发行彩票等方式取得收入，并专项用于支持特定基础设施建设和社会事业发展的财政收支预算，是政府预算体系的重要组成部分。</w:t>
      </w:r>
    </w:p>
    <w:p w:rsidR="004B056B" w:rsidRPr="00AF0C25" w:rsidRDefault="004B056B" w:rsidP="004B056B">
      <w:pPr>
        <w:ind w:firstLine="645"/>
        <w:rPr>
          <w:rFonts w:ascii="仿宋" w:eastAsia="仿宋" w:hAnsi="仿宋"/>
          <w:sz w:val="32"/>
          <w:szCs w:val="32"/>
        </w:rPr>
      </w:pPr>
      <w:r w:rsidRPr="00AF0C25">
        <w:rPr>
          <w:rFonts w:ascii="仿宋" w:eastAsia="仿宋" w:hAnsi="仿宋" w:hint="eastAsia"/>
          <w:b/>
          <w:sz w:val="32"/>
          <w:szCs w:val="32"/>
        </w:rPr>
        <w:t>7.社会保险基金预算</w:t>
      </w:r>
      <w:r>
        <w:rPr>
          <w:rFonts w:ascii="仿宋" w:eastAsia="仿宋" w:hAnsi="仿宋" w:hint="eastAsia"/>
          <w:b/>
          <w:sz w:val="32"/>
          <w:szCs w:val="32"/>
        </w:rPr>
        <w:t>：</w:t>
      </w:r>
      <w:r w:rsidRPr="00AF0C25">
        <w:rPr>
          <w:rFonts w:ascii="仿宋" w:eastAsia="仿宋" w:hAnsi="仿宋" w:hint="eastAsia"/>
          <w:sz w:val="32"/>
          <w:szCs w:val="32"/>
        </w:rPr>
        <w:t>是根据国家社会保险和预算管理法律法规建立、反映各项社会保险基金收支的年度计划，因失业保险、职工基本医疗保险、工伤保险基金、生育保险、新型农村合作医疗、城镇居民基本医疗保险实行市级统筹，县级只编制城乡居民基本养老保险基金预算和机关事业单位养老保险基金预算。</w:t>
      </w:r>
    </w:p>
    <w:p w:rsidR="004B056B" w:rsidRPr="00AF0C25" w:rsidRDefault="004B056B" w:rsidP="004B056B">
      <w:pPr>
        <w:ind w:firstLine="645"/>
        <w:rPr>
          <w:rFonts w:ascii="仿宋" w:eastAsia="仿宋" w:hAnsi="仿宋"/>
          <w:sz w:val="32"/>
          <w:szCs w:val="32"/>
        </w:rPr>
      </w:pPr>
      <w:r w:rsidRPr="00AF0C25">
        <w:rPr>
          <w:rFonts w:ascii="仿宋" w:eastAsia="仿宋" w:hAnsi="仿宋" w:hint="eastAsia"/>
          <w:b/>
          <w:sz w:val="32"/>
          <w:szCs w:val="32"/>
        </w:rPr>
        <w:t>8.国有资本经营预算</w:t>
      </w:r>
      <w:r>
        <w:rPr>
          <w:rFonts w:ascii="仿宋" w:eastAsia="仿宋" w:hAnsi="仿宋" w:hint="eastAsia"/>
          <w:b/>
          <w:sz w:val="32"/>
          <w:szCs w:val="32"/>
        </w:rPr>
        <w:t>：</w:t>
      </w:r>
      <w:r w:rsidRPr="00AF0C25">
        <w:rPr>
          <w:rFonts w:ascii="仿宋" w:eastAsia="仿宋" w:hAnsi="仿宋" w:hint="eastAsia"/>
          <w:sz w:val="32"/>
          <w:szCs w:val="32"/>
        </w:rPr>
        <w:t>是指政府以所有者身份依法取得国有资本收益，并对所得收益进行分配而发生的各项收支预</w:t>
      </w:r>
      <w:r w:rsidRPr="00AF0C25">
        <w:rPr>
          <w:rFonts w:ascii="仿宋" w:eastAsia="仿宋" w:hAnsi="仿宋" w:hint="eastAsia"/>
          <w:sz w:val="32"/>
          <w:szCs w:val="32"/>
        </w:rPr>
        <w:lastRenderedPageBreak/>
        <w:t>算，是政府预算的重要组成部分。</w:t>
      </w:r>
    </w:p>
    <w:p w:rsidR="004B056B" w:rsidRPr="00AF0C25" w:rsidRDefault="004B056B" w:rsidP="004B056B">
      <w:pPr>
        <w:ind w:firstLine="645"/>
        <w:rPr>
          <w:rFonts w:ascii="仿宋" w:eastAsia="仿宋" w:hAnsi="仿宋"/>
          <w:sz w:val="32"/>
          <w:szCs w:val="32"/>
        </w:rPr>
      </w:pPr>
      <w:r>
        <w:rPr>
          <w:rFonts w:ascii="仿宋" w:eastAsia="仿宋" w:hAnsi="仿宋" w:hint="eastAsia"/>
          <w:b/>
          <w:sz w:val="32"/>
          <w:szCs w:val="32"/>
        </w:rPr>
        <w:t>9</w:t>
      </w:r>
      <w:r w:rsidRPr="00AF0C25">
        <w:rPr>
          <w:rFonts w:ascii="仿宋" w:eastAsia="仿宋" w:hAnsi="仿宋" w:hint="eastAsia"/>
          <w:b/>
          <w:sz w:val="32"/>
          <w:szCs w:val="32"/>
        </w:rPr>
        <w:t>.地方政府一般债务</w:t>
      </w:r>
      <w:r>
        <w:rPr>
          <w:rFonts w:ascii="仿宋" w:eastAsia="仿宋" w:hAnsi="仿宋" w:hint="eastAsia"/>
          <w:b/>
          <w:sz w:val="32"/>
          <w:szCs w:val="32"/>
        </w:rPr>
        <w:t>：</w:t>
      </w:r>
      <w:r w:rsidRPr="00AF0C25">
        <w:rPr>
          <w:rFonts w:ascii="仿宋" w:eastAsia="仿宋" w:hAnsi="仿宋" w:hint="eastAsia"/>
          <w:sz w:val="32"/>
          <w:szCs w:val="32"/>
        </w:rPr>
        <w:t>指纳入一般预算管理，使用一般公共预算收入偿还的债务。</w:t>
      </w:r>
    </w:p>
    <w:p w:rsidR="004B056B" w:rsidRPr="00AF0C25" w:rsidRDefault="004B056B" w:rsidP="004B056B">
      <w:pPr>
        <w:ind w:firstLine="645"/>
        <w:rPr>
          <w:rFonts w:ascii="仿宋" w:eastAsia="仿宋" w:hAnsi="仿宋"/>
          <w:sz w:val="32"/>
          <w:szCs w:val="32"/>
        </w:rPr>
      </w:pPr>
      <w:r w:rsidRPr="00AF0C25">
        <w:rPr>
          <w:rFonts w:ascii="仿宋" w:eastAsia="仿宋" w:hAnsi="仿宋" w:hint="eastAsia"/>
          <w:b/>
          <w:sz w:val="32"/>
          <w:szCs w:val="32"/>
        </w:rPr>
        <w:t>10.地方政府专项债务</w:t>
      </w:r>
      <w:r>
        <w:rPr>
          <w:rFonts w:ascii="仿宋" w:eastAsia="仿宋" w:hAnsi="仿宋" w:hint="eastAsia"/>
          <w:b/>
          <w:sz w:val="32"/>
          <w:szCs w:val="32"/>
        </w:rPr>
        <w:t>：</w:t>
      </w:r>
      <w:r w:rsidRPr="00AF0C25">
        <w:rPr>
          <w:rFonts w:ascii="仿宋" w:eastAsia="仿宋" w:hAnsi="仿宋" w:hint="eastAsia"/>
          <w:sz w:val="32"/>
          <w:szCs w:val="32"/>
        </w:rPr>
        <w:t>指纳入基金预算管理，使用政府性基金收入、项目收益形成的专项收入偿还的债务</w:t>
      </w:r>
    </w:p>
    <w:p w:rsidR="00F51EF3" w:rsidRPr="004B056B" w:rsidRDefault="00B7010B"/>
    <w:sectPr w:rsidR="00F51EF3" w:rsidRPr="004B056B" w:rsidSect="006D3C3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B056B"/>
    <w:rsid w:val="00066A21"/>
    <w:rsid w:val="004B056B"/>
    <w:rsid w:val="005B0CA9"/>
    <w:rsid w:val="006D3C3A"/>
    <w:rsid w:val="00897EAB"/>
    <w:rsid w:val="00A62C0A"/>
    <w:rsid w:val="00B15D5A"/>
    <w:rsid w:val="00B7010B"/>
    <w:rsid w:val="00EA3B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56B"/>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15D5A"/>
    <w:rPr>
      <w:sz w:val="18"/>
      <w:szCs w:val="18"/>
    </w:rPr>
  </w:style>
  <w:style w:type="character" w:customStyle="1" w:styleId="Char">
    <w:name w:val="批注框文本 Char"/>
    <w:basedOn w:val="a0"/>
    <w:link w:val="a3"/>
    <w:uiPriority w:val="99"/>
    <w:semiHidden/>
    <w:rsid w:val="00B15D5A"/>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56B"/>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15D5A"/>
    <w:rPr>
      <w:sz w:val="18"/>
      <w:szCs w:val="18"/>
    </w:rPr>
  </w:style>
  <w:style w:type="character" w:customStyle="1" w:styleId="Char">
    <w:name w:val="批注框文本 Char"/>
    <w:basedOn w:val="a0"/>
    <w:link w:val="a3"/>
    <w:uiPriority w:val="99"/>
    <w:semiHidden/>
    <w:rsid w:val="00B15D5A"/>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341</Words>
  <Characters>1946</Characters>
  <Application>Microsoft Office Word</Application>
  <DocSecurity>0</DocSecurity>
  <Lines>16</Lines>
  <Paragraphs>4</Paragraphs>
  <ScaleCrop>false</ScaleCrop>
  <Company>微软中国</Company>
  <LinksUpToDate>false</LinksUpToDate>
  <CharactersWithSpaces>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Administrator</cp:lastModifiedBy>
  <cp:revision>7</cp:revision>
  <dcterms:created xsi:type="dcterms:W3CDTF">2022-07-29T03:18:00Z</dcterms:created>
  <dcterms:modified xsi:type="dcterms:W3CDTF">2022-08-01T01:56:00Z</dcterms:modified>
</cp:coreProperties>
</file>