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</w:t>
      </w: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申报表需另附的其他支撑材料</w:t>
      </w:r>
      <w:bookmarkEnd w:id="0"/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（不超过50个页码）</w:t>
      </w:r>
    </w:p>
    <w:p>
      <w:pPr>
        <w:spacing w:line="300" w:lineRule="auto"/>
        <w:jc w:val="center"/>
        <w:rPr>
          <w:rFonts w:eastAsia="楷体_GB2312" w:cs="方正小标宋简体"/>
          <w:b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</w:rPr>
        <w:t>一、作业管理优秀案例：</w:t>
      </w:r>
    </w:p>
    <w:p>
      <w:pPr>
        <w:spacing w:line="360" w:lineRule="auto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 xml:space="preserve">1. </w:t>
      </w:r>
      <w:r>
        <w:rPr>
          <w:rFonts w:hint="eastAsia" w:eastAsia="仿宋_GB2312" w:cs="仿宋_GB2312"/>
          <w:sz w:val="32"/>
          <w:szCs w:val="32"/>
        </w:rPr>
        <w:t>申报案例对应的实施对象与实施周期</w:t>
      </w:r>
    </w:p>
    <w:p>
      <w:pPr>
        <w:spacing w:line="360" w:lineRule="auto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 xml:space="preserve">2. </w:t>
      </w:r>
      <w:r>
        <w:rPr>
          <w:rFonts w:hint="eastAsia" w:eastAsia="仿宋_GB2312" w:cs="仿宋_GB2312"/>
          <w:sz w:val="32"/>
          <w:szCs w:val="32"/>
        </w:rPr>
        <w:t>申报案例对应的</w:t>
      </w:r>
      <w:r>
        <w:rPr>
          <w:rFonts w:hint="eastAsia" w:eastAsia="仿宋_GB2312" w:cs="Calibri"/>
          <w:sz w:val="32"/>
          <w:szCs w:val="32"/>
        </w:rPr>
        <w:t>作业管理制度文本</w:t>
      </w:r>
    </w:p>
    <w:p>
      <w:pPr>
        <w:spacing w:line="360" w:lineRule="auto"/>
        <w:ind w:firstLine="640" w:firstLineChars="200"/>
        <w:rPr>
          <w:rFonts w:eastAsia="仿宋_GB2312" w:cs="Calibri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 xml:space="preserve">3. </w:t>
      </w:r>
      <w:r>
        <w:rPr>
          <w:rFonts w:hint="eastAsia" w:eastAsia="仿宋_GB2312" w:cs="仿宋_GB2312"/>
          <w:sz w:val="32"/>
          <w:szCs w:val="32"/>
        </w:rPr>
        <w:t>申报案例对应的能反映制度实施效果的材料（可选）</w:t>
      </w:r>
    </w:p>
    <w:p>
      <w:pPr>
        <w:spacing w:line="360" w:lineRule="auto"/>
        <w:ind w:firstLine="640" w:firstLineChars="200"/>
      </w:pPr>
      <w:r>
        <w:rPr>
          <w:rFonts w:eastAsia="仿宋_GB2312" w:cs="仿宋_GB2312"/>
          <w:sz w:val="32"/>
          <w:szCs w:val="32"/>
        </w:rPr>
        <w:t xml:space="preserve">4. </w:t>
      </w:r>
      <w:r>
        <w:rPr>
          <w:rFonts w:hint="eastAsia" w:eastAsia="仿宋_GB2312" w:cs="仿宋_GB2312"/>
          <w:sz w:val="32"/>
          <w:szCs w:val="32"/>
        </w:rPr>
        <w:t>申报案例对应的其他有价值的材料</w:t>
      </w:r>
    </w:p>
    <w:p>
      <w:pPr>
        <w:spacing w:line="360" w:lineRule="auto"/>
        <w:ind w:firstLine="640" w:firstLineChars="200"/>
        <w:rPr>
          <w:rFonts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</w:rPr>
        <w:t>二、作业设计优秀案例：</w:t>
      </w:r>
    </w:p>
    <w:p>
      <w:pPr>
        <w:spacing w:line="360" w:lineRule="auto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 xml:space="preserve">1. </w:t>
      </w:r>
      <w:r>
        <w:rPr>
          <w:rFonts w:hint="eastAsia" w:eastAsia="仿宋_GB2312" w:cs="仿宋_GB2312"/>
          <w:sz w:val="32"/>
          <w:szCs w:val="32"/>
        </w:rPr>
        <w:t>申报案例对应的学期详细课表</w:t>
      </w:r>
    </w:p>
    <w:p>
      <w:pPr>
        <w:spacing w:line="360" w:lineRule="auto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 xml:space="preserve">2. </w:t>
      </w:r>
      <w:r>
        <w:rPr>
          <w:rFonts w:hint="eastAsia" w:eastAsia="仿宋_GB2312" w:cs="仿宋_GB2312"/>
          <w:sz w:val="32"/>
          <w:szCs w:val="32"/>
        </w:rPr>
        <w:t>申报案例对应的</w:t>
      </w:r>
      <w:r>
        <w:rPr>
          <w:rFonts w:hint="eastAsia" w:eastAsia="仿宋_GB2312" w:cs="Calibri"/>
          <w:sz w:val="32"/>
          <w:szCs w:val="32"/>
        </w:rPr>
        <w:t>学生作业示例（非书面作业可附彩色图片、图释等）</w:t>
      </w:r>
    </w:p>
    <w:p>
      <w:pPr>
        <w:spacing w:line="360" w:lineRule="auto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 xml:space="preserve">3. </w:t>
      </w:r>
      <w:r>
        <w:rPr>
          <w:rFonts w:hint="eastAsia" w:eastAsia="仿宋_GB2312" w:cs="仿宋_GB2312"/>
          <w:sz w:val="32"/>
          <w:szCs w:val="32"/>
        </w:rPr>
        <w:t>申报案例对应的</w:t>
      </w:r>
      <w:r>
        <w:rPr>
          <w:rFonts w:hint="eastAsia" w:eastAsia="仿宋_GB2312" w:cs="Calibri"/>
          <w:sz w:val="32"/>
          <w:szCs w:val="32"/>
        </w:rPr>
        <w:t>教师评价示例</w:t>
      </w:r>
    </w:p>
    <w:p>
      <w:pPr>
        <w:spacing w:line="360" w:lineRule="auto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 xml:space="preserve">4. </w:t>
      </w:r>
      <w:r>
        <w:rPr>
          <w:rFonts w:hint="eastAsia" w:eastAsia="仿宋_GB2312" w:cs="仿宋_GB2312"/>
          <w:sz w:val="32"/>
          <w:szCs w:val="32"/>
        </w:rPr>
        <w:t>申报案例对应的</w:t>
      </w:r>
      <w:r>
        <w:rPr>
          <w:rFonts w:hint="eastAsia" w:eastAsia="仿宋_GB2312" w:cs="Calibri"/>
          <w:sz w:val="32"/>
          <w:szCs w:val="32"/>
        </w:rPr>
        <w:t>教案（</w:t>
      </w:r>
      <w:r>
        <w:rPr>
          <w:rFonts w:hint="eastAsia" w:eastAsia="仿宋_GB2312" w:cs="仿宋_GB2312"/>
          <w:sz w:val="32"/>
          <w:szCs w:val="32"/>
        </w:rPr>
        <w:t>一日作业设计中的各学科教案</w:t>
      </w:r>
      <w:r>
        <w:rPr>
          <w:rFonts w:hint="eastAsia" w:eastAsia="仿宋_GB2312" w:cs="Calibri"/>
          <w:sz w:val="32"/>
          <w:szCs w:val="32"/>
        </w:rPr>
        <w:t>）</w:t>
      </w:r>
    </w:p>
    <w:p>
      <w:pPr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 xml:space="preserve">5. </w:t>
      </w:r>
      <w:r>
        <w:rPr>
          <w:rFonts w:hint="eastAsia" w:eastAsia="仿宋_GB2312" w:cs="仿宋_GB2312"/>
          <w:sz w:val="32"/>
          <w:szCs w:val="32"/>
        </w:rPr>
        <w:t>申报案例对应的其他有价值的材料</w:t>
      </w:r>
    </w:p>
    <w:p>
      <w:pPr>
        <w:ind w:firstLine="640" w:firstLineChars="200"/>
        <w:rPr>
          <w:rFonts w:hint="eastAsia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C349F"/>
    <w:rsid w:val="044739B5"/>
    <w:rsid w:val="32851365"/>
    <w:rsid w:val="38365D05"/>
    <w:rsid w:val="3C8C349F"/>
    <w:rsid w:val="3DB637EA"/>
    <w:rsid w:val="53D231F7"/>
    <w:rsid w:val="64F84EB5"/>
    <w:rsid w:val="71B754E1"/>
    <w:rsid w:val="79B1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2021-10-12T05:15:00Z</dcterms:created>
  <dc:creator>掌心合什</dc:creator>
  <cp:lastModifiedBy>掌心合什</cp:lastModifiedBy>
  <dcterms:modified xsi:type="dcterms:W3CDTF">2021-10-12T05:15:41Z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8E01457458E04100890F3320A0BEFE15</vt:lpwstr>
  </property>
</Properties>
</file>