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4758C3">
      <w:pPr>
        <w:pStyle w:val="9"/>
        <w:jc w:val="center"/>
        <w:rPr>
          <w:rFonts w:hint="default" w:eastAsia="宋体"/>
          <w:b/>
          <w:color w:val="auto"/>
          <w:sz w:val="72"/>
          <w:szCs w:val="72"/>
          <w:lang w:val="en-US" w:eastAsia="zh-CN"/>
        </w:rPr>
      </w:pPr>
    </w:p>
    <w:p w14:paraId="38B7958E">
      <w:pPr>
        <w:pStyle w:val="9"/>
        <w:jc w:val="center"/>
        <w:rPr>
          <w:b/>
          <w:bCs w:val="0"/>
          <w:color w:val="auto"/>
          <w:sz w:val="72"/>
          <w:szCs w:val="72"/>
        </w:rPr>
      </w:pPr>
      <w:r>
        <w:rPr>
          <w:b/>
          <w:bCs w:val="0"/>
          <w:color w:val="auto"/>
          <w:sz w:val="72"/>
          <w:szCs w:val="72"/>
        </w:rPr>
        <w:t>建设项目环境影响报告表</w:t>
      </w:r>
    </w:p>
    <w:p w14:paraId="62057B4F">
      <w:pPr>
        <w:adjustRightInd w:val="0"/>
        <w:snapToGrid w:val="0"/>
        <w:spacing w:before="192" w:beforeLines="80"/>
        <w:jc w:val="center"/>
        <w:rPr>
          <w:rFonts w:eastAsia="楷体_GB2312"/>
          <w:b/>
          <w:bCs w:val="0"/>
          <w:color w:val="auto"/>
          <w:sz w:val="48"/>
          <w:szCs w:val="48"/>
        </w:rPr>
      </w:pPr>
      <w:r>
        <w:rPr>
          <w:rFonts w:eastAsia="楷体_GB2312"/>
          <w:b/>
          <w:bCs w:val="0"/>
          <w:color w:val="auto"/>
          <w:sz w:val="48"/>
          <w:szCs w:val="48"/>
        </w:rPr>
        <w:t>（生态影响类）</w:t>
      </w:r>
    </w:p>
    <w:p w14:paraId="3E5108E5">
      <w:pPr>
        <w:jc w:val="center"/>
        <w:rPr>
          <w:rFonts w:eastAsia="仿宋"/>
          <w:b/>
          <w:bCs w:val="0"/>
          <w:color w:val="auto"/>
          <w:sz w:val="52"/>
          <w:szCs w:val="52"/>
        </w:rPr>
      </w:pPr>
      <w:bookmarkStart w:id="0" w:name="_Hlk57883728"/>
    </w:p>
    <w:p w14:paraId="6C51D261">
      <w:pPr>
        <w:jc w:val="center"/>
        <w:rPr>
          <w:rFonts w:eastAsia="仿宋"/>
          <w:b/>
          <w:bCs w:val="0"/>
          <w:color w:val="auto"/>
          <w:sz w:val="52"/>
          <w:szCs w:val="52"/>
        </w:rPr>
      </w:pPr>
    </w:p>
    <w:p w14:paraId="7EE12212">
      <w:pPr>
        <w:ind w:firstLine="1040"/>
        <w:rPr>
          <w:rFonts w:eastAsia="仿宋"/>
          <w:b/>
          <w:bCs w:val="0"/>
          <w:color w:val="auto"/>
          <w:sz w:val="44"/>
          <w:szCs w:val="44"/>
        </w:rPr>
      </w:pPr>
    </w:p>
    <w:p w14:paraId="630FE99F">
      <w:pPr>
        <w:ind w:firstLine="1040"/>
        <w:rPr>
          <w:rFonts w:eastAsia="仿宋"/>
          <w:b/>
          <w:bCs w:val="0"/>
          <w:color w:val="auto"/>
          <w:sz w:val="44"/>
          <w:szCs w:val="44"/>
        </w:rPr>
      </w:pPr>
    </w:p>
    <w:p w14:paraId="7414982C">
      <w:pPr>
        <w:rPr>
          <w:rFonts w:hint="eastAsia" w:eastAsia="仿宋"/>
          <w:b/>
          <w:bCs w:val="0"/>
          <w:color w:val="auto"/>
          <w:sz w:val="44"/>
          <w:szCs w:val="44"/>
          <w:lang w:eastAsia="zh-CN"/>
        </w:rPr>
      </w:pPr>
    </w:p>
    <w:p w14:paraId="039F088E">
      <w:pPr>
        <w:ind w:firstLine="1040"/>
        <w:rPr>
          <w:rFonts w:eastAsia="仿宋"/>
          <w:b/>
          <w:bCs w:val="0"/>
          <w:color w:val="auto"/>
          <w:sz w:val="44"/>
          <w:szCs w:val="44"/>
        </w:rPr>
      </w:pPr>
    </w:p>
    <w:bookmarkEnd w:id="0"/>
    <w:p w14:paraId="59D714E8">
      <w:pPr>
        <w:adjustRightInd w:val="0"/>
        <w:snapToGrid w:val="0"/>
        <w:spacing w:line="360" w:lineRule="auto"/>
        <w:ind w:firstLine="904" w:firstLineChars="300"/>
        <w:jc w:val="both"/>
        <w:rPr>
          <w:rFonts w:hint="eastAsia" w:eastAsia="仿宋_GB2312" w:cs="Times New Roman"/>
          <w:b/>
          <w:bCs w:val="0"/>
          <w:color w:val="auto"/>
          <w:sz w:val="30"/>
          <w:szCs w:val="30"/>
          <w:u w:val="single"/>
          <w:lang w:val="en-US" w:eastAsia="zh-CN"/>
        </w:rPr>
      </w:pPr>
      <w:r>
        <w:rPr>
          <w:rFonts w:hint="default" w:ascii="Times New Roman" w:hAnsi="Times New Roman" w:eastAsia="仿宋_GB2312" w:cs="Times New Roman"/>
          <w:b/>
          <w:bCs w:val="0"/>
          <w:color w:val="auto"/>
          <w:sz w:val="30"/>
          <w:szCs w:val="30"/>
          <w:u w:val="none"/>
          <w:lang w:val="en-US" w:eastAsia="zh-CN"/>
        </w:rPr>
        <w:t>项目名称：</w:t>
      </w:r>
      <w:r>
        <w:rPr>
          <w:rFonts w:hint="eastAsia" w:ascii="Times New Roman" w:hAnsi="Times New Roman" w:eastAsia="仿宋_GB2312" w:cs="Times New Roman"/>
          <w:b/>
          <w:bCs w:val="0"/>
          <w:color w:val="auto"/>
          <w:sz w:val="30"/>
          <w:szCs w:val="30"/>
          <w:u w:val="single"/>
          <w:lang w:val="en-US" w:eastAsia="zh-CN"/>
        </w:rPr>
        <w:t xml:space="preserve">  </w:t>
      </w:r>
      <w:r>
        <w:rPr>
          <w:rFonts w:hint="eastAsia" w:eastAsia="仿宋_GB2312" w:cs="Times New Roman"/>
          <w:b/>
          <w:bCs w:val="0"/>
          <w:color w:val="auto"/>
          <w:sz w:val="30"/>
          <w:szCs w:val="30"/>
          <w:u w:val="single"/>
          <w:lang w:val="en-US" w:eastAsia="zh-CN"/>
        </w:rPr>
        <w:t>陇县千河南岸新城污水处理厂人工湿地</w:t>
      </w:r>
    </w:p>
    <w:p w14:paraId="5D77C1FF">
      <w:pPr>
        <w:adjustRightInd w:val="0"/>
        <w:snapToGrid w:val="0"/>
        <w:spacing w:line="360" w:lineRule="auto"/>
        <w:ind w:firstLine="2711" w:firstLineChars="900"/>
        <w:jc w:val="both"/>
        <w:rPr>
          <w:rFonts w:hint="default" w:ascii="Times New Roman" w:hAnsi="Times New Roman" w:eastAsia="仿宋_GB2312" w:cs="Times New Roman"/>
          <w:b/>
          <w:bCs w:val="0"/>
          <w:color w:val="auto"/>
          <w:sz w:val="30"/>
          <w:szCs w:val="30"/>
          <w:u w:val="single"/>
          <w:lang w:val="en-US" w:eastAsia="zh-CN"/>
        </w:rPr>
      </w:pPr>
      <w:r>
        <w:rPr>
          <w:rFonts w:hint="eastAsia" w:eastAsia="仿宋_GB2312" w:cs="Times New Roman"/>
          <w:b/>
          <w:bCs w:val="0"/>
          <w:color w:val="auto"/>
          <w:sz w:val="30"/>
          <w:szCs w:val="30"/>
          <w:u w:val="single"/>
          <w:lang w:val="en-US" w:eastAsia="zh-CN"/>
        </w:rPr>
        <w:t xml:space="preserve">水质净化工程                      </w:t>
      </w:r>
    </w:p>
    <w:p w14:paraId="7D8C60A1">
      <w:pPr>
        <w:adjustRightInd w:val="0"/>
        <w:snapToGrid w:val="0"/>
        <w:spacing w:line="360" w:lineRule="auto"/>
        <w:ind w:firstLine="904" w:firstLineChars="300"/>
        <w:jc w:val="both"/>
        <w:rPr>
          <w:rFonts w:hint="default" w:eastAsia="仿宋_GB2312" w:cs="Times New Roman"/>
          <w:b/>
          <w:bCs w:val="0"/>
          <w:color w:val="auto"/>
          <w:sz w:val="30"/>
          <w:szCs w:val="30"/>
          <w:u w:val="single"/>
          <w:lang w:val="en-US" w:eastAsia="zh-CN"/>
        </w:rPr>
      </w:pPr>
      <w:r>
        <w:rPr>
          <w:rFonts w:hint="default" w:ascii="Times New Roman" w:hAnsi="Times New Roman" w:eastAsia="仿宋_GB2312" w:cs="Times New Roman"/>
          <w:b/>
          <w:bCs w:val="0"/>
          <w:color w:val="auto"/>
          <w:sz w:val="30"/>
          <w:szCs w:val="30"/>
          <w:u w:val="none"/>
          <w:lang w:val="en-US" w:eastAsia="zh-CN"/>
        </w:rPr>
        <w:t>建设单位（盖章）：</w:t>
      </w:r>
      <w:r>
        <w:rPr>
          <w:rFonts w:hint="eastAsia" w:eastAsia="仿宋_GB2312" w:cs="Times New Roman"/>
          <w:b/>
          <w:bCs w:val="0"/>
          <w:color w:val="auto"/>
          <w:sz w:val="30"/>
          <w:szCs w:val="30"/>
          <w:u w:val="single"/>
          <w:lang w:val="en-US" w:eastAsia="zh-CN"/>
        </w:rPr>
        <w:t xml:space="preserve"> 宝鸡市生态环境局陇县分局   </w:t>
      </w:r>
    </w:p>
    <w:p w14:paraId="5000B647">
      <w:pPr>
        <w:adjustRightInd w:val="0"/>
        <w:snapToGrid w:val="0"/>
        <w:spacing w:line="360" w:lineRule="auto"/>
        <w:ind w:firstLine="904" w:firstLineChars="300"/>
        <w:jc w:val="both"/>
        <w:rPr>
          <w:rFonts w:hint="default" w:ascii="Times New Roman" w:hAnsi="Times New Roman" w:eastAsia="仿宋_GB2312" w:cs="Times New Roman"/>
          <w:b/>
          <w:bCs w:val="0"/>
          <w:color w:val="auto"/>
          <w:sz w:val="30"/>
          <w:szCs w:val="30"/>
          <w:u w:val="single"/>
          <w:lang w:val="en-US" w:eastAsia="zh-CN"/>
        </w:rPr>
      </w:pPr>
      <w:r>
        <w:rPr>
          <w:rFonts w:hint="default" w:ascii="Times New Roman" w:hAnsi="Times New Roman" w:eastAsia="仿宋_GB2312" w:cs="Times New Roman"/>
          <w:b/>
          <w:bCs w:val="0"/>
          <w:color w:val="auto"/>
          <w:sz w:val="30"/>
          <w:szCs w:val="30"/>
          <w:u w:val="none"/>
          <w:lang w:val="en-US" w:eastAsia="zh-CN"/>
        </w:rPr>
        <w:t>编制日期：</w:t>
      </w:r>
      <w:r>
        <w:rPr>
          <w:rFonts w:hint="default" w:ascii="Times New Roman" w:hAnsi="Times New Roman" w:eastAsia="仿宋_GB2312" w:cs="Times New Roman"/>
          <w:b/>
          <w:bCs w:val="0"/>
          <w:color w:val="auto"/>
          <w:sz w:val="30"/>
          <w:szCs w:val="30"/>
          <w:u w:val="single"/>
          <w:lang w:val="en-US" w:eastAsia="zh-CN"/>
        </w:rPr>
        <w:t xml:space="preserve">           202</w:t>
      </w:r>
      <w:r>
        <w:rPr>
          <w:rFonts w:hint="eastAsia" w:eastAsia="仿宋_GB2312" w:cs="Times New Roman"/>
          <w:b/>
          <w:bCs w:val="0"/>
          <w:color w:val="auto"/>
          <w:sz w:val="30"/>
          <w:szCs w:val="30"/>
          <w:u w:val="single"/>
          <w:lang w:val="en-US" w:eastAsia="zh-CN"/>
        </w:rPr>
        <w:t>6</w:t>
      </w:r>
      <w:r>
        <w:rPr>
          <w:rFonts w:hint="default" w:ascii="Times New Roman" w:hAnsi="Times New Roman" w:eastAsia="仿宋_GB2312" w:cs="Times New Roman"/>
          <w:b/>
          <w:bCs w:val="0"/>
          <w:color w:val="auto"/>
          <w:sz w:val="30"/>
          <w:szCs w:val="30"/>
          <w:u w:val="single"/>
          <w:lang w:val="en-US" w:eastAsia="zh-CN"/>
        </w:rPr>
        <w:t>年</w:t>
      </w:r>
      <w:r>
        <w:rPr>
          <w:rFonts w:hint="eastAsia" w:eastAsia="仿宋_GB2312" w:cs="Times New Roman"/>
          <w:b/>
          <w:bCs w:val="0"/>
          <w:color w:val="auto"/>
          <w:sz w:val="30"/>
          <w:szCs w:val="30"/>
          <w:u w:val="single"/>
          <w:lang w:val="en-US" w:eastAsia="zh-CN"/>
        </w:rPr>
        <w:t>5</w:t>
      </w:r>
      <w:r>
        <w:rPr>
          <w:rFonts w:hint="default" w:ascii="Times New Roman" w:hAnsi="Times New Roman" w:eastAsia="仿宋_GB2312" w:cs="Times New Roman"/>
          <w:b/>
          <w:bCs w:val="0"/>
          <w:color w:val="auto"/>
          <w:sz w:val="30"/>
          <w:szCs w:val="30"/>
          <w:u w:val="single"/>
          <w:lang w:val="en-US" w:eastAsia="zh-CN"/>
        </w:rPr>
        <w:t xml:space="preserve">月      </w:t>
      </w:r>
      <w:r>
        <w:rPr>
          <w:rFonts w:hint="eastAsia" w:eastAsia="仿宋_GB2312" w:cs="Times New Roman"/>
          <w:b/>
          <w:bCs w:val="0"/>
          <w:color w:val="auto"/>
          <w:sz w:val="30"/>
          <w:szCs w:val="30"/>
          <w:u w:val="single"/>
          <w:lang w:val="en-US" w:eastAsia="zh-CN"/>
        </w:rPr>
        <w:t xml:space="preserve">     </w:t>
      </w:r>
      <w:r>
        <w:rPr>
          <w:rFonts w:hint="default" w:ascii="Times New Roman" w:hAnsi="Times New Roman" w:eastAsia="仿宋_GB2312" w:cs="Times New Roman"/>
          <w:b/>
          <w:bCs w:val="0"/>
          <w:color w:val="auto"/>
          <w:sz w:val="30"/>
          <w:szCs w:val="30"/>
          <w:u w:val="single"/>
          <w:lang w:val="en-US" w:eastAsia="zh-CN"/>
        </w:rPr>
        <w:t xml:space="preserve">    </w:t>
      </w:r>
    </w:p>
    <w:p w14:paraId="3EA6C80F">
      <w:pPr>
        <w:adjustRightInd w:val="0"/>
        <w:snapToGrid w:val="0"/>
        <w:spacing w:line="288" w:lineRule="auto"/>
        <w:ind w:firstLine="1040"/>
        <w:rPr>
          <w:rFonts w:eastAsia="仿宋_GB2312"/>
          <w:b/>
          <w:bCs w:val="0"/>
          <w:color w:val="auto"/>
          <w:sz w:val="36"/>
          <w:szCs w:val="36"/>
          <w:u w:val="single"/>
        </w:rPr>
      </w:pPr>
    </w:p>
    <w:p w14:paraId="00982F07">
      <w:pPr>
        <w:adjustRightInd w:val="0"/>
        <w:snapToGrid w:val="0"/>
        <w:spacing w:line="288" w:lineRule="auto"/>
        <w:ind w:firstLine="1040"/>
        <w:rPr>
          <w:rFonts w:ascii="仿宋_GB2312" w:eastAsia="仿宋_GB2312"/>
          <w:b/>
          <w:bCs w:val="0"/>
          <w:color w:val="auto"/>
          <w:sz w:val="36"/>
          <w:szCs w:val="36"/>
        </w:rPr>
      </w:pPr>
    </w:p>
    <w:p w14:paraId="0E4F9EBC">
      <w:pPr>
        <w:adjustRightInd w:val="0"/>
        <w:snapToGrid w:val="0"/>
        <w:spacing w:line="288" w:lineRule="auto"/>
        <w:ind w:firstLine="1040"/>
        <w:rPr>
          <w:rFonts w:hint="eastAsia" w:ascii="仿宋_GB2312" w:eastAsia="仿宋_GB2312"/>
          <w:b/>
          <w:bCs w:val="0"/>
          <w:color w:val="auto"/>
          <w:sz w:val="36"/>
          <w:szCs w:val="36"/>
        </w:rPr>
      </w:pPr>
    </w:p>
    <w:p w14:paraId="5A8490A6">
      <w:pPr>
        <w:adjustRightInd w:val="0"/>
        <w:snapToGrid w:val="0"/>
        <w:spacing w:line="288" w:lineRule="auto"/>
        <w:rPr>
          <w:rFonts w:hint="eastAsia" w:ascii="仿宋_GB2312" w:eastAsia="仿宋_GB2312"/>
          <w:b/>
          <w:bCs w:val="0"/>
          <w:color w:val="auto"/>
          <w:sz w:val="36"/>
          <w:szCs w:val="36"/>
        </w:rPr>
      </w:pPr>
    </w:p>
    <w:p w14:paraId="4AC3986B">
      <w:pPr>
        <w:adjustRightInd w:val="0"/>
        <w:snapToGrid w:val="0"/>
        <w:spacing w:line="288" w:lineRule="auto"/>
        <w:ind w:firstLine="1040"/>
        <w:rPr>
          <w:rFonts w:hint="eastAsia" w:ascii="仿宋_GB2312" w:eastAsia="仿宋_GB2312"/>
          <w:b/>
          <w:bCs w:val="0"/>
          <w:color w:val="auto"/>
          <w:sz w:val="36"/>
          <w:szCs w:val="36"/>
        </w:rPr>
      </w:pPr>
    </w:p>
    <w:p w14:paraId="5D687A64">
      <w:pPr>
        <w:adjustRightInd w:val="0"/>
        <w:snapToGrid w:val="0"/>
        <w:spacing w:line="288" w:lineRule="auto"/>
        <w:jc w:val="center"/>
        <w:rPr>
          <w:rFonts w:ascii="楷体_GB2312" w:eastAsia="楷体_GB2312"/>
          <w:b/>
          <w:bCs w:val="0"/>
          <w:color w:val="auto"/>
          <w:sz w:val="36"/>
          <w:szCs w:val="36"/>
        </w:rPr>
      </w:pPr>
      <w:r>
        <w:rPr>
          <w:rFonts w:hint="eastAsia" w:ascii="楷体_GB2312" w:eastAsia="楷体_GB2312"/>
          <w:b/>
          <w:bCs w:val="0"/>
          <w:color w:val="auto"/>
          <w:sz w:val="36"/>
          <w:szCs w:val="36"/>
        </w:rPr>
        <w:t>中华人民共和国生态环境部制</w:t>
      </w:r>
    </w:p>
    <w:p w14:paraId="49885D99">
      <w:pPr>
        <w:pStyle w:val="15"/>
        <w:keepNext w:val="0"/>
        <w:keepLines w:val="0"/>
        <w:pageBreakBefore w:val="0"/>
        <w:widowControl/>
        <w:kinsoku/>
        <w:wordWrap/>
        <w:overflowPunct/>
        <w:topLinePunct w:val="0"/>
        <w:autoSpaceDE/>
        <w:autoSpaceDN/>
        <w:bidi w:val="0"/>
        <w:adjustRightInd/>
        <w:snapToGrid/>
        <w:jc w:val="center"/>
        <w:textAlignment w:val="auto"/>
        <w:outlineLvl w:val="0"/>
        <w:rPr>
          <w:rFonts w:hint="eastAsia" w:ascii="黑体" w:hAnsi="黑体" w:eastAsia="黑体"/>
          <w:snapToGrid w:val="0"/>
          <w:color w:val="auto"/>
          <w:sz w:val="30"/>
          <w:szCs w:val="30"/>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73D06DEF">
      <w:pPr>
        <w:pStyle w:val="15"/>
        <w:keepNext w:val="0"/>
        <w:keepLines w:val="0"/>
        <w:pageBreakBefore w:val="0"/>
        <w:widowControl/>
        <w:kinsoku/>
        <w:wordWrap/>
        <w:overflowPunct/>
        <w:topLinePunct w:val="0"/>
        <w:autoSpaceDE/>
        <w:autoSpaceDN/>
        <w:bidi w:val="0"/>
        <w:adjustRightInd/>
        <w:snapToGrid/>
        <w:jc w:val="center"/>
        <w:textAlignment w:val="auto"/>
        <w:outlineLvl w:val="0"/>
        <w:rPr>
          <w:rFonts w:hint="eastAsia" w:ascii="黑体" w:hAnsi="黑体" w:eastAsia="黑体"/>
          <w:snapToGrid w:val="0"/>
          <w:color w:val="auto"/>
          <w:sz w:val="30"/>
          <w:szCs w:val="30"/>
        </w:rPr>
      </w:pPr>
      <w:r>
        <w:rPr>
          <w:rFonts w:hint="eastAsia" w:ascii="黑体" w:hAnsi="黑体" w:eastAsia="黑体"/>
          <w:snapToGrid w:val="0"/>
          <w:color w:val="auto"/>
          <w:sz w:val="30"/>
          <w:szCs w:val="30"/>
        </w:rPr>
        <w:t>一、建设项目基本情况</w:t>
      </w:r>
    </w:p>
    <w:tbl>
      <w:tblPr>
        <w:tblStyle w:val="16"/>
        <w:tblW w:w="897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968"/>
        <w:gridCol w:w="2422"/>
        <w:gridCol w:w="1718"/>
        <w:gridCol w:w="2865"/>
      </w:tblGrid>
      <w:tr w14:paraId="278B7D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71" w:hRule="atLeast"/>
          <w:jc w:val="center"/>
        </w:trPr>
        <w:tc>
          <w:tcPr>
            <w:tcW w:w="1968" w:type="dxa"/>
            <w:noWrap w:val="0"/>
            <w:tcMar>
              <w:top w:w="16" w:type="dxa"/>
              <w:left w:w="16" w:type="dxa"/>
              <w:right w:w="16" w:type="dxa"/>
            </w:tcMar>
            <w:vAlign w:val="center"/>
          </w:tcPr>
          <w:p w14:paraId="277D5715">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建设项目名称</w:t>
            </w:r>
          </w:p>
        </w:tc>
        <w:tc>
          <w:tcPr>
            <w:tcW w:w="7005" w:type="dxa"/>
            <w:gridSpan w:val="3"/>
            <w:noWrap w:val="0"/>
            <w:vAlign w:val="center"/>
          </w:tcPr>
          <w:p w14:paraId="1D864DE1">
            <w:pPr>
              <w:adjustRightInd w:val="0"/>
              <w:snapToGrid w:val="0"/>
              <w:jc w:val="center"/>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陇县千河南岸新城污水处理厂人工湿地水质净化工程</w:t>
            </w:r>
          </w:p>
        </w:tc>
      </w:tr>
      <w:tr w14:paraId="209636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87" w:hRule="atLeast"/>
          <w:jc w:val="center"/>
        </w:trPr>
        <w:tc>
          <w:tcPr>
            <w:tcW w:w="1968" w:type="dxa"/>
            <w:noWrap w:val="0"/>
            <w:tcMar>
              <w:top w:w="16" w:type="dxa"/>
              <w:left w:w="16" w:type="dxa"/>
              <w:right w:w="16" w:type="dxa"/>
            </w:tcMar>
            <w:vAlign w:val="center"/>
          </w:tcPr>
          <w:p w14:paraId="3DFB7516">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项目代码</w:t>
            </w:r>
          </w:p>
        </w:tc>
        <w:tc>
          <w:tcPr>
            <w:tcW w:w="7005" w:type="dxa"/>
            <w:gridSpan w:val="3"/>
            <w:noWrap w:val="0"/>
            <w:vAlign w:val="center"/>
          </w:tcPr>
          <w:p w14:paraId="093ABBD5">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2512-610327-04-05-785041</w:t>
            </w:r>
          </w:p>
        </w:tc>
      </w:tr>
      <w:tr w14:paraId="7F9CBF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7" w:hRule="atLeast"/>
          <w:jc w:val="center"/>
        </w:trPr>
        <w:tc>
          <w:tcPr>
            <w:tcW w:w="1968" w:type="dxa"/>
            <w:noWrap w:val="0"/>
            <w:tcMar>
              <w:top w:w="16" w:type="dxa"/>
              <w:left w:w="16" w:type="dxa"/>
              <w:right w:w="16" w:type="dxa"/>
            </w:tcMar>
            <w:vAlign w:val="center"/>
          </w:tcPr>
          <w:p w14:paraId="0859DA47">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建设单位联系人</w:t>
            </w:r>
          </w:p>
        </w:tc>
        <w:tc>
          <w:tcPr>
            <w:tcW w:w="2422" w:type="dxa"/>
            <w:noWrap w:val="0"/>
            <w:vAlign w:val="center"/>
          </w:tcPr>
          <w:p w14:paraId="020954CF">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李茜</w:t>
            </w:r>
          </w:p>
        </w:tc>
        <w:tc>
          <w:tcPr>
            <w:tcW w:w="1718" w:type="dxa"/>
            <w:noWrap w:val="0"/>
            <w:vAlign w:val="center"/>
          </w:tcPr>
          <w:p w14:paraId="0E135896">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联系方式</w:t>
            </w:r>
          </w:p>
        </w:tc>
        <w:tc>
          <w:tcPr>
            <w:tcW w:w="2865" w:type="dxa"/>
            <w:noWrap w:val="0"/>
            <w:vAlign w:val="center"/>
          </w:tcPr>
          <w:p w14:paraId="0E6BF5F3">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0917-</w:t>
            </w:r>
            <w:r>
              <w:rPr>
                <w:rFonts w:hint="default" w:ascii="Times New Roman" w:hAnsi="Times New Roman" w:eastAsia="宋体" w:cs="Times New Roman"/>
                <w:color w:val="auto"/>
                <w:sz w:val="24"/>
                <w:szCs w:val="24"/>
                <w:lang w:val="en-US" w:eastAsia="zh-CN"/>
              </w:rPr>
              <w:t>2660291</w:t>
            </w:r>
          </w:p>
        </w:tc>
      </w:tr>
      <w:tr w14:paraId="5EB69D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7" w:hRule="atLeast"/>
          <w:jc w:val="center"/>
        </w:trPr>
        <w:tc>
          <w:tcPr>
            <w:tcW w:w="1968" w:type="dxa"/>
            <w:noWrap w:val="0"/>
            <w:tcMar>
              <w:top w:w="16" w:type="dxa"/>
              <w:left w:w="16" w:type="dxa"/>
              <w:right w:w="16" w:type="dxa"/>
            </w:tcMar>
            <w:vAlign w:val="center"/>
          </w:tcPr>
          <w:p w14:paraId="74EECEB1">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建设地点</w:t>
            </w:r>
          </w:p>
        </w:tc>
        <w:tc>
          <w:tcPr>
            <w:tcW w:w="7005" w:type="dxa"/>
            <w:gridSpan w:val="3"/>
            <w:noWrap w:val="0"/>
            <w:vAlign w:val="center"/>
          </w:tcPr>
          <w:p w14:paraId="5FA0C628">
            <w:pPr>
              <w:adjustRightInd w:val="0"/>
              <w:snapToGrid w:val="0"/>
              <w:jc w:val="center"/>
              <w:rPr>
                <w:rFonts w:hint="default" w:ascii="Times New Roman" w:hAnsi="Times New Roman" w:cs="Times New Roman"/>
                <w:color w:val="auto"/>
                <w:sz w:val="24"/>
                <w:szCs w:val="24"/>
                <w:lang w:val="en-US"/>
              </w:rPr>
            </w:pPr>
            <w:r>
              <w:rPr>
                <w:rFonts w:hint="eastAsia" w:cs="Times New Roman"/>
                <w:color w:val="auto"/>
                <w:sz w:val="24"/>
                <w:szCs w:val="24"/>
                <w:u w:val="none"/>
                <w:lang w:val="en-US" w:eastAsia="zh-CN"/>
              </w:rPr>
              <w:t>陕西省宝鸡市陇县城区污水处理厂南侧、陇县千河南岸新城污水处理厂西南侧</w:t>
            </w:r>
          </w:p>
        </w:tc>
      </w:tr>
      <w:tr w14:paraId="5ED449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43" w:hRule="atLeast"/>
          <w:jc w:val="center"/>
        </w:trPr>
        <w:tc>
          <w:tcPr>
            <w:tcW w:w="1968" w:type="dxa"/>
            <w:noWrap w:val="0"/>
            <w:tcMar>
              <w:top w:w="16" w:type="dxa"/>
              <w:left w:w="16" w:type="dxa"/>
              <w:right w:w="16" w:type="dxa"/>
            </w:tcMar>
            <w:vAlign w:val="center"/>
          </w:tcPr>
          <w:p w14:paraId="15F7A2DE">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地理坐标</w:t>
            </w:r>
          </w:p>
        </w:tc>
        <w:tc>
          <w:tcPr>
            <w:tcW w:w="7005" w:type="dxa"/>
            <w:gridSpan w:val="3"/>
            <w:noWrap w:val="0"/>
            <w:vAlign w:val="center"/>
          </w:tcPr>
          <w:p w14:paraId="162C5319">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rPr>
                <w:rFonts w:hint="eastAsia" w:ascii="Times New Roman" w:hAnsi="Times New Roman" w:eastAsia="宋体" w:cs="Times New Roman"/>
                <w:color w:val="auto"/>
                <w:sz w:val="24"/>
                <w:szCs w:val="24"/>
                <w:lang w:eastAsia="zh-CN"/>
              </w:rPr>
            </w:pPr>
            <w:r>
              <w:rPr>
                <w:rFonts w:hint="eastAsia" w:cs="Times New Roman"/>
                <w:color w:val="auto"/>
                <w:sz w:val="24"/>
                <w:szCs w:val="24"/>
                <w:u w:val="none"/>
                <w:lang w:val="en-US" w:eastAsia="zh-CN"/>
              </w:rPr>
              <w:t>陇县污水处理厂人工湿地</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u w:val="single"/>
              </w:rPr>
              <w:t>10</w:t>
            </w:r>
            <w:r>
              <w:rPr>
                <w:rFonts w:hint="eastAsia" w:cs="Times New Roman"/>
                <w:color w:val="auto"/>
                <w:sz w:val="24"/>
                <w:szCs w:val="24"/>
                <w:u w:val="single"/>
                <w:lang w:val="en-US" w:eastAsia="zh-CN"/>
              </w:rPr>
              <w:t>6</w:t>
            </w:r>
            <w:r>
              <w:rPr>
                <w:rFonts w:hint="default" w:ascii="Times New Roman" w:hAnsi="Times New Roman" w:cs="Times New Roman"/>
                <w:color w:val="auto"/>
                <w:sz w:val="24"/>
                <w:szCs w:val="24"/>
              </w:rPr>
              <w:t>度</w:t>
            </w:r>
            <w:r>
              <w:rPr>
                <w:rFonts w:hint="eastAsia" w:cs="Times New Roman"/>
                <w:color w:val="auto"/>
                <w:sz w:val="24"/>
                <w:szCs w:val="24"/>
                <w:u w:val="single"/>
                <w:lang w:val="en-US" w:eastAsia="zh-CN"/>
              </w:rPr>
              <w:t>52</w:t>
            </w:r>
            <w:r>
              <w:rPr>
                <w:rFonts w:hint="default" w:ascii="Times New Roman" w:hAnsi="Times New Roman" w:cs="Times New Roman"/>
                <w:color w:val="auto"/>
                <w:sz w:val="24"/>
                <w:szCs w:val="24"/>
              </w:rPr>
              <w:t>分</w:t>
            </w:r>
            <w:r>
              <w:rPr>
                <w:rFonts w:hint="eastAsia" w:cs="Times New Roman"/>
                <w:color w:val="auto"/>
                <w:sz w:val="24"/>
                <w:szCs w:val="24"/>
                <w:u w:val="single"/>
                <w:lang w:val="en-US" w:eastAsia="zh-CN"/>
              </w:rPr>
              <w:t>11.585</w:t>
            </w:r>
            <w:r>
              <w:rPr>
                <w:rFonts w:hint="default" w:ascii="Times New Roman" w:hAnsi="Times New Roman" w:cs="Times New Roman"/>
                <w:color w:val="auto"/>
                <w:sz w:val="24"/>
                <w:szCs w:val="24"/>
              </w:rPr>
              <w:t>秒，</w:t>
            </w:r>
            <w:r>
              <w:rPr>
                <w:rFonts w:hint="default" w:ascii="Times New Roman" w:hAnsi="Times New Roman" w:cs="Times New Roman"/>
                <w:color w:val="auto"/>
                <w:sz w:val="24"/>
                <w:szCs w:val="24"/>
                <w:u w:val="single"/>
              </w:rPr>
              <w:t>3</w:t>
            </w:r>
            <w:r>
              <w:rPr>
                <w:rFonts w:hint="eastAsia" w:cs="Times New Roman"/>
                <w:color w:val="auto"/>
                <w:sz w:val="24"/>
                <w:szCs w:val="24"/>
                <w:u w:val="single"/>
                <w:lang w:val="en-US" w:eastAsia="zh-CN"/>
              </w:rPr>
              <w:t>4</w:t>
            </w:r>
            <w:r>
              <w:rPr>
                <w:rFonts w:hint="default" w:ascii="Times New Roman" w:hAnsi="Times New Roman" w:cs="Times New Roman"/>
                <w:color w:val="auto"/>
                <w:sz w:val="24"/>
                <w:szCs w:val="24"/>
              </w:rPr>
              <w:t>度</w:t>
            </w:r>
            <w:r>
              <w:rPr>
                <w:rFonts w:hint="eastAsia" w:cs="Times New Roman"/>
                <w:color w:val="auto"/>
                <w:sz w:val="24"/>
                <w:szCs w:val="24"/>
                <w:u w:val="single"/>
                <w:lang w:val="en-US" w:eastAsia="zh-CN"/>
              </w:rPr>
              <w:t>53</w:t>
            </w:r>
            <w:r>
              <w:rPr>
                <w:rFonts w:hint="default" w:ascii="Times New Roman" w:hAnsi="Times New Roman" w:cs="Times New Roman"/>
                <w:color w:val="auto"/>
                <w:sz w:val="24"/>
                <w:szCs w:val="24"/>
              </w:rPr>
              <w:t>分</w:t>
            </w:r>
            <w:r>
              <w:rPr>
                <w:rFonts w:hint="eastAsia" w:cs="Times New Roman"/>
                <w:color w:val="auto"/>
                <w:sz w:val="24"/>
                <w:szCs w:val="24"/>
                <w:u w:val="single"/>
                <w:lang w:val="en-US" w:eastAsia="zh-CN"/>
              </w:rPr>
              <w:t>24.337</w:t>
            </w:r>
            <w:r>
              <w:rPr>
                <w:rFonts w:hint="default" w:ascii="Times New Roman" w:hAnsi="Times New Roman" w:cs="Times New Roman"/>
                <w:color w:val="auto"/>
                <w:sz w:val="24"/>
                <w:szCs w:val="24"/>
              </w:rPr>
              <w:t>秒</w:t>
            </w:r>
            <w:r>
              <w:rPr>
                <w:rFonts w:hint="eastAsia" w:cs="Times New Roman"/>
                <w:color w:val="auto"/>
                <w:sz w:val="24"/>
                <w:szCs w:val="24"/>
                <w:lang w:val="en-US" w:eastAsia="zh-CN"/>
              </w:rPr>
              <w:t>；</w:t>
            </w:r>
          </w:p>
          <w:p w14:paraId="5313F587">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rPr>
                <w:rFonts w:hint="eastAsia" w:cs="Times New Roman"/>
                <w:color w:val="auto"/>
                <w:sz w:val="24"/>
                <w:szCs w:val="24"/>
                <w:u w:val="none"/>
                <w:lang w:val="en-US" w:eastAsia="zh-CN"/>
              </w:rPr>
            </w:pPr>
            <w:r>
              <w:rPr>
                <w:rFonts w:hint="eastAsia" w:cs="Times New Roman"/>
                <w:color w:val="auto"/>
                <w:sz w:val="24"/>
                <w:szCs w:val="24"/>
                <w:u w:val="none"/>
                <w:lang w:val="en-US" w:eastAsia="zh-CN"/>
              </w:rPr>
              <w:t>千河南岸新城污水处理厂人工湿地：</w:t>
            </w:r>
            <w:r>
              <w:rPr>
                <w:rFonts w:hint="default" w:ascii="Times New Roman" w:hAnsi="Times New Roman" w:cs="Times New Roman"/>
                <w:color w:val="auto"/>
                <w:sz w:val="24"/>
                <w:szCs w:val="24"/>
                <w:u w:val="single"/>
              </w:rPr>
              <w:t>10</w:t>
            </w:r>
            <w:r>
              <w:rPr>
                <w:rFonts w:hint="eastAsia" w:cs="Times New Roman"/>
                <w:color w:val="auto"/>
                <w:sz w:val="24"/>
                <w:szCs w:val="24"/>
                <w:u w:val="single"/>
                <w:lang w:val="en-US" w:eastAsia="zh-CN"/>
              </w:rPr>
              <w:t>6</w:t>
            </w:r>
            <w:r>
              <w:rPr>
                <w:rFonts w:hint="default" w:ascii="Times New Roman" w:hAnsi="Times New Roman" w:cs="Times New Roman"/>
                <w:color w:val="auto"/>
                <w:sz w:val="24"/>
                <w:szCs w:val="24"/>
              </w:rPr>
              <w:t>度</w:t>
            </w:r>
            <w:r>
              <w:rPr>
                <w:rFonts w:hint="eastAsia" w:cs="Times New Roman"/>
                <w:color w:val="auto"/>
                <w:sz w:val="24"/>
                <w:szCs w:val="24"/>
                <w:u w:val="single"/>
                <w:lang w:val="en-US" w:eastAsia="zh-CN"/>
              </w:rPr>
              <w:t>54</w:t>
            </w:r>
            <w:r>
              <w:rPr>
                <w:rFonts w:hint="default" w:ascii="Times New Roman" w:hAnsi="Times New Roman" w:cs="Times New Roman"/>
                <w:color w:val="auto"/>
                <w:sz w:val="24"/>
                <w:szCs w:val="24"/>
              </w:rPr>
              <w:t>分</w:t>
            </w:r>
            <w:r>
              <w:rPr>
                <w:rFonts w:hint="eastAsia" w:cs="Times New Roman"/>
                <w:color w:val="auto"/>
                <w:sz w:val="24"/>
                <w:szCs w:val="24"/>
                <w:u w:val="single"/>
                <w:lang w:val="en-US" w:eastAsia="zh-CN"/>
              </w:rPr>
              <w:t>45.462</w:t>
            </w:r>
            <w:r>
              <w:rPr>
                <w:rFonts w:hint="default" w:ascii="Times New Roman" w:hAnsi="Times New Roman" w:cs="Times New Roman"/>
                <w:color w:val="auto"/>
                <w:sz w:val="24"/>
                <w:szCs w:val="24"/>
              </w:rPr>
              <w:t>秒，</w:t>
            </w:r>
            <w:r>
              <w:rPr>
                <w:rFonts w:hint="default" w:ascii="Times New Roman" w:hAnsi="Times New Roman" w:cs="Times New Roman"/>
                <w:color w:val="auto"/>
                <w:sz w:val="24"/>
                <w:szCs w:val="24"/>
                <w:u w:val="single"/>
              </w:rPr>
              <w:t>3</w:t>
            </w:r>
            <w:r>
              <w:rPr>
                <w:rFonts w:hint="eastAsia" w:cs="Times New Roman"/>
                <w:color w:val="auto"/>
                <w:sz w:val="24"/>
                <w:szCs w:val="24"/>
                <w:u w:val="single"/>
                <w:lang w:val="en-US" w:eastAsia="zh-CN"/>
              </w:rPr>
              <w:t>4</w:t>
            </w:r>
            <w:r>
              <w:rPr>
                <w:rFonts w:hint="default" w:ascii="Times New Roman" w:hAnsi="Times New Roman" w:cs="Times New Roman"/>
                <w:color w:val="auto"/>
                <w:sz w:val="24"/>
                <w:szCs w:val="24"/>
              </w:rPr>
              <w:t>度</w:t>
            </w:r>
            <w:r>
              <w:rPr>
                <w:rFonts w:hint="eastAsia" w:cs="Times New Roman"/>
                <w:color w:val="auto"/>
                <w:sz w:val="24"/>
                <w:szCs w:val="24"/>
                <w:u w:val="single"/>
                <w:lang w:val="en-US" w:eastAsia="zh-CN"/>
              </w:rPr>
              <w:t>51</w:t>
            </w:r>
            <w:r>
              <w:rPr>
                <w:rFonts w:hint="default" w:ascii="Times New Roman" w:hAnsi="Times New Roman" w:cs="Times New Roman"/>
                <w:color w:val="auto"/>
                <w:sz w:val="24"/>
                <w:szCs w:val="24"/>
              </w:rPr>
              <w:t>分</w:t>
            </w:r>
            <w:r>
              <w:rPr>
                <w:rFonts w:hint="eastAsia" w:cs="Times New Roman"/>
                <w:color w:val="auto"/>
                <w:sz w:val="24"/>
                <w:szCs w:val="24"/>
                <w:u w:val="single"/>
                <w:lang w:val="en-US" w:eastAsia="zh-CN"/>
              </w:rPr>
              <w:t>9.598</w:t>
            </w:r>
            <w:r>
              <w:rPr>
                <w:rFonts w:hint="default" w:ascii="Times New Roman" w:hAnsi="Times New Roman" w:cs="Times New Roman"/>
                <w:color w:val="auto"/>
                <w:sz w:val="24"/>
                <w:szCs w:val="24"/>
              </w:rPr>
              <w:t>秒</w:t>
            </w:r>
            <w:r>
              <w:rPr>
                <w:rFonts w:hint="eastAsia" w:cs="Times New Roman"/>
                <w:color w:val="auto"/>
                <w:sz w:val="24"/>
                <w:szCs w:val="24"/>
                <w:lang w:val="en-US" w:eastAsia="zh-CN"/>
              </w:rPr>
              <w:t>；</w:t>
            </w:r>
          </w:p>
          <w:p w14:paraId="701C4B45">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rPr>
                <w:rFonts w:hint="eastAsia" w:ascii="Times New Roman" w:hAnsi="Times New Roman" w:eastAsia="宋体" w:cs="Times New Roman"/>
                <w:color w:val="auto"/>
                <w:sz w:val="24"/>
                <w:szCs w:val="24"/>
                <w:lang w:eastAsia="zh-CN"/>
              </w:rPr>
            </w:pPr>
            <w:r>
              <w:rPr>
                <w:rFonts w:hint="eastAsia" w:cs="Times New Roman"/>
                <w:color w:val="auto"/>
                <w:sz w:val="24"/>
                <w:szCs w:val="24"/>
                <w:lang w:val="en-US" w:eastAsia="zh-CN"/>
              </w:rPr>
              <w:t>护岸与护坡</w:t>
            </w:r>
            <w:r>
              <w:rPr>
                <w:rFonts w:hint="default" w:ascii="Times New Roman" w:hAnsi="Times New Roman" w:cs="Times New Roman"/>
                <w:color w:val="auto"/>
                <w:sz w:val="24"/>
                <w:szCs w:val="24"/>
                <w:lang w:val="en-US" w:eastAsia="zh-CN"/>
              </w:rPr>
              <w:t>起点：</w:t>
            </w:r>
            <w:r>
              <w:rPr>
                <w:rFonts w:hint="default" w:ascii="Times New Roman" w:hAnsi="Times New Roman" w:cs="Times New Roman"/>
                <w:color w:val="auto"/>
                <w:sz w:val="24"/>
                <w:szCs w:val="24"/>
                <w:u w:val="single"/>
              </w:rPr>
              <w:t>10</w:t>
            </w:r>
            <w:r>
              <w:rPr>
                <w:rFonts w:hint="eastAsia" w:cs="Times New Roman"/>
                <w:color w:val="auto"/>
                <w:sz w:val="24"/>
                <w:szCs w:val="24"/>
                <w:u w:val="single"/>
                <w:lang w:val="en-US" w:eastAsia="zh-CN"/>
              </w:rPr>
              <w:t>6</w:t>
            </w:r>
            <w:r>
              <w:rPr>
                <w:rFonts w:hint="default" w:ascii="Times New Roman" w:hAnsi="Times New Roman" w:cs="Times New Roman"/>
                <w:color w:val="auto"/>
                <w:sz w:val="24"/>
                <w:szCs w:val="24"/>
              </w:rPr>
              <w:t>度</w:t>
            </w:r>
            <w:r>
              <w:rPr>
                <w:rFonts w:hint="eastAsia" w:cs="Times New Roman"/>
                <w:color w:val="auto"/>
                <w:sz w:val="24"/>
                <w:szCs w:val="24"/>
                <w:u w:val="single"/>
                <w:lang w:val="en-US" w:eastAsia="zh-CN"/>
              </w:rPr>
              <w:t>54</w:t>
            </w:r>
            <w:r>
              <w:rPr>
                <w:rFonts w:hint="default" w:ascii="Times New Roman" w:hAnsi="Times New Roman" w:cs="Times New Roman"/>
                <w:color w:val="auto"/>
                <w:sz w:val="24"/>
                <w:szCs w:val="24"/>
              </w:rPr>
              <w:t>分</w:t>
            </w:r>
            <w:r>
              <w:rPr>
                <w:rFonts w:hint="eastAsia" w:cs="Times New Roman"/>
                <w:color w:val="auto"/>
                <w:sz w:val="24"/>
                <w:szCs w:val="24"/>
                <w:u w:val="single"/>
                <w:lang w:val="en-US" w:eastAsia="zh-CN"/>
              </w:rPr>
              <w:t>42.416</w:t>
            </w:r>
            <w:r>
              <w:rPr>
                <w:rFonts w:hint="default" w:ascii="Times New Roman" w:hAnsi="Times New Roman" w:cs="Times New Roman"/>
                <w:color w:val="auto"/>
                <w:sz w:val="24"/>
                <w:szCs w:val="24"/>
              </w:rPr>
              <w:t>秒，</w:t>
            </w:r>
            <w:r>
              <w:rPr>
                <w:rFonts w:hint="default" w:ascii="Times New Roman" w:hAnsi="Times New Roman" w:cs="Times New Roman"/>
                <w:color w:val="auto"/>
                <w:sz w:val="24"/>
                <w:szCs w:val="24"/>
                <w:u w:val="single"/>
              </w:rPr>
              <w:t>3</w:t>
            </w:r>
            <w:r>
              <w:rPr>
                <w:rFonts w:hint="eastAsia" w:cs="Times New Roman"/>
                <w:color w:val="auto"/>
                <w:sz w:val="24"/>
                <w:szCs w:val="24"/>
                <w:u w:val="single"/>
                <w:lang w:val="en-US" w:eastAsia="zh-CN"/>
              </w:rPr>
              <w:t>4</w:t>
            </w:r>
            <w:r>
              <w:rPr>
                <w:rFonts w:hint="default" w:ascii="Times New Roman" w:hAnsi="Times New Roman" w:cs="Times New Roman"/>
                <w:color w:val="auto"/>
                <w:sz w:val="24"/>
                <w:szCs w:val="24"/>
              </w:rPr>
              <w:t>度</w:t>
            </w:r>
            <w:r>
              <w:rPr>
                <w:rFonts w:hint="eastAsia" w:cs="Times New Roman"/>
                <w:color w:val="auto"/>
                <w:sz w:val="24"/>
                <w:szCs w:val="24"/>
                <w:u w:val="single"/>
                <w:lang w:val="en-US" w:eastAsia="zh-CN"/>
              </w:rPr>
              <w:t>51</w:t>
            </w:r>
            <w:r>
              <w:rPr>
                <w:rFonts w:hint="default" w:ascii="Times New Roman" w:hAnsi="Times New Roman" w:cs="Times New Roman"/>
                <w:color w:val="auto"/>
                <w:sz w:val="24"/>
                <w:szCs w:val="24"/>
              </w:rPr>
              <w:t>分</w:t>
            </w:r>
            <w:r>
              <w:rPr>
                <w:rFonts w:hint="eastAsia" w:cs="Times New Roman"/>
                <w:color w:val="auto"/>
                <w:sz w:val="24"/>
                <w:szCs w:val="24"/>
                <w:u w:val="single"/>
                <w:lang w:val="en-US" w:eastAsia="zh-CN"/>
              </w:rPr>
              <w:t>10.671</w:t>
            </w:r>
            <w:r>
              <w:rPr>
                <w:rFonts w:hint="default" w:ascii="Times New Roman" w:hAnsi="Times New Roman" w:cs="Times New Roman"/>
                <w:color w:val="auto"/>
                <w:sz w:val="24"/>
                <w:szCs w:val="24"/>
              </w:rPr>
              <w:t>秒</w:t>
            </w:r>
          </w:p>
          <w:p w14:paraId="109A4990">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护岸与护坡</w:t>
            </w:r>
            <w:r>
              <w:rPr>
                <w:rFonts w:hint="default" w:ascii="Times New Roman" w:hAnsi="Times New Roman" w:cs="Times New Roman"/>
                <w:color w:val="auto"/>
                <w:sz w:val="24"/>
                <w:szCs w:val="24"/>
                <w:lang w:val="en-US" w:eastAsia="zh-CN"/>
              </w:rPr>
              <w:t>终点：</w:t>
            </w:r>
            <w:r>
              <w:rPr>
                <w:rFonts w:hint="default" w:ascii="Times New Roman" w:hAnsi="Times New Roman" w:cs="Times New Roman"/>
                <w:color w:val="auto"/>
                <w:sz w:val="24"/>
                <w:szCs w:val="24"/>
                <w:u w:val="single"/>
              </w:rPr>
              <w:t>10</w:t>
            </w:r>
            <w:r>
              <w:rPr>
                <w:rFonts w:hint="eastAsia" w:cs="Times New Roman"/>
                <w:color w:val="auto"/>
                <w:sz w:val="24"/>
                <w:szCs w:val="24"/>
                <w:u w:val="single"/>
                <w:lang w:val="en-US" w:eastAsia="zh-CN"/>
              </w:rPr>
              <w:t>6</w:t>
            </w:r>
            <w:r>
              <w:rPr>
                <w:rFonts w:hint="default" w:ascii="Times New Roman" w:hAnsi="Times New Roman" w:cs="Times New Roman"/>
                <w:color w:val="auto"/>
                <w:sz w:val="24"/>
                <w:szCs w:val="24"/>
              </w:rPr>
              <w:t>度</w:t>
            </w:r>
            <w:r>
              <w:rPr>
                <w:rFonts w:hint="eastAsia" w:cs="Times New Roman"/>
                <w:color w:val="auto"/>
                <w:sz w:val="24"/>
                <w:szCs w:val="24"/>
                <w:u w:val="single"/>
                <w:lang w:val="en-US" w:eastAsia="zh-CN"/>
              </w:rPr>
              <w:t>54</w:t>
            </w:r>
            <w:r>
              <w:rPr>
                <w:rFonts w:hint="default" w:ascii="Times New Roman" w:hAnsi="Times New Roman" w:cs="Times New Roman"/>
                <w:color w:val="auto"/>
                <w:sz w:val="24"/>
                <w:szCs w:val="24"/>
              </w:rPr>
              <w:t>分</w:t>
            </w:r>
            <w:r>
              <w:rPr>
                <w:rFonts w:hint="eastAsia" w:cs="Times New Roman"/>
                <w:color w:val="auto"/>
                <w:sz w:val="24"/>
                <w:szCs w:val="24"/>
                <w:u w:val="single"/>
                <w:lang w:val="en-US" w:eastAsia="zh-CN"/>
              </w:rPr>
              <w:t>51.265</w:t>
            </w:r>
            <w:r>
              <w:rPr>
                <w:rFonts w:hint="default" w:ascii="Times New Roman" w:hAnsi="Times New Roman" w:cs="Times New Roman"/>
                <w:color w:val="auto"/>
                <w:sz w:val="24"/>
                <w:szCs w:val="24"/>
              </w:rPr>
              <w:t>秒，</w:t>
            </w:r>
            <w:r>
              <w:rPr>
                <w:rFonts w:hint="default" w:ascii="Times New Roman" w:hAnsi="Times New Roman" w:cs="Times New Roman"/>
                <w:color w:val="auto"/>
                <w:sz w:val="24"/>
                <w:szCs w:val="24"/>
                <w:u w:val="single"/>
              </w:rPr>
              <w:t>3</w:t>
            </w:r>
            <w:r>
              <w:rPr>
                <w:rFonts w:hint="eastAsia" w:cs="Times New Roman"/>
                <w:color w:val="auto"/>
                <w:sz w:val="24"/>
                <w:szCs w:val="24"/>
                <w:u w:val="single"/>
                <w:lang w:val="en-US" w:eastAsia="zh-CN"/>
              </w:rPr>
              <w:t>4</w:t>
            </w:r>
            <w:r>
              <w:rPr>
                <w:rFonts w:hint="default" w:ascii="Times New Roman" w:hAnsi="Times New Roman" w:cs="Times New Roman"/>
                <w:color w:val="auto"/>
                <w:sz w:val="24"/>
                <w:szCs w:val="24"/>
              </w:rPr>
              <w:t>度</w:t>
            </w:r>
            <w:r>
              <w:rPr>
                <w:rFonts w:hint="eastAsia" w:cs="Times New Roman"/>
                <w:color w:val="auto"/>
                <w:sz w:val="24"/>
                <w:szCs w:val="24"/>
                <w:u w:val="single"/>
                <w:lang w:val="en-US" w:eastAsia="zh-CN"/>
              </w:rPr>
              <w:t>51</w:t>
            </w:r>
            <w:r>
              <w:rPr>
                <w:rFonts w:hint="default" w:ascii="Times New Roman" w:hAnsi="Times New Roman" w:cs="Times New Roman"/>
                <w:color w:val="auto"/>
                <w:sz w:val="24"/>
                <w:szCs w:val="24"/>
              </w:rPr>
              <w:t>分</w:t>
            </w:r>
            <w:r>
              <w:rPr>
                <w:rFonts w:hint="eastAsia" w:cs="Times New Roman"/>
                <w:color w:val="auto"/>
                <w:sz w:val="24"/>
                <w:szCs w:val="24"/>
                <w:u w:val="single"/>
                <w:lang w:val="en-US" w:eastAsia="zh-CN"/>
              </w:rPr>
              <w:t>7.880</w:t>
            </w:r>
            <w:r>
              <w:rPr>
                <w:rFonts w:hint="default" w:ascii="Times New Roman" w:hAnsi="Times New Roman" w:cs="Times New Roman"/>
                <w:color w:val="auto"/>
                <w:sz w:val="24"/>
                <w:szCs w:val="24"/>
              </w:rPr>
              <w:t>秒</w:t>
            </w:r>
            <w:r>
              <w:rPr>
                <w:rFonts w:hint="eastAsia" w:cs="Times New Roman"/>
                <w:color w:val="auto"/>
                <w:sz w:val="24"/>
                <w:szCs w:val="24"/>
                <w:lang w:val="en-US" w:eastAsia="zh-CN"/>
              </w:rPr>
              <w:t>；</w:t>
            </w:r>
          </w:p>
        </w:tc>
      </w:tr>
      <w:tr w14:paraId="22175A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937" w:hRule="atLeast"/>
          <w:jc w:val="center"/>
        </w:trPr>
        <w:tc>
          <w:tcPr>
            <w:tcW w:w="1968" w:type="dxa"/>
            <w:noWrap w:val="0"/>
            <w:tcMar>
              <w:top w:w="16" w:type="dxa"/>
              <w:left w:w="16" w:type="dxa"/>
              <w:right w:w="16" w:type="dxa"/>
            </w:tcMar>
            <w:vAlign w:val="center"/>
          </w:tcPr>
          <w:p w14:paraId="5C5B474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4"/>
                <w:szCs w:val="24"/>
              </w:rPr>
            </w:pPr>
            <w:bookmarkStart w:id="1" w:name="_Hlk49843745"/>
            <w:r>
              <w:rPr>
                <w:rFonts w:hint="default" w:ascii="Times New Roman" w:hAnsi="Times New Roman" w:cs="Times New Roman"/>
                <w:color w:val="auto"/>
                <w:sz w:val="24"/>
                <w:szCs w:val="24"/>
              </w:rPr>
              <w:t>建设项目</w:t>
            </w:r>
          </w:p>
          <w:p w14:paraId="119AC1A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行业类别</w:t>
            </w:r>
            <w:bookmarkEnd w:id="1"/>
          </w:p>
        </w:tc>
        <w:tc>
          <w:tcPr>
            <w:tcW w:w="2422" w:type="dxa"/>
            <w:noWrap w:val="0"/>
            <w:vAlign w:val="center"/>
          </w:tcPr>
          <w:p w14:paraId="6B94EFAF">
            <w:pPr>
              <w:pStyle w:val="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五十、社会事业与服务业-144、公园（含动物园、主题公园；不含城市公园、植物园、村庄公园）；人工湖、人工湿地</w:t>
            </w:r>
          </w:p>
          <w:p w14:paraId="6B406F23">
            <w:pPr>
              <w:pStyle w:val="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olor w:val="auto"/>
                <w:lang w:val="en-US" w:eastAsia="zh-CN"/>
              </w:rPr>
            </w:pPr>
            <w:r>
              <w:rPr>
                <w:rFonts w:hint="eastAsia" w:ascii="Times New Roman" w:hAnsi="Times New Roman" w:eastAsia="宋体" w:cs="Times New Roman"/>
                <w:color w:val="auto"/>
                <w:kern w:val="2"/>
                <w:sz w:val="24"/>
                <w:szCs w:val="24"/>
                <w:lang w:val="en-US" w:eastAsia="zh-CN" w:bidi="ar-SA"/>
              </w:rPr>
              <w:t>五十一、水利—127防洪</w:t>
            </w:r>
            <w:r>
              <w:rPr>
                <w:rFonts w:hint="eastAsia" w:cs="Times New Roman"/>
                <w:color w:val="auto"/>
                <w:kern w:val="2"/>
                <w:sz w:val="24"/>
                <w:szCs w:val="24"/>
                <w:lang w:val="en-US" w:eastAsia="zh-CN" w:bidi="ar-SA"/>
              </w:rPr>
              <w:t>除涝</w:t>
            </w:r>
            <w:r>
              <w:rPr>
                <w:rFonts w:hint="eastAsia" w:ascii="Times New Roman" w:hAnsi="Times New Roman" w:eastAsia="宋体" w:cs="Times New Roman"/>
                <w:color w:val="auto"/>
                <w:kern w:val="2"/>
                <w:sz w:val="24"/>
                <w:szCs w:val="24"/>
                <w:lang w:val="en-US" w:eastAsia="zh-CN" w:bidi="ar-SA"/>
              </w:rPr>
              <w:t>工程—其他（小型沟渠的护坡除外；城镇排涝河流水闸、排涝泵站除外）</w:t>
            </w:r>
          </w:p>
        </w:tc>
        <w:tc>
          <w:tcPr>
            <w:tcW w:w="1718" w:type="dxa"/>
            <w:noWrap w:val="0"/>
            <w:vAlign w:val="center"/>
          </w:tcPr>
          <w:p w14:paraId="483A277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4"/>
                <w:szCs w:val="24"/>
              </w:rPr>
            </w:pPr>
            <w:r>
              <w:rPr>
                <w:rFonts w:hint="eastAsia" w:ascii="Times New Roman" w:hAnsi="Times New Roman" w:eastAsia="宋体" w:cs="Times New Roman"/>
                <w:color w:val="auto"/>
                <w:sz w:val="24"/>
                <w:szCs w:val="24"/>
                <w:lang w:val="en-US" w:eastAsia="zh-CN"/>
              </w:rPr>
              <w:t>用地（用海）面积（m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）/长度（km）</w:t>
            </w:r>
          </w:p>
        </w:tc>
        <w:tc>
          <w:tcPr>
            <w:tcW w:w="2865" w:type="dxa"/>
            <w:noWrap w:val="0"/>
            <w:vAlign w:val="center"/>
          </w:tcPr>
          <w:p w14:paraId="724D14C7">
            <w:pPr>
              <w:numPr>
                <w:ilvl w:val="0"/>
                <w:numId w:val="0"/>
              </w:num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人工湿地面积</w:t>
            </w:r>
            <w:r>
              <w:rPr>
                <w:rFonts w:hint="eastAsia" w:cs="Times New Roman"/>
                <w:color w:val="auto"/>
                <w:sz w:val="24"/>
                <w:szCs w:val="24"/>
                <w:vertAlign w:val="baseline"/>
                <w:lang w:val="en-US" w:eastAsia="zh-CN"/>
              </w:rPr>
              <w:t>14083</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2</w:t>
            </w:r>
            <w:r>
              <w:rPr>
                <w:rFonts w:hint="eastAsia" w:cs="Times New Roman"/>
                <w:color w:val="auto"/>
                <w:sz w:val="24"/>
                <w:szCs w:val="24"/>
                <w:vertAlign w:val="baseline"/>
                <w:lang w:val="en-US" w:eastAsia="zh-CN"/>
              </w:rPr>
              <w:t>，</w:t>
            </w:r>
          </w:p>
          <w:p w14:paraId="4EB10888">
            <w:pPr>
              <w:numPr>
                <w:ilvl w:val="0"/>
                <w:numId w:val="0"/>
              </w:numPr>
              <w:adjustRightInd w:val="0"/>
              <w:snapToGrid w:val="0"/>
              <w:jc w:val="center"/>
              <w:rPr>
                <w:rFonts w:hint="default" w:ascii="Times New Roman" w:hAnsi="Times New Roman" w:eastAsia="宋体" w:cs="Times New Roman"/>
                <w:color w:val="auto"/>
                <w:sz w:val="24"/>
                <w:szCs w:val="24"/>
                <w:vertAlign w:val="baseline"/>
                <w:lang w:val="en-US" w:eastAsia="zh-CN"/>
              </w:rPr>
            </w:pPr>
            <w:r>
              <w:rPr>
                <w:rFonts w:hint="eastAsia" w:cs="Times New Roman"/>
                <w:color w:val="auto"/>
                <w:sz w:val="24"/>
                <w:szCs w:val="24"/>
                <w:vertAlign w:val="baseline"/>
                <w:lang w:val="en-US" w:eastAsia="zh-CN"/>
              </w:rPr>
              <w:t>护岸</w:t>
            </w:r>
            <w:r>
              <w:rPr>
                <w:rFonts w:hint="eastAsia" w:cs="Times New Roman"/>
                <w:color w:val="auto"/>
                <w:sz w:val="24"/>
                <w:szCs w:val="24"/>
                <w:lang w:val="en-US" w:eastAsia="zh-CN"/>
              </w:rPr>
              <w:t>与护坡</w:t>
            </w:r>
            <w:r>
              <w:rPr>
                <w:rFonts w:hint="eastAsia" w:ascii="Times New Roman" w:hAnsi="Times New Roman" w:eastAsia="宋体" w:cs="Times New Roman"/>
                <w:color w:val="auto"/>
                <w:sz w:val="24"/>
                <w:szCs w:val="24"/>
                <w:vertAlign w:val="baseline"/>
                <w:lang w:val="en-US" w:eastAsia="zh-CN"/>
              </w:rPr>
              <w:t>长度</w:t>
            </w:r>
            <w:r>
              <w:rPr>
                <w:rFonts w:hint="eastAsia" w:cs="Times New Roman"/>
                <w:color w:val="auto"/>
                <w:sz w:val="24"/>
                <w:szCs w:val="24"/>
                <w:vertAlign w:val="baseline"/>
                <w:lang w:val="en-US" w:eastAsia="zh-CN"/>
              </w:rPr>
              <w:t>473</w:t>
            </w:r>
            <w:r>
              <w:rPr>
                <w:rFonts w:hint="eastAsia" w:ascii="Times New Roman" w:hAnsi="Times New Roman" w:eastAsia="宋体" w:cs="Times New Roman"/>
                <w:color w:val="auto"/>
                <w:sz w:val="24"/>
                <w:szCs w:val="24"/>
                <w:vertAlign w:val="baseline"/>
                <w:lang w:val="en-US" w:eastAsia="zh-CN"/>
              </w:rPr>
              <w:t>m</w:t>
            </w:r>
            <w:r>
              <w:rPr>
                <w:rFonts w:hint="eastAsia" w:cs="Times New Roman"/>
                <w:color w:val="auto"/>
                <w:sz w:val="24"/>
                <w:szCs w:val="24"/>
                <w:vertAlign w:val="baseline"/>
                <w:lang w:val="en-US" w:eastAsia="zh-CN"/>
              </w:rPr>
              <w:t>。</w:t>
            </w:r>
          </w:p>
        </w:tc>
      </w:tr>
      <w:tr w14:paraId="1071F3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38" w:hRule="atLeast"/>
          <w:jc w:val="center"/>
        </w:trPr>
        <w:tc>
          <w:tcPr>
            <w:tcW w:w="1968" w:type="dxa"/>
            <w:noWrap w:val="0"/>
            <w:tcMar>
              <w:top w:w="16" w:type="dxa"/>
              <w:left w:w="16" w:type="dxa"/>
              <w:right w:w="16" w:type="dxa"/>
            </w:tcMar>
            <w:vAlign w:val="center"/>
          </w:tcPr>
          <w:p w14:paraId="09C5DD63">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建设性质</w:t>
            </w:r>
          </w:p>
        </w:tc>
        <w:tc>
          <w:tcPr>
            <w:tcW w:w="2422" w:type="dxa"/>
            <w:noWrap w:val="0"/>
            <w:vAlign w:val="center"/>
          </w:tcPr>
          <w:p w14:paraId="09DC0AFE">
            <w:pPr>
              <w:jc w:val="left"/>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新建（迁建）</w:t>
            </w:r>
          </w:p>
          <w:p w14:paraId="4DDBD892">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□改建</w:t>
            </w:r>
          </w:p>
          <w:p w14:paraId="247B4CF6">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□扩建</w:t>
            </w:r>
          </w:p>
          <w:p w14:paraId="622D8FE5">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□技术改造</w:t>
            </w:r>
          </w:p>
        </w:tc>
        <w:tc>
          <w:tcPr>
            <w:tcW w:w="1718" w:type="dxa"/>
            <w:noWrap w:val="0"/>
            <w:vAlign w:val="center"/>
          </w:tcPr>
          <w:p w14:paraId="3DBF9BA2">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w:t>
            </w:r>
          </w:p>
          <w:p w14:paraId="72E432A5">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申报情形</w:t>
            </w:r>
          </w:p>
        </w:tc>
        <w:tc>
          <w:tcPr>
            <w:tcW w:w="2865" w:type="dxa"/>
            <w:noWrap w:val="0"/>
            <w:vAlign w:val="center"/>
          </w:tcPr>
          <w:p w14:paraId="3FBF3D3D">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 xml:space="preserve">首次申报项目             </w:t>
            </w:r>
          </w:p>
          <w:p w14:paraId="7B174D3B">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□不予批准后再次申报项目</w:t>
            </w:r>
          </w:p>
          <w:p w14:paraId="0FEDC52F">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□超五年重新审核项目     </w:t>
            </w:r>
          </w:p>
          <w:p w14:paraId="32709EA8">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□重大变动重新报批项目</w:t>
            </w:r>
          </w:p>
        </w:tc>
      </w:tr>
      <w:tr w14:paraId="0E515B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99" w:hRule="atLeast"/>
          <w:jc w:val="center"/>
        </w:trPr>
        <w:tc>
          <w:tcPr>
            <w:tcW w:w="1968" w:type="dxa"/>
            <w:noWrap w:val="0"/>
            <w:tcMar>
              <w:top w:w="16" w:type="dxa"/>
              <w:left w:w="16" w:type="dxa"/>
              <w:right w:w="16" w:type="dxa"/>
            </w:tcMar>
            <w:vAlign w:val="center"/>
          </w:tcPr>
          <w:p w14:paraId="79DC168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项目审批（核准/</w:t>
            </w:r>
          </w:p>
          <w:p w14:paraId="1F6B545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备案）部门（选填）</w:t>
            </w:r>
          </w:p>
        </w:tc>
        <w:tc>
          <w:tcPr>
            <w:tcW w:w="2422" w:type="dxa"/>
            <w:noWrap w:val="0"/>
            <w:vAlign w:val="center"/>
          </w:tcPr>
          <w:p w14:paraId="5D085BB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陇县发展和改革局</w:t>
            </w:r>
          </w:p>
        </w:tc>
        <w:tc>
          <w:tcPr>
            <w:tcW w:w="1718" w:type="dxa"/>
            <w:noWrap w:val="0"/>
            <w:vAlign w:val="center"/>
          </w:tcPr>
          <w:p w14:paraId="7CCDA6CF">
            <w:pPr>
              <w:adjustRightInd w:val="0"/>
              <w:snapToGrid w:val="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项目审批（核准/</w:t>
            </w:r>
          </w:p>
          <w:p w14:paraId="48573E5C">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备案）文号</w:t>
            </w:r>
          </w:p>
          <w:p w14:paraId="06240C17">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（选填）</w:t>
            </w:r>
          </w:p>
        </w:tc>
        <w:tc>
          <w:tcPr>
            <w:tcW w:w="2865" w:type="dxa"/>
            <w:noWrap w:val="0"/>
            <w:vAlign w:val="center"/>
          </w:tcPr>
          <w:p w14:paraId="172A55B5">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陇发改</w:t>
            </w:r>
            <w:r>
              <w:rPr>
                <w:rFonts w:hint="default" w:ascii="Times New Roman" w:hAnsi="Times New Roman" w:cs="Times New Roman"/>
                <w:color w:val="auto"/>
                <w:sz w:val="24"/>
                <w:szCs w:val="24"/>
                <w:lang w:val="en-US" w:eastAsia="zh-CN"/>
              </w:rPr>
              <w:t>发</w:t>
            </w:r>
            <w:r>
              <w:rPr>
                <w:rFonts w:hint="default" w:ascii="Times New Roman" w:hAnsi="Times New Roman" w:eastAsia="宋体" w:cs="Times New Roman"/>
                <w:color w:val="auto"/>
                <w:sz w:val="24"/>
                <w:szCs w:val="24"/>
                <w:lang w:val="en-US" w:eastAsia="zh-CN"/>
              </w:rPr>
              <w:t>〔202</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762</w:t>
            </w:r>
            <w:r>
              <w:rPr>
                <w:rFonts w:hint="default" w:ascii="Times New Roman" w:hAnsi="Times New Roman" w:eastAsia="宋体" w:cs="Times New Roman"/>
                <w:color w:val="auto"/>
                <w:sz w:val="24"/>
                <w:szCs w:val="24"/>
                <w:lang w:val="en-US" w:eastAsia="zh-CN"/>
              </w:rPr>
              <w:t>号</w:t>
            </w:r>
          </w:p>
        </w:tc>
      </w:tr>
      <w:tr w14:paraId="0643C9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0" w:hRule="atLeast"/>
          <w:jc w:val="center"/>
        </w:trPr>
        <w:tc>
          <w:tcPr>
            <w:tcW w:w="1968" w:type="dxa"/>
            <w:noWrap w:val="0"/>
            <w:tcMar>
              <w:top w:w="16" w:type="dxa"/>
              <w:left w:w="16" w:type="dxa"/>
              <w:right w:w="16" w:type="dxa"/>
            </w:tcMar>
            <w:vAlign w:val="center"/>
          </w:tcPr>
          <w:p w14:paraId="259BE7F7">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总投资（万元）</w:t>
            </w:r>
          </w:p>
        </w:tc>
        <w:tc>
          <w:tcPr>
            <w:tcW w:w="2422" w:type="dxa"/>
            <w:noWrap w:val="0"/>
            <w:vAlign w:val="center"/>
          </w:tcPr>
          <w:p w14:paraId="7D174463">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3652</w:t>
            </w:r>
          </w:p>
        </w:tc>
        <w:tc>
          <w:tcPr>
            <w:tcW w:w="1718" w:type="dxa"/>
            <w:noWrap w:val="0"/>
            <w:tcMar>
              <w:top w:w="16" w:type="dxa"/>
              <w:left w:w="16" w:type="dxa"/>
              <w:right w:w="16" w:type="dxa"/>
            </w:tcMar>
            <w:vAlign w:val="center"/>
          </w:tcPr>
          <w:p w14:paraId="09D7DCF5">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环保投资（万元）</w:t>
            </w:r>
          </w:p>
        </w:tc>
        <w:tc>
          <w:tcPr>
            <w:tcW w:w="2865" w:type="dxa"/>
            <w:noWrap w:val="0"/>
            <w:vAlign w:val="center"/>
          </w:tcPr>
          <w:p w14:paraId="25DA96AE">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36.5</w:t>
            </w:r>
          </w:p>
        </w:tc>
      </w:tr>
      <w:tr w14:paraId="07E00F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8" w:hRule="atLeast"/>
          <w:jc w:val="center"/>
        </w:trPr>
        <w:tc>
          <w:tcPr>
            <w:tcW w:w="1968" w:type="dxa"/>
            <w:noWrap w:val="0"/>
            <w:tcMar>
              <w:top w:w="16" w:type="dxa"/>
              <w:left w:w="16" w:type="dxa"/>
              <w:right w:w="16" w:type="dxa"/>
            </w:tcMar>
            <w:vAlign w:val="center"/>
          </w:tcPr>
          <w:p w14:paraId="53A77723">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环保投资占比（%）</w:t>
            </w:r>
          </w:p>
        </w:tc>
        <w:tc>
          <w:tcPr>
            <w:tcW w:w="2422" w:type="dxa"/>
            <w:noWrap w:val="0"/>
            <w:vAlign w:val="center"/>
          </w:tcPr>
          <w:p w14:paraId="4564454D">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1.0</w:t>
            </w:r>
          </w:p>
        </w:tc>
        <w:tc>
          <w:tcPr>
            <w:tcW w:w="1718" w:type="dxa"/>
            <w:noWrap w:val="0"/>
            <w:tcMar>
              <w:top w:w="16" w:type="dxa"/>
              <w:left w:w="16" w:type="dxa"/>
              <w:right w:w="16" w:type="dxa"/>
            </w:tcMar>
            <w:vAlign w:val="center"/>
          </w:tcPr>
          <w:p w14:paraId="2E0D9824">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施工工期</w:t>
            </w:r>
          </w:p>
        </w:tc>
        <w:tc>
          <w:tcPr>
            <w:tcW w:w="2865" w:type="dxa"/>
            <w:noWrap w:val="0"/>
            <w:vAlign w:val="center"/>
          </w:tcPr>
          <w:p w14:paraId="5B10EF08">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10</w:t>
            </w:r>
            <w:r>
              <w:rPr>
                <w:rFonts w:hint="eastAsia" w:ascii="Times New Roman" w:hAnsi="Times New Roman" w:eastAsia="宋体" w:cs="Times New Roman"/>
                <w:color w:val="auto"/>
                <w:sz w:val="24"/>
                <w:szCs w:val="24"/>
                <w:lang w:val="en-US" w:eastAsia="zh-CN"/>
              </w:rPr>
              <w:t>个月</w:t>
            </w:r>
          </w:p>
        </w:tc>
      </w:tr>
      <w:tr w14:paraId="0F2E5D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63" w:hRule="atLeast"/>
          <w:jc w:val="center"/>
        </w:trPr>
        <w:tc>
          <w:tcPr>
            <w:tcW w:w="1968" w:type="dxa"/>
            <w:noWrap w:val="0"/>
            <w:tcMar>
              <w:top w:w="16" w:type="dxa"/>
              <w:left w:w="16" w:type="dxa"/>
              <w:right w:w="16" w:type="dxa"/>
            </w:tcMar>
            <w:vAlign w:val="center"/>
          </w:tcPr>
          <w:p w14:paraId="49C5E579">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是否开工建设</w:t>
            </w:r>
          </w:p>
        </w:tc>
        <w:tc>
          <w:tcPr>
            <w:tcW w:w="7005" w:type="dxa"/>
            <w:gridSpan w:val="3"/>
            <w:noWrap w:val="0"/>
            <w:vAlign w:val="center"/>
          </w:tcPr>
          <w:p w14:paraId="50144DFD">
            <w:pPr>
              <w:adjustRightInd w:val="0"/>
              <w:snapToGrid w:val="0"/>
              <w:rPr>
                <w:rFonts w:hint="default" w:ascii="Times New Roman" w:hAnsi="Times New Roman" w:cs="Times New Roman"/>
                <w:color w:val="auto"/>
                <w:sz w:val="24"/>
                <w:szCs w:val="24"/>
              </w:rPr>
            </w:pPr>
            <w:r>
              <w:rPr>
                <w:rFonts w:hint="eastAsia" w:cs="Times New Roman"/>
                <w:color w:val="auto"/>
                <w:sz w:val="24"/>
                <w:szCs w:val="24"/>
                <w:lang w:eastAsia="zh-CN"/>
              </w:rPr>
              <w:t>☑</w:t>
            </w:r>
            <w:r>
              <w:rPr>
                <w:rFonts w:hint="default" w:ascii="Times New Roman" w:hAnsi="Times New Roman" w:cs="Times New Roman"/>
                <w:color w:val="auto"/>
                <w:sz w:val="24"/>
                <w:szCs w:val="24"/>
              </w:rPr>
              <w:t>否</w:t>
            </w:r>
          </w:p>
          <w:p w14:paraId="77C5FAA2">
            <w:pPr>
              <w:adjustRightInd w:val="0"/>
              <w:snapToGrid w:val="0"/>
              <w:jc w:val="both"/>
              <w:rPr>
                <w:rFonts w:hint="default" w:ascii="Times New Roman" w:hAnsi="Times New Roman" w:eastAsia="宋体" w:cs="Times New Roman"/>
                <w:color w:val="auto"/>
                <w:sz w:val="24"/>
                <w:szCs w:val="24"/>
                <w:u w:val="single"/>
                <w:lang w:val="en-US" w:eastAsia="zh-CN"/>
              </w:rPr>
            </w:pPr>
            <w:r>
              <w:rPr>
                <w:rFonts w:hint="eastAsia" w:cs="Times New Roman"/>
                <w:color w:val="auto"/>
                <w:sz w:val="24"/>
                <w:szCs w:val="24"/>
                <w:lang w:eastAsia="zh-CN"/>
              </w:rPr>
              <w:t>□</w:t>
            </w:r>
            <w:r>
              <w:rPr>
                <w:rFonts w:hint="default" w:ascii="Times New Roman" w:hAnsi="Times New Roman" w:cs="Times New Roman"/>
                <w:color w:val="auto"/>
                <w:sz w:val="24"/>
                <w:szCs w:val="24"/>
              </w:rPr>
              <w:t>是</w:t>
            </w:r>
            <w:r>
              <w:rPr>
                <w:rFonts w:hint="eastAsia" w:cs="Times New Roman"/>
                <w:color w:val="auto"/>
                <w:sz w:val="24"/>
                <w:szCs w:val="24"/>
                <w:u w:val="single"/>
                <w:lang w:val="en-US" w:eastAsia="zh-CN"/>
              </w:rPr>
              <w:t xml:space="preserve">      </w:t>
            </w:r>
          </w:p>
        </w:tc>
      </w:tr>
      <w:tr w14:paraId="569815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68" w:type="dxa"/>
            <w:noWrap w:val="0"/>
            <w:vAlign w:val="center"/>
          </w:tcPr>
          <w:p w14:paraId="2680DAC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专项评价设置情况</w:t>
            </w:r>
          </w:p>
        </w:tc>
        <w:tc>
          <w:tcPr>
            <w:tcW w:w="7005" w:type="dxa"/>
            <w:gridSpan w:val="3"/>
            <w:noWrap w:val="0"/>
            <w:vAlign w:val="center"/>
          </w:tcPr>
          <w:p w14:paraId="6C097D44">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对照《建设项目环境影响报告表编制技术指南（生态影响类）（试行）》中专项评价设置原则表，本</w:t>
            </w:r>
            <w:r>
              <w:rPr>
                <w:rFonts w:hint="eastAsia" w:cs="Times New Roman"/>
                <w:color w:val="auto"/>
                <w:kern w:val="0"/>
                <w:sz w:val="24"/>
                <w:szCs w:val="24"/>
                <w:lang w:val="en-US" w:eastAsia="zh-CN"/>
              </w:rPr>
              <w:t>工程</w:t>
            </w:r>
            <w:r>
              <w:rPr>
                <w:rFonts w:hint="eastAsia" w:ascii="Times New Roman" w:hAnsi="Times New Roman" w:eastAsia="宋体" w:cs="Times New Roman"/>
                <w:color w:val="auto"/>
                <w:kern w:val="0"/>
                <w:sz w:val="24"/>
                <w:szCs w:val="24"/>
                <w:lang w:val="en-US" w:eastAsia="zh-CN"/>
              </w:rPr>
              <w:t>不设置专项评价，具体比对情况见表1-1。</w:t>
            </w:r>
          </w:p>
          <w:p w14:paraId="0ED71112">
            <w:pPr>
              <w:pStyle w:val="24"/>
              <w:spacing w:line="240" w:lineRule="auto"/>
              <w:jc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表1</w:t>
            </w:r>
            <w:r>
              <w:rPr>
                <w:rFonts w:hint="eastAsia" w:ascii="Times New Roman" w:hAnsi="Times New Roman" w:eastAsia="宋体" w:cs="Times New Roman"/>
                <w:b/>
                <w:bCs/>
                <w:color w:val="auto"/>
                <w:kern w:val="0"/>
                <w:sz w:val="21"/>
                <w:szCs w:val="21"/>
                <w:lang w:val="en-US" w:eastAsia="zh-CN"/>
              </w:rPr>
              <w:t>-1</w:t>
            </w:r>
            <w:r>
              <w:rPr>
                <w:rFonts w:hint="default" w:ascii="Times New Roman" w:hAnsi="Times New Roman" w:eastAsia="宋体" w:cs="Times New Roman"/>
                <w:b/>
                <w:bCs/>
                <w:color w:val="auto"/>
                <w:kern w:val="0"/>
                <w:sz w:val="21"/>
                <w:szCs w:val="21"/>
                <w:lang w:val="en-US" w:eastAsia="zh-CN"/>
              </w:rPr>
              <w:t xml:space="preserve">  专</w:t>
            </w:r>
            <w:r>
              <w:rPr>
                <w:rFonts w:hint="eastAsia" w:ascii="Times New Roman" w:hAnsi="Times New Roman" w:eastAsia="宋体" w:cs="Times New Roman"/>
                <w:b/>
                <w:bCs/>
                <w:color w:val="auto"/>
                <w:kern w:val="0"/>
                <w:sz w:val="21"/>
                <w:szCs w:val="21"/>
                <w:lang w:val="en-US" w:eastAsia="zh-CN"/>
              </w:rPr>
              <w:t>项评价设置比对表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3724"/>
              <w:gridCol w:w="2183"/>
            </w:tblGrid>
            <w:tr w14:paraId="0281B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3" w:type="pct"/>
                  <w:noWrap w:val="0"/>
                  <w:vAlign w:val="center"/>
                </w:tcPr>
                <w:p w14:paraId="71ADEE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专项评价类别</w:t>
                  </w:r>
                </w:p>
              </w:tc>
              <w:tc>
                <w:tcPr>
                  <w:tcW w:w="2746" w:type="pct"/>
                  <w:noWrap w:val="0"/>
                  <w:vAlign w:val="center"/>
                </w:tcPr>
                <w:p w14:paraId="19E187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cs="Times New Roman"/>
                      <w:b/>
                      <w:bCs/>
                      <w:color w:val="auto"/>
                      <w:sz w:val="21"/>
                      <w:szCs w:val="21"/>
                      <w:lang w:eastAsia="zh-CN"/>
                    </w:rPr>
                    <w:t>涉及项目类别</w:t>
                  </w:r>
                </w:p>
              </w:tc>
              <w:tc>
                <w:tcPr>
                  <w:tcW w:w="1610" w:type="pct"/>
                  <w:noWrap w:val="0"/>
                  <w:vAlign w:val="center"/>
                </w:tcPr>
                <w:p w14:paraId="48F8CB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eastAsia="zh-CN"/>
                    </w:rPr>
                  </w:pPr>
                  <w:r>
                    <w:rPr>
                      <w:rFonts w:hint="eastAsia" w:ascii="Times New Roman" w:hAnsi="Times New Roman" w:cs="Times New Roman"/>
                      <w:b/>
                      <w:bCs/>
                      <w:color w:val="auto"/>
                      <w:spacing w:val="-11"/>
                      <w:sz w:val="21"/>
                      <w:szCs w:val="21"/>
                      <w:lang w:val="en-US" w:eastAsia="zh-CN"/>
                    </w:rPr>
                    <w:t>本项目情况</w:t>
                  </w:r>
                </w:p>
              </w:tc>
            </w:tr>
            <w:tr w14:paraId="60477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3" w:type="pct"/>
                  <w:noWrap w:val="0"/>
                  <w:vAlign w:val="center"/>
                </w:tcPr>
                <w:p w14:paraId="03F508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地表水</w:t>
                  </w:r>
                </w:p>
              </w:tc>
              <w:tc>
                <w:tcPr>
                  <w:tcW w:w="2746" w:type="pct"/>
                  <w:noWrap w:val="0"/>
                  <w:vAlign w:val="center"/>
                </w:tcPr>
                <w:p w14:paraId="74469C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水力发电：引水式发电、涉及调峰发电的项目；人工湖、人工湿地：全部；水库：全部；</w:t>
                  </w:r>
                </w:p>
                <w:p w14:paraId="76FC82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引水工程：全部（配套的管线工程等除外）；防洪除涝工程：包含水库的项目；</w:t>
                  </w:r>
                </w:p>
                <w:p w14:paraId="2E237C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河湖整治：涉及清淤且底泥存在重金属污染的项目</w:t>
                  </w:r>
                </w:p>
              </w:tc>
              <w:tc>
                <w:tcPr>
                  <w:tcW w:w="1610" w:type="pct"/>
                  <w:noWrap w:val="0"/>
                  <w:vAlign w:val="center"/>
                </w:tcPr>
                <w:p w14:paraId="786091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w:t>
                  </w:r>
                  <w:r>
                    <w:rPr>
                      <w:rFonts w:hint="eastAsia" w:cs="Times New Roman"/>
                      <w:color w:val="auto"/>
                      <w:sz w:val="21"/>
                      <w:szCs w:val="21"/>
                      <w:lang w:val="en-US" w:eastAsia="zh-CN"/>
                    </w:rPr>
                    <w:t>工程护岸和护坡属于</w:t>
                  </w:r>
                  <w:r>
                    <w:rPr>
                      <w:rFonts w:hint="eastAsia" w:ascii="Times New Roman" w:hAnsi="Times New Roman" w:eastAsia="宋体" w:cs="Times New Roman"/>
                      <w:color w:val="auto"/>
                      <w:sz w:val="21"/>
                      <w:szCs w:val="21"/>
                      <w:lang w:val="en-US" w:eastAsia="zh-CN"/>
                    </w:rPr>
                    <w:t>防洪工程，工程内部不涉及水库，无须设置地表水专项评价</w:t>
                  </w:r>
                  <w:r>
                    <w:rPr>
                      <w:rFonts w:hint="eastAsia" w:cs="Times New Roman"/>
                      <w:color w:val="auto"/>
                      <w:sz w:val="21"/>
                      <w:szCs w:val="21"/>
                      <w:lang w:val="en-US" w:eastAsia="zh-CN"/>
                    </w:rPr>
                    <w:t>。人工湿地容积小于5万立方米且不涉及环境敏感区，不需开展环评。</w:t>
                  </w:r>
                </w:p>
              </w:tc>
            </w:tr>
            <w:tr w14:paraId="43AFA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3" w:type="pct"/>
                  <w:noWrap w:val="0"/>
                  <w:vAlign w:val="center"/>
                </w:tcPr>
                <w:p w14:paraId="09A7F6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地下水</w:t>
                  </w:r>
                </w:p>
              </w:tc>
              <w:tc>
                <w:tcPr>
                  <w:tcW w:w="2746" w:type="pct"/>
                  <w:noWrap w:val="0"/>
                  <w:vAlign w:val="center"/>
                </w:tcPr>
                <w:p w14:paraId="4E3C21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陆地石油和天然气开采：全部；</w:t>
                  </w:r>
                </w:p>
                <w:p w14:paraId="68F2CA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地下水（含矿泉水）开采：全部；</w:t>
                  </w:r>
                </w:p>
                <w:p w14:paraId="08AD4F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水利、水电、交通等：含穿越可溶岩地层隧道的项目</w:t>
                  </w:r>
                </w:p>
              </w:tc>
              <w:tc>
                <w:tcPr>
                  <w:tcW w:w="1610" w:type="pct"/>
                  <w:noWrap w:val="0"/>
                  <w:vAlign w:val="center"/>
                </w:tcPr>
                <w:p w14:paraId="298847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w:t>
                  </w:r>
                  <w:r>
                    <w:rPr>
                      <w:rFonts w:hint="eastAsia" w:cs="Times New Roman"/>
                      <w:color w:val="auto"/>
                      <w:sz w:val="21"/>
                      <w:szCs w:val="21"/>
                      <w:lang w:val="en-US" w:eastAsia="zh-CN"/>
                    </w:rPr>
                    <w:t>工程</w:t>
                  </w:r>
                  <w:r>
                    <w:rPr>
                      <w:rFonts w:hint="eastAsia" w:ascii="Times New Roman" w:hAnsi="Times New Roman" w:eastAsia="宋体" w:cs="Times New Roman"/>
                      <w:color w:val="auto"/>
                      <w:sz w:val="21"/>
                      <w:szCs w:val="21"/>
                      <w:lang w:val="en-US" w:eastAsia="zh-CN"/>
                    </w:rPr>
                    <w:t>不</w:t>
                  </w:r>
                  <w:r>
                    <w:rPr>
                      <w:rFonts w:hint="eastAsia" w:cs="Times New Roman"/>
                      <w:color w:val="auto"/>
                      <w:sz w:val="21"/>
                      <w:szCs w:val="21"/>
                      <w:lang w:val="en-US" w:eastAsia="zh-CN"/>
                    </w:rPr>
                    <w:t>属于</w:t>
                  </w:r>
                  <w:r>
                    <w:rPr>
                      <w:rFonts w:hint="eastAsia" w:ascii="Times New Roman" w:hAnsi="Times New Roman" w:eastAsia="宋体" w:cs="Times New Roman"/>
                      <w:color w:val="auto"/>
                      <w:sz w:val="21"/>
                      <w:szCs w:val="21"/>
                      <w:lang w:val="en-US" w:eastAsia="zh-CN"/>
                    </w:rPr>
                    <w:t>专项评价原则表所列行业，无须设置地下水专项评价</w:t>
                  </w:r>
                </w:p>
              </w:tc>
            </w:tr>
            <w:tr w14:paraId="71D7D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trPr>
              <w:tc>
                <w:tcPr>
                  <w:tcW w:w="643" w:type="pct"/>
                  <w:noWrap w:val="0"/>
                  <w:vAlign w:val="center"/>
                </w:tcPr>
                <w:p w14:paraId="67A6EE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生态</w:t>
                  </w:r>
                </w:p>
              </w:tc>
              <w:tc>
                <w:tcPr>
                  <w:tcW w:w="2746" w:type="pct"/>
                  <w:noWrap w:val="0"/>
                  <w:vAlign w:val="center"/>
                </w:tcPr>
                <w:p w14:paraId="427169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涉及环境敏感区（不包括饮用水水源保护区，以居住、医疗卫生、文化教育、科研、行政办公为主要功能的区域，以及文物保护单位）的项目</w:t>
                  </w:r>
                </w:p>
              </w:tc>
              <w:tc>
                <w:tcPr>
                  <w:tcW w:w="1610" w:type="pct"/>
                  <w:noWrap w:val="0"/>
                  <w:vAlign w:val="center"/>
                </w:tcPr>
                <w:p w14:paraId="584E93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cs="Times New Roman"/>
                      <w:color w:val="auto"/>
                      <w:kern w:val="0"/>
                      <w:sz w:val="21"/>
                      <w:szCs w:val="21"/>
                      <w:highlight w:val="none"/>
                      <w:lang w:val="en-US" w:eastAsia="zh-CN" w:bidi="ar"/>
                    </w:rPr>
                    <w:t>建设项目环境影响评价</w:t>
                  </w:r>
                  <w:r>
                    <w:rPr>
                      <w:rFonts w:hint="eastAsia" w:ascii="Times New Roman" w:hAnsi="Times New Roman" w:eastAsia="宋体" w:cs="Times New Roman"/>
                      <w:color w:val="auto"/>
                      <w:sz w:val="21"/>
                      <w:szCs w:val="21"/>
                      <w:highlight w:val="none"/>
                      <w:lang w:val="en-US" w:eastAsia="zh-CN"/>
                    </w:rPr>
                    <w:t>分类管理名录》中</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127防洪除涝工程</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无环境敏感区</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rPr>
                    <w:t>不设生态专项评价。</w:t>
                  </w:r>
                </w:p>
              </w:tc>
            </w:tr>
            <w:tr w14:paraId="5BEC2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trPr>
              <w:tc>
                <w:tcPr>
                  <w:tcW w:w="643" w:type="pct"/>
                  <w:noWrap w:val="0"/>
                  <w:vAlign w:val="center"/>
                </w:tcPr>
                <w:p w14:paraId="69CCD4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大气</w:t>
                  </w:r>
                </w:p>
              </w:tc>
              <w:tc>
                <w:tcPr>
                  <w:tcW w:w="2746" w:type="pct"/>
                  <w:noWrap w:val="0"/>
                  <w:vAlign w:val="center"/>
                </w:tcPr>
                <w:p w14:paraId="22E1BC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油气、液体化工码头：全部；</w:t>
                  </w:r>
                </w:p>
                <w:p w14:paraId="13BC01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干散货（含煤炭、矿石）、件杂、多用途、通用码头：涉及粉尘、挥发性有机物排放的项目</w:t>
                  </w:r>
                </w:p>
              </w:tc>
              <w:tc>
                <w:tcPr>
                  <w:tcW w:w="1610" w:type="pct"/>
                  <w:noWrap w:val="0"/>
                  <w:vAlign w:val="center"/>
                </w:tcPr>
                <w:p w14:paraId="6FCBCD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w:t>
                  </w:r>
                  <w:r>
                    <w:rPr>
                      <w:rFonts w:hint="eastAsia" w:cs="Times New Roman"/>
                      <w:color w:val="auto"/>
                      <w:sz w:val="21"/>
                      <w:szCs w:val="21"/>
                      <w:lang w:val="en-US" w:eastAsia="zh-CN"/>
                    </w:rPr>
                    <w:t>工程</w:t>
                  </w:r>
                  <w:r>
                    <w:rPr>
                      <w:rFonts w:hint="eastAsia" w:ascii="Times New Roman" w:hAnsi="Times New Roman" w:eastAsia="宋体" w:cs="Times New Roman"/>
                      <w:color w:val="auto"/>
                      <w:sz w:val="21"/>
                      <w:szCs w:val="21"/>
                      <w:lang w:val="en-US" w:eastAsia="zh-CN"/>
                    </w:rPr>
                    <w:t>不</w:t>
                  </w:r>
                  <w:r>
                    <w:rPr>
                      <w:rFonts w:hint="eastAsia" w:cs="Times New Roman"/>
                      <w:color w:val="auto"/>
                      <w:sz w:val="21"/>
                      <w:szCs w:val="21"/>
                      <w:lang w:val="en-US" w:eastAsia="zh-CN"/>
                    </w:rPr>
                    <w:t>属于</w:t>
                  </w:r>
                  <w:r>
                    <w:rPr>
                      <w:rFonts w:hint="eastAsia" w:ascii="Times New Roman" w:hAnsi="Times New Roman" w:eastAsia="宋体" w:cs="Times New Roman"/>
                      <w:color w:val="auto"/>
                      <w:sz w:val="21"/>
                      <w:szCs w:val="21"/>
                      <w:lang w:val="en-US" w:eastAsia="zh-CN"/>
                    </w:rPr>
                    <w:t>专项评价原则表所列行业，无须设置大气专项评价</w:t>
                  </w:r>
                </w:p>
              </w:tc>
            </w:tr>
            <w:tr w14:paraId="6EDC6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trPr>
              <w:tc>
                <w:tcPr>
                  <w:tcW w:w="643" w:type="pct"/>
                  <w:noWrap w:val="0"/>
                  <w:vAlign w:val="center"/>
                </w:tcPr>
                <w:p w14:paraId="6B4D61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噪声</w:t>
                  </w:r>
                </w:p>
              </w:tc>
              <w:tc>
                <w:tcPr>
                  <w:tcW w:w="2746" w:type="pct"/>
                  <w:noWrap w:val="0"/>
                  <w:vAlign w:val="center"/>
                </w:tcPr>
                <w:p w14:paraId="2D30BC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公路、铁路、机场等交通运输业涉及环境敏感区（以居住、医疗卫生、文化教育、科研、行政办公为主要功能的区域）的项目；城市道路（不含维护，不含支路、人行天桥、人行地道）：全部</w:t>
                  </w:r>
                </w:p>
              </w:tc>
              <w:tc>
                <w:tcPr>
                  <w:tcW w:w="1610" w:type="pct"/>
                  <w:noWrap w:val="0"/>
                  <w:vAlign w:val="center"/>
                </w:tcPr>
                <w:p w14:paraId="2C8BB3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w:t>
                  </w:r>
                  <w:r>
                    <w:rPr>
                      <w:rFonts w:hint="eastAsia" w:cs="Times New Roman"/>
                      <w:color w:val="auto"/>
                      <w:sz w:val="21"/>
                      <w:szCs w:val="21"/>
                      <w:lang w:val="en-US" w:eastAsia="zh-CN"/>
                    </w:rPr>
                    <w:t>工程</w:t>
                  </w:r>
                  <w:r>
                    <w:rPr>
                      <w:rFonts w:hint="eastAsia" w:ascii="Times New Roman" w:hAnsi="Times New Roman" w:eastAsia="宋体" w:cs="Times New Roman"/>
                      <w:color w:val="auto"/>
                      <w:sz w:val="21"/>
                      <w:szCs w:val="21"/>
                      <w:lang w:val="en-US" w:eastAsia="zh-CN"/>
                    </w:rPr>
                    <w:t>不</w:t>
                  </w:r>
                  <w:r>
                    <w:rPr>
                      <w:rFonts w:hint="eastAsia" w:cs="Times New Roman"/>
                      <w:color w:val="auto"/>
                      <w:sz w:val="21"/>
                      <w:szCs w:val="21"/>
                      <w:lang w:val="en-US" w:eastAsia="zh-CN"/>
                    </w:rPr>
                    <w:t>属于</w:t>
                  </w:r>
                  <w:r>
                    <w:rPr>
                      <w:rFonts w:hint="eastAsia" w:ascii="Times New Roman" w:hAnsi="Times New Roman" w:eastAsia="宋体" w:cs="Times New Roman"/>
                      <w:color w:val="auto"/>
                      <w:sz w:val="21"/>
                      <w:szCs w:val="21"/>
                      <w:lang w:val="en-US" w:eastAsia="zh-CN"/>
                    </w:rPr>
                    <w:t>专项评价原则表所列行业，无须设置噪声专项评价</w:t>
                  </w:r>
                </w:p>
              </w:tc>
            </w:tr>
            <w:tr w14:paraId="5FA49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trPr>
              <w:tc>
                <w:tcPr>
                  <w:tcW w:w="643" w:type="pct"/>
                  <w:noWrap w:val="0"/>
                  <w:vAlign w:val="center"/>
                </w:tcPr>
                <w:p w14:paraId="49C9BB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环境风险</w:t>
                  </w:r>
                </w:p>
              </w:tc>
              <w:tc>
                <w:tcPr>
                  <w:tcW w:w="2746" w:type="pct"/>
                  <w:noWrap w:val="0"/>
                  <w:vAlign w:val="center"/>
                </w:tcPr>
                <w:p w14:paraId="638555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石油和天然气开采：全部；</w:t>
                  </w:r>
                </w:p>
                <w:p w14:paraId="1DED1A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油气、液体化工码头：全部；</w:t>
                  </w:r>
                </w:p>
                <w:p w14:paraId="275F2C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原油、成品油、天然气管线（不含城镇天然气管线、企业厂区内管线），危险化学品输送管线（不含企业厂区内管线）：全部</w:t>
                  </w:r>
                </w:p>
              </w:tc>
              <w:tc>
                <w:tcPr>
                  <w:tcW w:w="1610" w:type="pct"/>
                  <w:noWrap w:val="0"/>
                  <w:vAlign w:val="center"/>
                </w:tcPr>
                <w:p w14:paraId="0C4A3D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w:t>
                  </w:r>
                  <w:r>
                    <w:rPr>
                      <w:rFonts w:hint="eastAsia" w:cs="Times New Roman"/>
                      <w:color w:val="auto"/>
                      <w:sz w:val="21"/>
                      <w:szCs w:val="21"/>
                      <w:lang w:val="en-US" w:eastAsia="zh-CN"/>
                    </w:rPr>
                    <w:t>工程</w:t>
                  </w:r>
                  <w:r>
                    <w:rPr>
                      <w:rFonts w:hint="eastAsia" w:ascii="Times New Roman" w:hAnsi="Times New Roman" w:eastAsia="宋体" w:cs="Times New Roman"/>
                      <w:color w:val="auto"/>
                      <w:sz w:val="21"/>
                      <w:szCs w:val="21"/>
                      <w:lang w:val="en-US" w:eastAsia="zh-CN"/>
                    </w:rPr>
                    <w:t>不</w:t>
                  </w:r>
                  <w:r>
                    <w:rPr>
                      <w:rFonts w:hint="eastAsia" w:cs="Times New Roman"/>
                      <w:color w:val="auto"/>
                      <w:sz w:val="21"/>
                      <w:szCs w:val="21"/>
                      <w:lang w:val="en-US" w:eastAsia="zh-CN"/>
                    </w:rPr>
                    <w:t>属于</w:t>
                  </w:r>
                  <w:r>
                    <w:rPr>
                      <w:rFonts w:hint="eastAsia" w:ascii="Times New Roman" w:hAnsi="Times New Roman" w:eastAsia="宋体" w:cs="Times New Roman"/>
                      <w:color w:val="auto"/>
                      <w:sz w:val="21"/>
                      <w:szCs w:val="21"/>
                      <w:lang w:val="en-US" w:eastAsia="zh-CN"/>
                    </w:rPr>
                    <w:t>专项评价原则表所列行业，无须设置环境风险专项评价</w:t>
                  </w:r>
                </w:p>
              </w:tc>
            </w:tr>
          </w:tbl>
          <w:p w14:paraId="4F5967E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kern w:val="0"/>
                <w:sz w:val="24"/>
                <w:szCs w:val="24"/>
                <w:lang w:val="en-US" w:eastAsia="zh-CN"/>
              </w:rPr>
            </w:pPr>
          </w:p>
        </w:tc>
      </w:tr>
      <w:tr w14:paraId="426404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1968" w:type="dxa"/>
            <w:noWrap w:val="0"/>
            <w:vAlign w:val="center"/>
          </w:tcPr>
          <w:p w14:paraId="527403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规划情况</w:t>
            </w:r>
          </w:p>
        </w:tc>
        <w:tc>
          <w:tcPr>
            <w:tcW w:w="7005" w:type="dxa"/>
            <w:gridSpan w:val="3"/>
            <w:shd w:val="clear" w:color="auto" w:fill="auto"/>
            <w:noWrap w:val="0"/>
            <w:vAlign w:val="center"/>
          </w:tcPr>
          <w:p w14:paraId="1B82C4D1">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无</w:t>
            </w:r>
          </w:p>
        </w:tc>
      </w:tr>
      <w:tr w14:paraId="114C84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68" w:type="dxa"/>
            <w:noWrap w:val="0"/>
            <w:vAlign w:val="center"/>
          </w:tcPr>
          <w:p w14:paraId="47F5E8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规划环境影响</w:t>
            </w:r>
          </w:p>
          <w:p w14:paraId="5F5897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评价情况</w:t>
            </w:r>
          </w:p>
        </w:tc>
        <w:tc>
          <w:tcPr>
            <w:tcW w:w="7005" w:type="dxa"/>
            <w:gridSpan w:val="3"/>
            <w:shd w:val="clear" w:color="auto" w:fill="auto"/>
            <w:noWrap w:val="0"/>
            <w:vAlign w:val="center"/>
          </w:tcPr>
          <w:p w14:paraId="38C599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sz w:val="24"/>
                <w:szCs w:val="24"/>
                <w:highlight w:val="none"/>
                <w:lang w:val="en-US" w:eastAsia="zh-CN"/>
              </w:rPr>
              <w:t>无</w:t>
            </w:r>
          </w:p>
        </w:tc>
      </w:tr>
      <w:tr w14:paraId="0A2AFA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68" w:type="dxa"/>
            <w:noWrap w:val="0"/>
            <w:vAlign w:val="center"/>
          </w:tcPr>
          <w:p w14:paraId="12F4F1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规划及规划环境</w:t>
            </w:r>
          </w:p>
          <w:p w14:paraId="3C9314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影响评价符合性</w:t>
            </w:r>
          </w:p>
          <w:p w14:paraId="79D9E8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rPr>
              <w:t>分析</w:t>
            </w:r>
          </w:p>
        </w:tc>
        <w:tc>
          <w:tcPr>
            <w:tcW w:w="7005" w:type="dxa"/>
            <w:gridSpan w:val="3"/>
            <w:noWrap w:val="0"/>
            <w:vAlign w:val="center"/>
          </w:tcPr>
          <w:p w14:paraId="088FCC97">
            <w:pPr>
              <w:jc w:val="center"/>
              <w:rPr>
                <w:rFonts w:hint="eastAsia" w:eastAsia="宋体"/>
                <w:color w:val="auto"/>
                <w:lang w:val="en-US" w:eastAsia="zh-CN"/>
              </w:rPr>
            </w:pPr>
            <w:r>
              <w:rPr>
                <w:rFonts w:hint="eastAsia"/>
                <w:color w:val="auto"/>
                <w:lang w:val="en-US" w:eastAsia="zh-CN"/>
              </w:rPr>
              <w:t>无</w:t>
            </w:r>
          </w:p>
        </w:tc>
      </w:tr>
      <w:tr w14:paraId="551ADF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43" w:hRule="atLeast"/>
          <w:jc w:val="center"/>
        </w:trPr>
        <w:tc>
          <w:tcPr>
            <w:tcW w:w="1968" w:type="dxa"/>
            <w:noWrap w:val="0"/>
            <w:vAlign w:val="center"/>
          </w:tcPr>
          <w:p w14:paraId="17A544A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kern w:val="0"/>
                <w:sz w:val="24"/>
                <w:szCs w:val="24"/>
              </w:rPr>
            </w:pPr>
            <w:r>
              <w:rPr>
                <w:rFonts w:hint="default" w:ascii="Times New Roman" w:hAnsi="Times New Roman" w:eastAsia="宋体" w:cs="Times New Roman"/>
                <w:color w:val="auto"/>
                <w:kern w:val="0"/>
                <w:sz w:val="24"/>
                <w:szCs w:val="24"/>
              </w:rPr>
              <w:t>其他符合性分析</w:t>
            </w:r>
          </w:p>
        </w:tc>
        <w:tc>
          <w:tcPr>
            <w:tcW w:w="7005" w:type="dxa"/>
            <w:gridSpan w:val="3"/>
            <w:noWrap w:val="0"/>
            <w:vAlign w:val="top"/>
          </w:tcPr>
          <w:p w14:paraId="5DE9E5C4">
            <w:pPr>
              <w:numPr>
                <w:ilvl w:val="0"/>
                <w:numId w:val="0"/>
              </w:numPr>
              <w:autoSpaceDE w:val="0"/>
              <w:autoSpaceDN w:val="0"/>
              <w:spacing w:line="360" w:lineRule="auto"/>
              <w:ind w:firstLine="482" w:firstLineChars="200"/>
              <w:contextualSpacing/>
              <w:jc w:val="both"/>
              <w:rPr>
                <w:rFonts w:hint="eastAsia" w:ascii="Times New Roman" w:hAnsi="Times New Roman" w:eastAsia="宋体" w:cs="Times New Roman"/>
                <w:b/>
                <w:bCs/>
                <w:color w:val="auto"/>
                <w:kern w:val="0"/>
                <w:sz w:val="24"/>
              </w:rPr>
            </w:pPr>
            <w:r>
              <w:rPr>
                <w:rFonts w:hint="eastAsia" w:ascii="Times New Roman" w:hAnsi="Times New Roman" w:eastAsia="宋体" w:cs="Times New Roman"/>
                <w:b/>
                <w:bCs/>
                <w:color w:val="auto"/>
                <w:kern w:val="0"/>
                <w:sz w:val="24"/>
                <w:lang w:val="en-US" w:eastAsia="zh-CN"/>
              </w:rPr>
              <w:t>1、</w:t>
            </w:r>
            <w:r>
              <w:rPr>
                <w:rFonts w:hint="eastAsia" w:ascii="Times New Roman" w:hAnsi="Times New Roman" w:eastAsia="宋体" w:cs="Times New Roman"/>
                <w:b/>
                <w:bCs/>
                <w:color w:val="auto"/>
                <w:kern w:val="0"/>
                <w:sz w:val="24"/>
                <w:lang w:eastAsia="zh-CN"/>
              </w:rPr>
              <w:t>产业政策符合</w:t>
            </w:r>
            <w:r>
              <w:rPr>
                <w:rFonts w:hint="eastAsia" w:ascii="Times New Roman" w:hAnsi="Times New Roman" w:eastAsia="宋体" w:cs="Times New Roman"/>
                <w:b/>
                <w:bCs/>
                <w:color w:val="auto"/>
                <w:kern w:val="0"/>
                <w:sz w:val="24"/>
              </w:rPr>
              <w:t>性分析</w:t>
            </w:r>
          </w:p>
          <w:p w14:paraId="7CA5D00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bCs/>
                <w:color w:val="auto"/>
                <w:sz w:val="24"/>
                <w:szCs w:val="24"/>
              </w:rPr>
            </w:pPr>
            <w:r>
              <w:rPr>
                <w:rFonts w:hint="eastAsia"/>
                <w:color w:val="auto"/>
                <w:sz w:val="24"/>
                <w:lang w:eastAsia="zh-CN"/>
              </w:rPr>
              <w:t>对照</w:t>
            </w:r>
            <w:r>
              <w:rPr>
                <w:color w:val="auto"/>
                <w:sz w:val="24"/>
              </w:rPr>
              <w:t>《产业结构调整指导目录（20</w:t>
            </w:r>
            <w:r>
              <w:rPr>
                <w:rFonts w:hint="eastAsia"/>
                <w:color w:val="auto"/>
                <w:sz w:val="24"/>
                <w:lang w:val="en-US" w:eastAsia="zh-CN"/>
              </w:rPr>
              <w:t>24</w:t>
            </w:r>
            <w:r>
              <w:rPr>
                <w:color w:val="auto"/>
                <w:sz w:val="24"/>
              </w:rPr>
              <w:t>年本）》</w:t>
            </w:r>
            <w:r>
              <w:rPr>
                <w:rFonts w:hint="eastAsia"/>
                <w:color w:val="auto"/>
                <w:sz w:val="24"/>
                <w:lang w:eastAsia="zh-CN"/>
              </w:rPr>
              <w:t>，</w:t>
            </w:r>
            <w:r>
              <w:rPr>
                <w:rFonts w:hint="eastAsia"/>
                <w:color w:val="auto"/>
                <w:sz w:val="24"/>
                <w:lang w:val="en-US" w:eastAsia="zh-CN"/>
              </w:rPr>
              <w:t>本项目属于鼓励类第二条″水利″中的第3条″江河湖海堤防建设及河道治理工程″。此外，本项目已取得陇县发展和改革局《关于陇县千河南岸新城污水处理厂人工湿地水质净化工程可行性研究报告的批复》（陇发改发</w:t>
            </w:r>
            <w:r>
              <w:rPr>
                <w:rFonts w:hint="eastAsia" w:ascii="Times New Roman" w:hAnsi="Times New Roman" w:eastAsia="宋体" w:cs="Times New Roman"/>
                <w:color w:val="auto"/>
                <w:sz w:val="24"/>
                <w:szCs w:val="24"/>
                <w:lang w:val="en-US" w:eastAsia="zh-CN"/>
              </w:rPr>
              <w:t>〔202</w:t>
            </w:r>
            <w:r>
              <w:rPr>
                <w:rFonts w:hint="eastAsia" w:cs="Times New Roman"/>
                <w:color w:val="auto"/>
                <w:sz w:val="24"/>
                <w:szCs w:val="24"/>
                <w:lang w:val="en-US" w:eastAsia="zh-CN"/>
              </w:rPr>
              <w:t>5</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762</w:t>
            </w:r>
            <w:r>
              <w:rPr>
                <w:rFonts w:hint="eastAsia" w:ascii="Times New Roman" w:hAnsi="Times New Roman" w:eastAsia="宋体" w:cs="Times New Roman"/>
                <w:color w:val="auto"/>
                <w:sz w:val="24"/>
                <w:szCs w:val="24"/>
                <w:lang w:val="en-US" w:eastAsia="zh-CN"/>
              </w:rPr>
              <w:t>号</w:t>
            </w:r>
            <w:r>
              <w:rPr>
                <w:rFonts w:hint="eastAsia"/>
                <w:color w:val="auto"/>
                <w:sz w:val="24"/>
                <w:lang w:val="en-US" w:eastAsia="zh-CN"/>
              </w:rPr>
              <w:t>）和陇县发展和改革局《关于陇县千河南岸新城污水处理厂人工湿地水质净化工程项目初步设计的批复》（陇发改发</w:t>
            </w:r>
            <w:r>
              <w:rPr>
                <w:rFonts w:hint="eastAsia" w:ascii="Times New Roman" w:hAnsi="Times New Roman" w:eastAsia="宋体" w:cs="Times New Roman"/>
                <w:color w:val="auto"/>
                <w:sz w:val="24"/>
                <w:szCs w:val="24"/>
                <w:lang w:val="en-US" w:eastAsia="zh-CN"/>
              </w:rPr>
              <w:t>〔202</w:t>
            </w:r>
            <w:r>
              <w:rPr>
                <w:rFonts w:hint="eastAsia" w:cs="Times New Roman"/>
                <w:color w:val="auto"/>
                <w:sz w:val="24"/>
                <w:szCs w:val="24"/>
                <w:lang w:val="en-US" w:eastAsia="zh-CN"/>
              </w:rPr>
              <w:t>6</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39</w:t>
            </w:r>
            <w:r>
              <w:rPr>
                <w:rFonts w:hint="eastAsia" w:ascii="Times New Roman" w:hAnsi="Times New Roman" w:eastAsia="宋体" w:cs="Times New Roman"/>
                <w:color w:val="auto"/>
                <w:sz w:val="24"/>
                <w:szCs w:val="24"/>
                <w:lang w:val="en-US" w:eastAsia="zh-CN"/>
              </w:rPr>
              <w:t>号</w:t>
            </w:r>
            <w:r>
              <w:rPr>
                <w:rFonts w:hint="eastAsia"/>
                <w:color w:val="auto"/>
                <w:sz w:val="24"/>
                <w:lang w:val="en-US" w:eastAsia="zh-CN"/>
              </w:rPr>
              <w:t>），详见附件2、附件3。因此，本项目的建设符合国家及地方产业政策。</w:t>
            </w:r>
          </w:p>
          <w:p w14:paraId="03A86B7E">
            <w:pPr>
              <w:numPr>
                <w:ilvl w:val="0"/>
                <w:numId w:val="0"/>
              </w:numPr>
              <w:autoSpaceDE w:val="0"/>
              <w:autoSpaceDN w:val="0"/>
              <w:spacing w:line="360" w:lineRule="auto"/>
              <w:ind w:firstLine="482" w:firstLineChars="200"/>
              <w:contextualSpacing/>
              <w:jc w:val="both"/>
              <w:rPr>
                <w:rFonts w:hint="eastAsia" w:ascii="Times New Roman" w:hAnsi="Times New Roman" w:eastAsia="宋体" w:cs="Times New Roman"/>
                <w:b/>
                <w:bCs/>
                <w:color w:val="auto"/>
                <w:sz w:val="24"/>
                <w:lang w:val="en-US" w:eastAsia="zh-CN"/>
              </w:rPr>
            </w:pPr>
            <w:r>
              <w:rPr>
                <w:rFonts w:hint="eastAsia" w:cs="Times New Roman"/>
                <w:b/>
                <w:bCs/>
                <w:color w:val="auto"/>
                <w:sz w:val="24"/>
                <w:lang w:val="en-US" w:eastAsia="zh-CN"/>
              </w:rPr>
              <w:t>2、</w:t>
            </w:r>
            <w:r>
              <w:rPr>
                <w:rFonts w:hint="eastAsia" w:ascii="Times New Roman" w:hAnsi="Times New Roman" w:eastAsia="宋体" w:cs="Times New Roman"/>
                <w:b/>
                <w:bCs/>
                <w:color w:val="auto"/>
                <w:sz w:val="24"/>
                <w:lang w:val="en-US" w:eastAsia="zh-CN"/>
              </w:rPr>
              <w:t>生态环境分区管控符合性分析</w:t>
            </w:r>
          </w:p>
          <w:p w14:paraId="4004A39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根据《陕西省</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三线一单</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生态环境分区管控应用技术指南：环境影响评价（试行）》（陕环办发〔2022〕76号），建设项目环评文件涉及</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三线一单</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生态环境分区管控符合性分析采取</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一图一表一说明</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的表达方式，</w:t>
            </w:r>
            <w:r>
              <w:rPr>
                <w:rFonts w:hint="eastAsia" w:cs="Times New Roman"/>
                <w:color w:val="auto"/>
                <w:sz w:val="24"/>
                <w:lang w:val="en-US" w:eastAsia="zh-CN"/>
              </w:rPr>
              <w:t>本项目已完成与环境管控单元的对照，符合性分析见下文″一图一表一说明″。</w:t>
            </w:r>
          </w:p>
          <w:p w14:paraId="00C6526A">
            <w:pPr>
              <w:numPr>
                <w:ilvl w:val="0"/>
                <w:numId w:val="1"/>
              </w:numPr>
              <w:autoSpaceDE w:val="0"/>
              <w:autoSpaceDN w:val="0"/>
              <w:spacing w:line="360" w:lineRule="auto"/>
              <w:ind w:firstLine="480" w:firstLineChars="200"/>
              <w:contextualSpacing/>
              <w:jc w:val="both"/>
              <w:rPr>
                <w:rFonts w:hint="eastAsia" w:ascii="Times New Roman" w:hAnsi="Times New Roman" w:eastAsia="宋体" w:cs="Times New Roman"/>
                <w:color w:val="auto"/>
                <w:sz w:val="24"/>
                <w:szCs w:val="32"/>
                <w:lang w:val="en-US" w:eastAsia="zh-CN"/>
              </w:rPr>
            </w:pPr>
            <w:r>
              <w:rPr>
                <w:rFonts w:hint="eastAsia" w:ascii="Times New Roman" w:hAnsi="Times New Roman" w:eastAsia="宋体" w:cs="Times New Roman"/>
                <w:color w:val="auto"/>
                <w:sz w:val="24"/>
                <w:szCs w:val="32"/>
                <w:lang w:val="en-US" w:eastAsia="zh-CN"/>
              </w:rPr>
              <w:t>一图</w:t>
            </w:r>
          </w:p>
          <w:p w14:paraId="27103EE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根据对照结果，</w:t>
            </w:r>
            <w:r>
              <w:rPr>
                <w:rFonts w:hint="default" w:ascii="Times New Roman" w:hAnsi="Times New Roman" w:eastAsia="宋体" w:cs="Times New Roman"/>
                <w:color w:val="auto"/>
                <w:sz w:val="24"/>
                <w:lang w:val="en-US" w:eastAsia="zh-CN"/>
              </w:rPr>
              <w:t>本项目</w:t>
            </w:r>
            <w:r>
              <w:rPr>
                <w:rFonts w:hint="eastAsia" w:cs="Times New Roman"/>
                <w:color w:val="auto"/>
                <w:sz w:val="24"/>
                <w:lang w:val="en-US" w:eastAsia="zh-CN"/>
              </w:rPr>
              <w:t>人工湿地</w:t>
            </w:r>
            <w:r>
              <w:rPr>
                <w:rFonts w:hint="default" w:ascii="Times New Roman" w:hAnsi="Times New Roman" w:eastAsia="宋体" w:cs="Times New Roman"/>
                <w:color w:val="auto"/>
                <w:sz w:val="24"/>
                <w:lang w:val="en-US" w:eastAsia="zh-CN"/>
              </w:rPr>
              <w:t>位</w:t>
            </w:r>
            <w:r>
              <w:rPr>
                <w:rFonts w:hint="eastAsia" w:cs="Times New Roman"/>
                <w:color w:val="auto"/>
                <w:sz w:val="24"/>
                <w:lang w:val="en-US" w:eastAsia="zh-CN"/>
              </w:rPr>
              <w:t>于重点</w:t>
            </w:r>
            <w:r>
              <w:rPr>
                <w:rFonts w:hint="default" w:ascii="Times New Roman" w:hAnsi="Times New Roman" w:eastAsia="宋体" w:cs="Times New Roman"/>
                <w:color w:val="auto"/>
                <w:sz w:val="24"/>
                <w:lang w:val="en-US" w:eastAsia="zh-CN"/>
              </w:rPr>
              <w:t>管控单元</w:t>
            </w:r>
            <w:r>
              <w:rPr>
                <w:rFonts w:hint="eastAsia" w:ascii="Times New Roman" w:hAnsi="Times New Roman" w:eastAsia="宋体" w:cs="Times New Roman"/>
                <w:color w:val="auto"/>
                <w:sz w:val="24"/>
                <w:lang w:val="en-US" w:eastAsia="zh-CN"/>
              </w:rPr>
              <w:t>，</w:t>
            </w:r>
            <w:r>
              <w:rPr>
                <w:rFonts w:hint="eastAsia" w:cs="Times New Roman"/>
                <w:color w:val="auto"/>
                <w:sz w:val="24"/>
                <w:lang w:val="en-US" w:eastAsia="zh-CN"/>
              </w:rPr>
              <w:t>护岸工程部分位于重点管控单元，部分位于优先管控单元，人工湿地与生态环境分区管控的位置关系</w:t>
            </w:r>
            <w:r>
              <w:rPr>
                <w:rFonts w:hint="eastAsia" w:ascii="Times New Roman" w:hAnsi="Times New Roman" w:eastAsia="宋体" w:cs="Times New Roman"/>
                <w:color w:val="auto"/>
                <w:sz w:val="24"/>
                <w:lang w:val="en-US" w:eastAsia="zh-CN"/>
              </w:rPr>
              <w:t>见图1-1</w:t>
            </w:r>
            <w:r>
              <w:rPr>
                <w:rFonts w:hint="eastAsia" w:cs="Times New Roman"/>
                <w:color w:val="auto"/>
                <w:sz w:val="24"/>
                <w:lang w:val="en-US" w:eastAsia="zh-CN"/>
              </w:rPr>
              <w:t>，护岸工程与生态环境分区管控的位置关系</w:t>
            </w:r>
            <w:r>
              <w:rPr>
                <w:rFonts w:hint="eastAsia" w:ascii="Times New Roman" w:hAnsi="Times New Roman" w:eastAsia="宋体" w:cs="Times New Roman"/>
                <w:color w:val="auto"/>
                <w:sz w:val="24"/>
                <w:lang w:val="en-US" w:eastAsia="zh-CN"/>
              </w:rPr>
              <w:t>见图1-</w:t>
            </w:r>
            <w:r>
              <w:rPr>
                <w:rFonts w:hint="eastAsia" w:eastAsia="宋体" w:cs="Times New Roman"/>
                <w:color w:val="auto"/>
                <w:sz w:val="24"/>
                <w:lang w:val="en-US" w:eastAsia="zh-CN"/>
              </w:rPr>
              <w:t>2</w:t>
            </w:r>
            <w:r>
              <w:rPr>
                <w:rFonts w:hint="eastAsia" w:ascii="Times New Roman" w:hAnsi="Times New Roman" w:eastAsia="宋体" w:cs="Times New Roman"/>
                <w:color w:val="auto"/>
                <w:sz w:val="24"/>
                <w:lang w:val="en-US" w:eastAsia="zh-CN"/>
              </w:rPr>
              <w:t>。</w:t>
            </w:r>
          </w:p>
          <w:p w14:paraId="4624518F">
            <w:pPr>
              <w:autoSpaceDE w:val="0"/>
              <w:autoSpaceDN w:val="0"/>
              <w:spacing w:line="360" w:lineRule="auto"/>
              <w:ind w:firstLine="480" w:firstLineChars="200"/>
              <w:contextualSpacing/>
              <w:jc w:val="both"/>
              <w:rPr>
                <w:rFonts w:hint="eastAsia" w:ascii="Times New Roman" w:hAnsi="Times New Roman" w:eastAsia="宋体" w:cs="Times New Roman"/>
                <w:color w:val="auto"/>
                <w:sz w:val="24"/>
                <w:szCs w:val="32"/>
                <w:highlight w:val="none"/>
                <w:lang w:val="en-US" w:eastAsia="zh-CN"/>
              </w:rPr>
            </w:pPr>
          </w:p>
          <w:p w14:paraId="26F2F7B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color w:val="auto"/>
                <w:kern w:val="0"/>
                <w:sz w:val="24"/>
                <w:szCs w:val="24"/>
                <w:lang w:val="en-US" w:eastAsia="zh-CN"/>
              </w:rPr>
            </w:pPr>
          </w:p>
        </w:tc>
      </w:tr>
    </w:tbl>
    <w:p w14:paraId="0F5C39FC">
      <w:pPr>
        <w:spacing w:line="360" w:lineRule="auto"/>
        <w:outlineLvl w:val="0"/>
        <w:rPr>
          <w:rFonts w:eastAsia="黑体"/>
          <w:color w:val="auto"/>
          <w:sz w:val="30"/>
        </w:rPr>
        <w:sectPr>
          <w:footerReference r:id="rId5" w:type="default"/>
          <w:footerReference r:id="rId6" w:type="even"/>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4663C233">
      <w:pPr>
        <w:spacing w:line="240" w:lineRule="auto"/>
        <w:ind w:right="-38" w:rightChars="-18"/>
        <w:jc w:val="both"/>
        <w:rPr>
          <w:rFonts w:hint="eastAsia" w:ascii="Times New Roman" w:hAnsi="Times New Roman" w:eastAsia="宋体" w:cs="Times New Roman"/>
          <w:b/>
          <w:bCs/>
          <w:color w:val="auto"/>
          <w:sz w:val="21"/>
          <w:szCs w:val="21"/>
          <w:lang w:val="en-US" w:eastAsia="zh-CN"/>
        </w:rPr>
      </w:pPr>
      <w:r>
        <w:drawing>
          <wp:inline distT="0" distB="0" distL="114300" distR="114300">
            <wp:extent cx="5674995" cy="7508240"/>
            <wp:effectExtent l="0" t="0" r="1905" b="1651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8"/>
                    <a:stretch>
                      <a:fillRect/>
                    </a:stretch>
                  </pic:blipFill>
                  <pic:spPr>
                    <a:xfrm>
                      <a:off x="0" y="0"/>
                      <a:ext cx="5674995" cy="7508240"/>
                    </a:xfrm>
                    <a:prstGeom prst="rect">
                      <a:avLst/>
                    </a:prstGeom>
                    <a:noFill/>
                    <a:ln>
                      <a:noFill/>
                    </a:ln>
                  </pic:spPr>
                </pic:pic>
              </a:graphicData>
            </a:graphic>
          </wp:inline>
        </w:drawing>
      </w:r>
      <w:r>
        <w:rPr>
          <w:rFonts w:hint="eastAsia" w:ascii="Times New Roman" w:hAnsi="Times New Roman" w:eastAsia="宋体" w:cs="Times New Roman"/>
          <w:b/>
          <w:bCs/>
          <w:color w:val="auto"/>
          <w:sz w:val="21"/>
          <w:szCs w:val="21"/>
          <w:lang w:val="en-US" w:eastAsia="zh-CN"/>
        </w:rPr>
        <mc:AlternateContent>
          <mc:Choice Requires="wps">
            <w:drawing>
              <wp:anchor distT="0" distB="0" distL="114300" distR="114300" simplePos="0" relativeHeight="251666432" behindDoc="0" locked="0" layoutInCell="1" allowOverlap="1">
                <wp:simplePos x="0" y="0"/>
                <wp:positionH relativeFrom="column">
                  <wp:posOffset>4472305</wp:posOffset>
                </wp:positionH>
                <wp:positionV relativeFrom="paragraph">
                  <wp:posOffset>-1707515</wp:posOffset>
                </wp:positionV>
                <wp:extent cx="1136650" cy="353695"/>
                <wp:effectExtent l="328295" t="4445" r="20955" b="22860"/>
                <wp:wrapNone/>
                <wp:docPr id="11" name="自选图形 44"/>
                <wp:cNvGraphicFramePr/>
                <a:graphic xmlns:a="http://schemas.openxmlformats.org/drawingml/2006/main">
                  <a:graphicData uri="http://schemas.microsoft.com/office/word/2010/wordprocessingShape">
                    <wps:wsp>
                      <wps:cNvSpPr/>
                      <wps:spPr>
                        <a:xfrm>
                          <a:off x="0" y="0"/>
                          <a:ext cx="1136650" cy="353695"/>
                        </a:xfrm>
                        <a:prstGeom prst="wedgeEllipseCallout">
                          <a:avLst>
                            <a:gd name="adj1" fmla="val -75528"/>
                            <a:gd name="adj2" fmla="val 10079"/>
                          </a:avLst>
                        </a:prstGeom>
                        <a:noFill/>
                        <a:ln w="9525" cap="flat" cmpd="sng">
                          <a:solidFill>
                            <a:srgbClr val="000000"/>
                          </a:solidFill>
                          <a:prstDash val="solid"/>
                          <a:miter/>
                          <a:headEnd type="none" w="med" len="med"/>
                          <a:tailEnd type="none" w="med" len="med"/>
                        </a:ln>
                      </wps:spPr>
                      <wps:txbx>
                        <w:txbxContent>
                          <w:p w14:paraId="4083C4D2">
                            <w:pPr>
                              <w:rPr>
                                <w:rFonts w:hint="default" w:eastAsia="宋体"/>
                                <w:sz w:val="20"/>
                                <w:szCs w:val="22"/>
                                <w:lang w:val="en-US" w:eastAsia="zh-CN"/>
                              </w:rPr>
                            </w:pPr>
                            <w:r>
                              <w:rPr>
                                <w:rFonts w:hint="eastAsia"/>
                                <w:sz w:val="20"/>
                                <w:szCs w:val="22"/>
                                <w:lang w:val="en-US" w:eastAsia="zh-CN"/>
                              </w:rPr>
                              <w:t>官沟村段</w:t>
                            </w:r>
                          </w:p>
                        </w:txbxContent>
                      </wps:txbx>
                      <wps:bodyPr vert="horz" wrap="square" anchor="t" anchorCtr="0" upright="1"/>
                    </wps:wsp>
                  </a:graphicData>
                </a:graphic>
              </wp:anchor>
            </w:drawing>
          </mc:Choice>
          <mc:Fallback>
            <w:pict>
              <v:shape id="自选图形 44" o:spid="_x0000_s1026" o:spt="63" type="#_x0000_t63" style="position:absolute;left:0pt;margin-left:352.15pt;margin-top:-134.45pt;height:27.85pt;width:89.5pt;z-index:251666432;mso-width-relative:page;mso-height-relative:page;" filled="f" stroked="t" coordsize="21600,21600" o:gfxdata="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d/TJjdkA&#10;AAANAQAADwAAAAAAAAABACAAAAAiAAAAZHJzL2Rvd25yZXYueG1sUEsBAhQAFAAAAAgAh07iQEjA&#10;wdJXAgAAnAQAAA4AAAAAAAAAAQAgAAAAKAEAAGRycy9lMm9Eb2MueG1sUEsFBgAAAAAGAAYAWQEA&#10;APEFAAAAAA==&#10;" adj="-5514,12977">
                <v:fill on="f" focussize="0,0"/>
                <v:stroke color="#000000" joinstyle="miter"/>
                <v:imagedata o:title=""/>
                <o:lock v:ext="edit" aspectratio="f"/>
                <v:textbox>
                  <w:txbxContent>
                    <w:p w14:paraId="4083C4D2">
                      <w:pPr>
                        <w:rPr>
                          <w:rFonts w:hint="default" w:eastAsia="宋体"/>
                          <w:sz w:val="20"/>
                          <w:szCs w:val="22"/>
                          <w:lang w:val="en-US" w:eastAsia="zh-CN"/>
                        </w:rPr>
                      </w:pPr>
                      <w:r>
                        <w:rPr>
                          <w:rFonts w:hint="eastAsia"/>
                          <w:sz w:val="20"/>
                          <w:szCs w:val="22"/>
                          <w:lang w:val="en-US" w:eastAsia="zh-CN"/>
                        </w:rPr>
                        <w:t>官沟村段</w:t>
                      </w:r>
                    </w:p>
                  </w:txbxContent>
                </v:textbox>
              </v:shape>
            </w:pict>
          </mc:Fallback>
        </mc:AlternateContent>
      </w:r>
      <w:r>
        <w:rPr>
          <w:rFonts w:hint="eastAsia" w:ascii="Times New Roman" w:hAnsi="Times New Roman" w:eastAsia="宋体" w:cs="Times New Roman"/>
          <w:b/>
          <w:bCs/>
          <w:color w:val="auto"/>
          <w:sz w:val="21"/>
          <w:szCs w:val="21"/>
          <w:lang w:val="en-US" w:eastAsia="zh-CN"/>
        </w:rPr>
        <mc:AlternateContent>
          <mc:Choice Requires="wps">
            <w:drawing>
              <wp:anchor distT="0" distB="0" distL="114300" distR="114300" simplePos="0" relativeHeight="251665408" behindDoc="0" locked="0" layoutInCell="1" allowOverlap="1">
                <wp:simplePos x="0" y="0"/>
                <wp:positionH relativeFrom="column">
                  <wp:posOffset>3982720</wp:posOffset>
                </wp:positionH>
                <wp:positionV relativeFrom="paragraph">
                  <wp:posOffset>-2164715</wp:posOffset>
                </wp:positionV>
                <wp:extent cx="1136650" cy="342265"/>
                <wp:effectExtent l="48895" t="5080" r="14605" b="205105"/>
                <wp:wrapNone/>
                <wp:docPr id="10" name="自选图形 43"/>
                <wp:cNvGraphicFramePr/>
                <a:graphic xmlns:a="http://schemas.openxmlformats.org/drawingml/2006/main">
                  <a:graphicData uri="http://schemas.microsoft.com/office/word/2010/wordprocessingShape">
                    <wps:wsp>
                      <wps:cNvSpPr/>
                      <wps:spPr>
                        <a:xfrm>
                          <a:off x="0" y="0"/>
                          <a:ext cx="1136650" cy="342265"/>
                        </a:xfrm>
                        <a:prstGeom prst="wedgeEllipseCallout">
                          <a:avLst>
                            <a:gd name="adj1" fmla="val -52120"/>
                            <a:gd name="adj2" fmla="val 101898"/>
                          </a:avLst>
                        </a:prstGeom>
                        <a:noFill/>
                        <a:ln w="9525" cap="flat" cmpd="sng">
                          <a:solidFill>
                            <a:srgbClr val="000000"/>
                          </a:solidFill>
                          <a:prstDash val="solid"/>
                          <a:miter/>
                          <a:headEnd type="none" w="med" len="med"/>
                          <a:tailEnd type="none" w="med" len="med"/>
                        </a:ln>
                      </wps:spPr>
                      <wps:txbx>
                        <w:txbxContent>
                          <w:p w14:paraId="59114592">
                            <w:pPr>
                              <w:rPr>
                                <w:rFonts w:hint="default" w:eastAsia="宋体"/>
                                <w:sz w:val="20"/>
                                <w:szCs w:val="22"/>
                                <w:lang w:val="en-US" w:eastAsia="zh-CN"/>
                              </w:rPr>
                            </w:pPr>
                            <w:r>
                              <w:rPr>
                                <w:rFonts w:hint="eastAsia"/>
                                <w:sz w:val="20"/>
                                <w:szCs w:val="22"/>
                                <w:lang w:val="en-US" w:eastAsia="zh-CN"/>
                              </w:rPr>
                              <w:t>陈家坪村段</w:t>
                            </w:r>
                          </w:p>
                        </w:txbxContent>
                      </wps:txbx>
                      <wps:bodyPr vert="horz" wrap="square" anchor="t" anchorCtr="0" upright="1"/>
                    </wps:wsp>
                  </a:graphicData>
                </a:graphic>
              </wp:anchor>
            </w:drawing>
          </mc:Choice>
          <mc:Fallback>
            <w:pict>
              <v:shape id="自选图形 43" o:spid="_x0000_s1026" o:spt="63" type="#_x0000_t63" style="position:absolute;left:0pt;margin-left:313.6pt;margin-top:-170.45pt;height:26.95pt;width:89.5pt;z-index:251665408;mso-width-relative:page;mso-height-relative:page;" filled="f" stroked="t" coordsize="21600,21600" o:gfxdata="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UonDjZ&#10;AAAADQEAAA8AAAAAAAAAAQAgAAAAIgAAAGRycy9kb3ducmV2LnhtbFBLAQIUABQAAAAIAIdO4kD4&#10;b5qbWAIAAJ0EAAAOAAAAAAAAAAEAIAAAACgBAABkcnMvZTJvRG9jLnhtbFBLBQYAAAAABgAGAFkB&#10;AADyBQAAAAA=&#10;" adj="-458,32810">
                <v:fill on="f" focussize="0,0"/>
                <v:stroke color="#000000" joinstyle="miter"/>
                <v:imagedata o:title=""/>
                <o:lock v:ext="edit" aspectratio="f"/>
                <v:textbox>
                  <w:txbxContent>
                    <w:p w14:paraId="59114592">
                      <w:pPr>
                        <w:rPr>
                          <w:rFonts w:hint="default" w:eastAsia="宋体"/>
                          <w:sz w:val="20"/>
                          <w:szCs w:val="22"/>
                          <w:lang w:val="en-US" w:eastAsia="zh-CN"/>
                        </w:rPr>
                      </w:pPr>
                      <w:r>
                        <w:rPr>
                          <w:rFonts w:hint="eastAsia"/>
                          <w:sz w:val="20"/>
                          <w:szCs w:val="22"/>
                          <w:lang w:val="en-US" w:eastAsia="zh-CN"/>
                        </w:rPr>
                        <w:t>陈家坪村段</w:t>
                      </w:r>
                    </w:p>
                  </w:txbxContent>
                </v:textbox>
              </v:shape>
            </w:pict>
          </mc:Fallback>
        </mc:AlternateContent>
      </w:r>
      <w:r>
        <w:rPr>
          <w:rFonts w:hint="eastAsia" w:ascii="Times New Roman" w:hAnsi="Times New Roman" w:eastAsia="宋体" w:cs="Times New Roman"/>
          <w:b/>
          <w:bCs/>
          <w:color w:val="auto"/>
          <w:sz w:val="21"/>
          <w:szCs w:val="21"/>
          <w:lang w:val="en-US" w:eastAsia="zh-CN"/>
        </w:rPr>
        <mc:AlternateContent>
          <mc:Choice Requires="wps">
            <w:drawing>
              <wp:anchor distT="0" distB="0" distL="114300" distR="114300" simplePos="0" relativeHeight="251664384" behindDoc="0" locked="0" layoutInCell="1" allowOverlap="1">
                <wp:simplePos x="0" y="0"/>
                <wp:positionH relativeFrom="column">
                  <wp:posOffset>2167890</wp:posOffset>
                </wp:positionH>
                <wp:positionV relativeFrom="paragraph">
                  <wp:posOffset>-1954530</wp:posOffset>
                </wp:positionV>
                <wp:extent cx="1136650" cy="360045"/>
                <wp:effectExtent l="5080" t="5080" r="477520" b="15875"/>
                <wp:wrapNone/>
                <wp:docPr id="8" name="自选图形 41"/>
                <wp:cNvGraphicFramePr/>
                <a:graphic xmlns:a="http://schemas.openxmlformats.org/drawingml/2006/main">
                  <a:graphicData uri="http://schemas.microsoft.com/office/word/2010/wordprocessingShape">
                    <wps:wsp>
                      <wps:cNvSpPr/>
                      <wps:spPr>
                        <a:xfrm>
                          <a:off x="0" y="0"/>
                          <a:ext cx="1136650" cy="360045"/>
                        </a:xfrm>
                        <a:prstGeom prst="wedgeEllipseCallout">
                          <a:avLst>
                            <a:gd name="adj1" fmla="val 87764"/>
                            <a:gd name="adj2" fmla="val 31236"/>
                          </a:avLst>
                        </a:prstGeom>
                        <a:noFill/>
                        <a:ln w="9525" cap="flat" cmpd="sng">
                          <a:solidFill>
                            <a:srgbClr val="000000"/>
                          </a:solidFill>
                          <a:prstDash val="solid"/>
                          <a:miter/>
                          <a:headEnd type="none" w="med" len="med"/>
                          <a:tailEnd type="none" w="med" len="med"/>
                        </a:ln>
                      </wps:spPr>
                      <wps:txbx>
                        <w:txbxContent>
                          <w:p w14:paraId="67A36FA4">
                            <w:pPr>
                              <w:rPr>
                                <w:rFonts w:hint="default" w:eastAsia="宋体"/>
                                <w:sz w:val="20"/>
                                <w:szCs w:val="22"/>
                                <w:lang w:val="en-US" w:eastAsia="zh-CN"/>
                              </w:rPr>
                            </w:pPr>
                            <w:r>
                              <w:rPr>
                                <w:rFonts w:hint="eastAsia"/>
                                <w:sz w:val="20"/>
                                <w:szCs w:val="22"/>
                                <w:lang w:val="en-US" w:eastAsia="zh-CN"/>
                              </w:rPr>
                              <w:t>于家沟村段</w:t>
                            </w:r>
                          </w:p>
                        </w:txbxContent>
                      </wps:txbx>
                      <wps:bodyPr vert="horz" wrap="square" anchor="t" anchorCtr="0" upright="1"/>
                    </wps:wsp>
                  </a:graphicData>
                </a:graphic>
              </wp:anchor>
            </w:drawing>
          </mc:Choice>
          <mc:Fallback>
            <w:pict>
              <v:shape id="自选图形 41" o:spid="_x0000_s1026" o:spt="63" type="#_x0000_t63" style="position:absolute;left:0pt;margin-left:170.7pt;margin-top:-153.9pt;height:28.35pt;width:89.5pt;z-index:251664384;mso-width-relative:page;mso-height-relative:page;" filled="f" stroked="t" coordsize="21600,21600" o:gfxdata="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D0wqkDaAAAA&#10;DQEAAA8AAAAAAAAAAQAgAAAAIgAAAGRycy9kb3ducmV2LnhtbFBLAQIUABQAAAAIAIdO4kCb/Qvb&#10;VAIAAJoEAAAOAAAAAAAAAAEAIAAAACkBAABkcnMvZTJvRG9jLnhtbFBLBQYAAAAABgAGAFkBAADv&#10;BQAAAAA=&#10;" adj="29757,17547">
                <v:fill on="f" focussize="0,0"/>
                <v:stroke color="#000000" joinstyle="miter"/>
                <v:imagedata o:title=""/>
                <o:lock v:ext="edit" aspectratio="f"/>
                <v:textbox>
                  <w:txbxContent>
                    <w:p w14:paraId="67A36FA4">
                      <w:pPr>
                        <w:rPr>
                          <w:rFonts w:hint="default" w:eastAsia="宋体"/>
                          <w:sz w:val="20"/>
                          <w:szCs w:val="22"/>
                          <w:lang w:val="en-US" w:eastAsia="zh-CN"/>
                        </w:rPr>
                      </w:pPr>
                      <w:r>
                        <w:rPr>
                          <w:rFonts w:hint="eastAsia"/>
                          <w:sz w:val="20"/>
                          <w:szCs w:val="22"/>
                          <w:lang w:val="en-US" w:eastAsia="zh-CN"/>
                        </w:rPr>
                        <w:t>于家沟村段</w:t>
                      </w:r>
                    </w:p>
                  </w:txbxContent>
                </v:textbox>
              </v:shape>
            </w:pict>
          </mc:Fallback>
        </mc:AlternateContent>
      </w:r>
      <w:r>
        <w:rPr>
          <w:rFonts w:hint="eastAsia" w:ascii="Times New Roman" w:hAnsi="Times New Roman" w:eastAsia="宋体" w:cs="Times New Roman"/>
          <w:b/>
          <w:bCs/>
          <w:color w:val="auto"/>
          <w:sz w:val="21"/>
          <w:szCs w:val="21"/>
          <w:lang w:val="en-US" w:eastAsia="zh-CN"/>
        </w:rPr>
        <mc:AlternateContent>
          <mc:Choice Requires="wps">
            <w:drawing>
              <wp:anchor distT="0" distB="0" distL="114300" distR="114300" simplePos="0" relativeHeight="251662336" behindDoc="0" locked="0" layoutInCell="1" allowOverlap="1">
                <wp:simplePos x="0" y="0"/>
                <wp:positionH relativeFrom="column">
                  <wp:posOffset>3011805</wp:posOffset>
                </wp:positionH>
                <wp:positionV relativeFrom="paragraph">
                  <wp:posOffset>-3372485</wp:posOffset>
                </wp:positionV>
                <wp:extent cx="1100455" cy="335915"/>
                <wp:effectExtent l="4445" t="5080" r="19050" b="287655"/>
                <wp:wrapNone/>
                <wp:docPr id="6" name="自选图形 39"/>
                <wp:cNvGraphicFramePr/>
                <a:graphic xmlns:a="http://schemas.openxmlformats.org/drawingml/2006/main">
                  <a:graphicData uri="http://schemas.microsoft.com/office/word/2010/wordprocessingShape">
                    <wps:wsp>
                      <wps:cNvSpPr/>
                      <wps:spPr>
                        <a:xfrm>
                          <a:off x="0" y="0"/>
                          <a:ext cx="1100455" cy="335915"/>
                        </a:xfrm>
                        <a:prstGeom prst="wedgeEllipseCallout">
                          <a:avLst>
                            <a:gd name="adj1" fmla="val -44287"/>
                            <a:gd name="adj2" fmla="val 125847"/>
                          </a:avLst>
                        </a:prstGeom>
                        <a:noFill/>
                        <a:ln w="9525" cap="flat" cmpd="sng">
                          <a:solidFill>
                            <a:srgbClr val="000000"/>
                          </a:solidFill>
                          <a:prstDash val="solid"/>
                          <a:miter/>
                          <a:headEnd type="none" w="med" len="med"/>
                          <a:tailEnd type="none" w="med" len="med"/>
                        </a:ln>
                      </wps:spPr>
                      <wps:txbx>
                        <w:txbxContent>
                          <w:p w14:paraId="30787177">
                            <w:pPr>
                              <w:rPr>
                                <w:rFonts w:hint="default" w:eastAsia="宋体"/>
                                <w:sz w:val="20"/>
                                <w:szCs w:val="22"/>
                                <w:lang w:val="en-US" w:eastAsia="zh-CN"/>
                              </w:rPr>
                            </w:pPr>
                            <w:r>
                              <w:rPr>
                                <w:rFonts w:hint="eastAsia"/>
                                <w:sz w:val="20"/>
                                <w:szCs w:val="22"/>
                                <w:lang w:val="en-US" w:eastAsia="zh-CN"/>
                              </w:rPr>
                              <w:t>红花寺村段</w:t>
                            </w:r>
                          </w:p>
                        </w:txbxContent>
                      </wps:txbx>
                      <wps:bodyPr vert="horz" wrap="square" anchor="t" anchorCtr="0" upright="1"/>
                    </wps:wsp>
                  </a:graphicData>
                </a:graphic>
              </wp:anchor>
            </w:drawing>
          </mc:Choice>
          <mc:Fallback>
            <w:pict>
              <v:shape id="自选图形 39" o:spid="_x0000_s1026" o:spt="63" type="#_x0000_t63" style="position:absolute;left:0pt;margin-left:237.15pt;margin-top:-265.55pt;height:26.45pt;width:86.65pt;z-index:251662336;mso-width-relative:page;mso-height-relative:page;" filled="f" stroked="t" coordsize="21600,21600" o:gfxdata="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l&#10;NItW3QAAAA0BAAAPAAAAAAAAAAEAIAAAACIAAABkcnMvZG93bnJldi54bWxQSwECFAAUAAAACACH&#10;TuJAQpn4xVgCAACcBAAADgAAAAAAAAABACAAAAAsAQAAZHJzL2Uyb0RvYy54bWxQSwUGAAAAAAYA&#10;BgBZAQAA9gUAAAAA&#10;" adj="1234,37983">
                <v:fill on="f" focussize="0,0"/>
                <v:stroke color="#000000" joinstyle="miter"/>
                <v:imagedata o:title=""/>
                <o:lock v:ext="edit" aspectratio="f"/>
                <v:textbox>
                  <w:txbxContent>
                    <w:p w14:paraId="30787177">
                      <w:pPr>
                        <w:rPr>
                          <w:rFonts w:hint="default" w:eastAsia="宋体"/>
                          <w:sz w:val="20"/>
                          <w:szCs w:val="22"/>
                          <w:lang w:val="en-US" w:eastAsia="zh-CN"/>
                        </w:rPr>
                      </w:pPr>
                      <w:r>
                        <w:rPr>
                          <w:rFonts w:hint="eastAsia"/>
                          <w:sz w:val="20"/>
                          <w:szCs w:val="22"/>
                          <w:lang w:val="en-US" w:eastAsia="zh-CN"/>
                        </w:rPr>
                        <w:t>红花寺村段</w:t>
                      </w:r>
                    </w:p>
                  </w:txbxContent>
                </v:textbox>
              </v:shape>
            </w:pict>
          </mc:Fallback>
        </mc:AlternateContent>
      </w:r>
      <w:r>
        <w:rPr>
          <w:rFonts w:hint="eastAsia" w:ascii="Times New Roman" w:hAnsi="Times New Roman" w:eastAsia="宋体" w:cs="Times New Roman"/>
          <w:b/>
          <w:bCs/>
          <w:color w:val="auto"/>
          <w:sz w:val="21"/>
          <w:szCs w:val="21"/>
          <w:lang w:val="en-US" w:eastAsia="zh-CN"/>
        </w:rPr>
        <mc:AlternateContent>
          <mc:Choice Requires="wps">
            <w:drawing>
              <wp:anchor distT="0" distB="0" distL="114300" distR="114300" simplePos="0" relativeHeight="251663360" behindDoc="0" locked="0" layoutInCell="1" allowOverlap="1">
                <wp:simplePos x="0" y="0"/>
                <wp:positionH relativeFrom="column">
                  <wp:posOffset>3481705</wp:posOffset>
                </wp:positionH>
                <wp:positionV relativeFrom="paragraph">
                  <wp:posOffset>-2527935</wp:posOffset>
                </wp:positionV>
                <wp:extent cx="1136650" cy="335915"/>
                <wp:effectExtent l="4445" t="5080" r="20955" b="287655"/>
                <wp:wrapNone/>
                <wp:docPr id="7" name="自选图形 40"/>
                <wp:cNvGraphicFramePr/>
                <a:graphic xmlns:a="http://schemas.openxmlformats.org/drawingml/2006/main">
                  <a:graphicData uri="http://schemas.microsoft.com/office/word/2010/wordprocessingShape">
                    <wps:wsp>
                      <wps:cNvSpPr/>
                      <wps:spPr>
                        <a:xfrm>
                          <a:off x="0" y="0"/>
                          <a:ext cx="1136650" cy="335915"/>
                        </a:xfrm>
                        <a:prstGeom prst="wedgeEllipseCallout">
                          <a:avLst>
                            <a:gd name="adj1" fmla="val -44287"/>
                            <a:gd name="adj2" fmla="val 125847"/>
                          </a:avLst>
                        </a:prstGeom>
                        <a:noFill/>
                        <a:ln w="9525" cap="flat" cmpd="sng">
                          <a:solidFill>
                            <a:srgbClr val="000000"/>
                          </a:solidFill>
                          <a:prstDash val="solid"/>
                          <a:miter/>
                          <a:headEnd type="none" w="med" len="med"/>
                          <a:tailEnd type="none" w="med" len="med"/>
                        </a:ln>
                      </wps:spPr>
                      <wps:txbx>
                        <w:txbxContent>
                          <w:p w14:paraId="3D213CF7">
                            <w:pPr>
                              <w:rPr>
                                <w:rFonts w:hint="default" w:eastAsia="宋体"/>
                                <w:sz w:val="20"/>
                                <w:szCs w:val="22"/>
                                <w:lang w:val="en-US" w:eastAsia="zh-CN"/>
                              </w:rPr>
                            </w:pPr>
                            <w:r>
                              <w:rPr>
                                <w:rFonts w:hint="eastAsia"/>
                                <w:sz w:val="20"/>
                                <w:szCs w:val="22"/>
                                <w:lang w:val="en-US" w:eastAsia="zh-CN"/>
                              </w:rPr>
                              <w:t>凳槽村段</w:t>
                            </w:r>
                          </w:p>
                        </w:txbxContent>
                      </wps:txbx>
                      <wps:bodyPr wrap="square" upright="1"/>
                    </wps:wsp>
                  </a:graphicData>
                </a:graphic>
              </wp:anchor>
            </w:drawing>
          </mc:Choice>
          <mc:Fallback>
            <w:pict>
              <v:shape id="自选图形 40" o:spid="_x0000_s1026" o:spt="63" type="#_x0000_t63" style="position:absolute;left:0pt;margin-left:274.15pt;margin-top:-199.05pt;height:26.45pt;width:89.5pt;z-index:251663360;mso-width-relative:page;mso-height-relative:page;" filled="f" stroked="t" coordsize="21600,21600" o:gfxdata="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XQzcTcAAAADQEAAA8AAAAAAAAAAQAg&#10;AAAAIgAAAGRycy9kb3ducmV2LnhtbFBLAQIUABQAAAAIAIdO4kBJMCkqQwIAAHcEAAAOAAAAAAAA&#10;AAEAIAAAACsBAABkcnMvZTJvRG9jLnhtbFBLBQYAAAAABgAGAFkBAADgBQAAAAA=&#10;" adj="1234,37983">
                <v:fill on="f" focussize="0,0"/>
                <v:stroke color="#000000" joinstyle="miter"/>
                <v:imagedata o:title=""/>
                <o:lock v:ext="edit" aspectratio="f"/>
                <v:textbox>
                  <w:txbxContent>
                    <w:p w14:paraId="3D213CF7">
                      <w:pPr>
                        <w:rPr>
                          <w:rFonts w:hint="default" w:eastAsia="宋体"/>
                          <w:sz w:val="20"/>
                          <w:szCs w:val="22"/>
                          <w:lang w:val="en-US" w:eastAsia="zh-CN"/>
                        </w:rPr>
                      </w:pPr>
                      <w:r>
                        <w:rPr>
                          <w:rFonts w:hint="eastAsia"/>
                          <w:sz w:val="20"/>
                          <w:szCs w:val="22"/>
                          <w:lang w:val="en-US" w:eastAsia="zh-CN"/>
                        </w:rPr>
                        <w:t>凳槽村段</w:t>
                      </w:r>
                    </w:p>
                  </w:txbxContent>
                </v:textbox>
              </v:shape>
            </w:pict>
          </mc:Fallback>
        </mc:AlternateContent>
      </w:r>
    </w:p>
    <w:p w14:paraId="6B9403F6">
      <w:pPr>
        <w:spacing w:line="240" w:lineRule="auto"/>
        <w:ind w:right="-38" w:rightChars="-18" w:firstLine="48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 xml:space="preserve">图1-1  </w:t>
      </w:r>
      <w:r>
        <w:rPr>
          <w:rFonts w:hint="eastAsia" w:cs="Times New Roman"/>
          <w:b/>
          <w:bCs/>
          <w:color w:val="auto"/>
          <w:sz w:val="21"/>
          <w:szCs w:val="21"/>
          <w:lang w:val="en-US" w:eastAsia="zh-CN"/>
        </w:rPr>
        <w:t>人工湿地与</w:t>
      </w:r>
      <w:r>
        <w:rPr>
          <w:rFonts w:hint="eastAsia" w:ascii="Times New Roman" w:hAnsi="Times New Roman" w:eastAsia="宋体" w:cs="Times New Roman"/>
          <w:b/>
          <w:bCs/>
          <w:color w:val="auto"/>
          <w:sz w:val="21"/>
          <w:szCs w:val="21"/>
          <w:lang w:val="en-US" w:eastAsia="zh-CN"/>
        </w:rPr>
        <w:t>生态环境管控单元分类对照分析示意图</w:t>
      </w:r>
    </w:p>
    <w:p w14:paraId="58217C9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lang w:val="en-US" w:eastAsia="zh-CN"/>
        </w:rPr>
      </w:pPr>
    </w:p>
    <w:p w14:paraId="2A07478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drawing>
          <wp:inline distT="0" distB="0" distL="114300" distR="114300">
            <wp:extent cx="5674995" cy="7508240"/>
            <wp:effectExtent l="0" t="0" r="1905" b="1651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9"/>
                    <a:stretch>
                      <a:fillRect/>
                    </a:stretch>
                  </pic:blipFill>
                  <pic:spPr>
                    <a:xfrm>
                      <a:off x="0" y="0"/>
                      <a:ext cx="5674995" cy="7508240"/>
                    </a:xfrm>
                    <a:prstGeom prst="rect">
                      <a:avLst/>
                    </a:prstGeom>
                    <a:noFill/>
                    <a:ln>
                      <a:noFill/>
                    </a:ln>
                  </pic:spPr>
                </pic:pic>
              </a:graphicData>
            </a:graphic>
          </wp:inline>
        </w:drawing>
      </w:r>
    </w:p>
    <w:p w14:paraId="1CD833B4">
      <w:pPr>
        <w:jc w:val="center"/>
        <w:rPr>
          <w:rFonts w:hint="default"/>
          <w:lang w:val="en-US" w:eastAsia="zh-CN"/>
        </w:rPr>
        <w:sectPr>
          <w:pgSz w:w="11906" w:h="16838"/>
          <w:pgMar w:top="1701" w:right="1474" w:bottom="1701" w:left="1474" w:header="851" w:footer="1077" w:gutter="0"/>
          <w:pgBorders>
            <w:top w:val="none" w:sz="0" w:space="0"/>
            <w:left w:val="none" w:sz="0" w:space="0"/>
            <w:bottom w:val="none" w:sz="0" w:space="0"/>
            <w:right w:val="none" w:sz="0" w:space="0"/>
          </w:pgBorders>
          <w:pgNumType w:fmt="decimal"/>
          <w:cols w:space="0" w:num="1"/>
          <w:rtlGutter w:val="0"/>
          <w:docGrid w:linePitch="312" w:charSpace="0"/>
        </w:sectPr>
      </w:pPr>
      <w:r>
        <w:rPr>
          <w:rFonts w:hint="eastAsia" w:ascii="Times New Roman" w:hAnsi="Times New Roman" w:eastAsia="宋体" w:cs="Times New Roman"/>
          <w:b/>
          <w:bCs/>
          <w:color w:val="auto"/>
          <w:sz w:val="21"/>
          <w:szCs w:val="21"/>
          <w:lang w:val="en-US" w:eastAsia="zh-CN"/>
        </w:rPr>
        <w:t>图1-</w:t>
      </w:r>
      <w:r>
        <w:rPr>
          <w:rFonts w:hint="eastAsia" w:eastAsia="宋体" w:cs="Times New Roman"/>
          <w:b/>
          <w:bCs/>
          <w:color w:val="auto"/>
          <w:sz w:val="21"/>
          <w:szCs w:val="21"/>
          <w:lang w:val="en-US" w:eastAsia="zh-CN"/>
        </w:rPr>
        <w:t>2</w:t>
      </w:r>
      <w:r>
        <w:rPr>
          <w:rFonts w:hint="eastAsia" w:ascii="Times New Roman" w:hAnsi="Times New Roman" w:eastAsia="宋体" w:cs="Times New Roman"/>
          <w:b/>
          <w:bCs/>
          <w:color w:val="auto"/>
          <w:sz w:val="21"/>
          <w:szCs w:val="21"/>
          <w:lang w:val="en-US" w:eastAsia="zh-CN"/>
        </w:rPr>
        <w:t xml:space="preserve">  </w:t>
      </w:r>
      <w:r>
        <w:rPr>
          <w:rFonts w:hint="eastAsia" w:cs="Times New Roman"/>
          <w:b/>
          <w:bCs/>
          <w:color w:val="auto"/>
          <w:sz w:val="21"/>
          <w:szCs w:val="21"/>
          <w:lang w:val="en-US" w:eastAsia="zh-CN"/>
        </w:rPr>
        <w:t>护岸工程与</w:t>
      </w:r>
      <w:r>
        <w:rPr>
          <w:rFonts w:hint="eastAsia" w:ascii="Times New Roman" w:hAnsi="Times New Roman" w:eastAsia="宋体" w:cs="Times New Roman"/>
          <w:b/>
          <w:bCs/>
          <w:color w:val="auto"/>
          <w:sz w:val="21"/>
          <w:szCs w:val="21"/>
          <w:lang w:val="en-US" w:eastAsia="zh-CN"/>
        </w:rPr>
        <w:t>生态环境管控单元分类对照分析示意图</w:t>
      </w:r>
    </w:p>
    <w:tbl>
      <w:tblPr>
        <w:tblStyle w:val="1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48"/>
        <w:gridCol w:w="12804"/>
      </w:tblGrid>
      <w:tr w14:paraId="236C68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85" w:hRule="atLeast"/>
          <w:jc w:val="center"/>
        </w:trPr>
        <w:tc>
          <w:tcPr>
            <w:tcW w:w="848" w:type="dxa"/>
            <w:noWrap w:val="0"/>
            <w:vAlign w:val="center"/>
          </w:tcPr>
          <w:p w14:paraId="7E18568E">
            <w:pPr>
              <w:autoSpaceDE w:val="0"/>
              <w:autoSpaceDN w:val="0"/>
              <w:adjustRightInd w:val="0"/>
              <w:snapToGrid w:val="0"/>
              <w:jc w:val="center"/>
              <w:rPr>
                <w:color w:val="auto"/>
              </w:rPr>
            </w:pPr>
            <w:r>
              <w:rPr>
                <w:color w:val="auto"/>
                <w:kern w:val="0"/>
                <w:sz w:val="24"/>
              </w:rPr>
              <w:t>其他符合性分析</w:t>
            </w:r>
          </w:p>
        </w:tc>
        <w:tc>
          <w:tcPr>
            <w:tcW w:w="12804" w:type="dxa"/>
            <w:noWrap w:val="0"/>
            <w:vAlign w:val="center"/>
          </w:tcPr>
          <w:p w14:paraId="5B7681B3">
            <w:pPr>
              <w:numPr>
                <w:ilvl w:val="0"/>
                <w:numId w:val="1"/>
              </w:numPr>
              <w:autoSpaceDE w:val="0"/>
              <w:autoSpaceDN w:val="0"/>
              <w:spacing w:line="360" w:lineRule="auto"/>
              <w:ind w:firstLine="480" w:firstLineChars="200"/>
              <w:contextualSpacing/>
              <w:rPr>
                <w:rFonts w:hint="eastAsia" w:ascii="Times New Roman" w:hAnsi="Times New Roman" w:eastAsia="宋体" w:cs="Times New Roman"/>
                <w:color w:val="auto"/>
                <w:sz w:val="24"/>
                <w:szCs w:val="32"/>
                <w:lang w:val="en-US" w:eastAsia="zh-CN"/>
              </w:rPr>
            </w:pPr>
            <w:r>
              <w:rPr>
                <w:rFonts w:hint="eastAsia" w:ascii="Times New Roman" w:hAnsi="Times New Roman" w:eastAsia="宋体" w:cs="Times New Roman"/>
                <w:color w:val="auto"/>
                <w:sz w:val="24"/>
                <w:szCs w:val="32"/>
                <w:lang w:val="en-US" w:eastAsia="zh-CN"/>
              </w:rPr>
              <w:t>一表</w:t>
            </w:r>
          </w:p>
          <w:p w14:paraId="79C830D7">
            <w:pPr>
              <w:spacing w:line="240" w:lineRule="auto"/>
              <w:ind w:right="-38" w:rightChars="-18" w:firstLine="48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表1-</w:t>
            </w:r>
            <w:r>
              <w:rPr>
                <w:rFonts w:hint="eastAsia" w:cs="Times New Roman"/>
                <w:b/>
                <w:bCs/>
                <w:color w:val="auto"/>
                <w:sz w:val="21"/>
                <w:szCs w:val="21"/>
                <w:lang w:val="en-US" w:eastAsia="zh-CN"/>
              </w:rPr>
              <w:t>2</w:t>
            </w:r>
            <w:r>
              <w:rPr>
                <w:rFonts w:hint="eastAsia" w:ascii="Times New Roman" w:hAnsi="Times New Roman" w:eastAsia="宋体" w:cs="Times New Roman"/>
                <w:b/>
                <w:bCs/>
                <w:color w:val="auto"/>
                <w:sz w:val="21"/>
                <w:szCs w:val="21"/>
                <w:lang w:val="en-US" w:eastAsia="zh-CN"/>
              </w:rPr>
              <w:t xml:space="preserve">  本工程与</w:t>
            </w:r>
            <w:r>
              <w:rPr>
                <w:rFonts w:hint="eastAsia" w:cs="Times New Roman"/>
                <w:b/>
                <w:bCs/>
                <w:color w:val="auto"/>
                <w:sz w:val="21"/>
                <w:szCs w:val="21"/>
                <w:lang w:val="en-US" w:eastAsia="zh-CN"/>
              </w:rPr>
              <w:t>陕西省</w:t>
            </w:r>
            <w:r>
              <w:rPr>
                <w:rFonts w:hint="eastAsia" w:ascii="Times New Roman" w:hAnsi="Times New Roman" w:eastAsia="宋体" w:cs="Times New Roman"/>
                <w:b/>
                <w:bCs/>
                <w:color w:val="auto"/>
                <w:sz w:val="21"/>
                <w:szCs w:val="21"/>
                <w:lang w:val="en-US" w:eastAsia="zh-CN"/>
              </w:rPr>
              <w:t>生态环境分区管控方案符合性分析</w:t>
            </w:r>
          </w:p>
          <w:tbl>
            <w:tblPr>
              <w:tblStyle w:val="16"/>
              <w:tblW w:w="125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650"/>
              <w:gridCol w:w="777"/>
              <w:gridCol w:w="733"/>
              <w:gridCol w:w="4783"/>
              <w:gridCol w:w="867"/>
              <w:gridCol w:w="3295"/>
              <w:gridCol w:w="734"/>
            </w:tblGrid>
            <w:tr w14:paraId="0A8CC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1" w:type="dxa"/>
                  <w:noWrap w:val="0"/>
                  <w:vAlign w:val="center"/>
                </w:tcPr>
                <w:p w14:paraId="609A268D">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宋体" w:cs="Times New Roman"/>
                      <w:b/>
                      <w:bCs/>
                      <w:i w:val="0"/>
                      <w:iCs w:val="0"/>
                      <w:color w:val="auto"/>
                      <w:sz w:val="21"/>
                      <w:szCs w:val="21"/>
                      <w:lang w:val="en-US" w:eastAsia="zh-CN"/>
                    </w:rPr>
                  </w:pPr>
                  <w:r>
                    <w:rPr>
                      <w:rFonts w:hint="eastAsia" w:ascii="Times New Roman" w:hAnsi="Times New Roman" w:eastAsia="宋体" w:cs="Times New Roman"/>
                      <w:b/>
                      <w:bCs/>
                      <w:i w:val="0"/>
                      <w:iCs w:val="0"/>
                      <w:color w:val="auto"/>
                      <w:sz w:val="21"/>
                      <w:szCs w:val="21"/>
                      <w:lang w:val="en-US" w:eastAsia="zh-CN"/>
                    </w:rPr>
                    <w:t>环境管控单元名称</w:t>
                  </w:r>
                </w:p>
              </w:tc>
              <w:tc>
                <w:tcPr>
                  <w:tcW w:w="650" w:type="dxa"/>
                  <w:noWrap w:val="0"/>
                  <w:vAlign w:val="center"/>
                </w:tcPr>
                <w:p w14:paraId="2989FB22">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宋体" w:cs="Times New Roman"/>
                      <w:b/>
                      <w:bCs/>
                      <w:i w:val="0"/>
                      <w:iCs w:val="0"/>
                      <w:color w:val="auto"/>
                      <w:spacing w:val="0"/>
                      <w:kern w:val="0"/>
                      <w:sz w:val="21"/>
                      <w:szCs w:val="21"/>
                      <w:lang w:val="en-US" w:eastAsia="zh-CN" w:bidi="ar"/>
                    </w:rPr>
                  </w:pPr>
                  <w:r>
                    <w:rPr>
                      <w:rFonts w:hint="eastAsia" w:ascii="Times New Roman" w:hAnsi="Times New Roman" w:eastAsia="宋体" w:cs="Times New Roman"/>
                      <w:b/>
                      <w:bCs/>
                      <w:i w:val="0"/>
                      <w:iCs w:val="0"/>
                      <w:color w:val="auto"/>
                      <w:spacing w:val="0"/>
                      <w:kern w:val="0"/>
                      <w:sz w:val="21"/>
                      <w:szCs w:val="21"/>
                      <w:lang w:val="en-US" w:eastAsia="zh-CN" w:bidi="ar"/>
                    </w:rPr>
                    <w:t>市、区县</w:t>
                  </w:r>
                </w:p>
              </w:tc>
              <w:tc>
                <w:tcPr>
                  <w:tcW w:w="777" w:type="dxa"/>
                  <w:noWrap w:val="0"/>
                  <w:vAlign w:val="center"/>
                </w:tcPr>
                <w:p w14:paraId="1E1EC235">
                  <w:pPr>
                    <w:keepNext w:val="0"/>
                    <w:keepLines w:val="0"/>
                    <w:pageBreakBefore w:val="0"/>
                    <w:widowControl w:val="0"/>
                    <w:suppressLineNumbers w:val="0"/>
                    <w:kinsoku/>
                    <w:wordWrap/>
                    <w:overflowPunct/>
                    <w:topLinePunct w:val="0"/>
                    <w:autoSpaceDE/>
                    <w:autoSpaceDN/>
                    <w:bidi w:val="0"/>
                    <w:adjustRightInd/>
                    <w:snapToGrid/>
                    <w:spacing w:line="280" w:lineRule="exact"/>
                    <w:jc w:val="both"/>
                    <w:textAlignment w:val="auto"/>
                    <w:rPr>
                      <w:rFonts w:hint="default" w:ascii="Times New Roman" w:hAnsi="Times New Roman" w:eastAsia="宋体" w:cs="Times New Roman"/>
                      <w:b/>
                      <w:bCs/>
                      <w:i w:val="0"/>
                      <w:iCs w:val="0"/>
                      <w:color w:val="auto"/>
                      <w:sz w:val="21"/>
                      <w:szCs w:val="21"/>
                      <w:lang w:val="en-US" w:eastAsia="zh-CN"/>
                    </w:rPr>
                  </w:pPr>
                  <w:r>
                    <w:rPr>
                      <w:rFonts w:hint="eastAsia" w:ascii="Times New Roman" w:hAnsi="Times New Roman" w:eastAsia="宋体" w:cs="Times New Roman"/>
                      <w:b/>
                      <w:bCs/>
                      <w:i w:val="0"/>
                      <w:iCs w:val="0"/>
                      <w:color w:val="auto"/>
                      <w:sz w:val="21"/>
                      <w:szCs w:val="21"/>
                      <w:lang w:val="en-US" w:eastAsia="zh-CN"/>
                    </w:rPr>
                    <w:t>单元要素属性</w:t>
                  </w:r>
                </w:p>
              </w:tc>
              <w:tc>
                <w:tcPr>
                  <w:tcW w:w="733" w:type="dxa"/>
                  <w:noWrap w:val="0"/>
                  <w:vAlign w:val="center"/>
                </w:tcPr>
                <w:p w14:paraId="08A526C3">
                  <w:pPr>
                    <w:keepNext w:val="0"/>
                    <w:keepLines w:val="0"/>
                    <w:pageBreakBefore w:val="0"/>
                    <w:widowControl w:val="0"/>
                    <w:suppressLineNumbers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b/>
                      <w:bCs/>
                      <w:i w:val="0"/>
                      <w:iCs w:val="0"/>
                      <w:color w:val="auto"/>
                      <w:sz w:val="21"/>
                      <w:szCs w:val="21"/>
                      <w:lang w:val="en-US" w:eastAsia="zh-CN"/>
                    </w:rPr>
                  </w:pPr>
                  <w:r>
                    <w:rPr>
                      <w:rFonts w:hint="eastAsia" w:cs="Times New Roman"/>
                      <w:b/>
                      <w:bCs/>
                      <w:i w:val="0"/>
                      <w:iCs w:val="0"/>
                      <w:color w:val="auto"/>
                      <w:sz w:val="21"/>
                      <w:szCs w:val="21"/>
                      <w:lang w:val="en-US" w:eastAsia="zh-CN"/>
                    </w:rPr>
                    <w:t>管控要求分类</w:t>
                  </w:r>
                </w:p>
              </w:tc>
              <w:tc>
                <w:tcPr>
                  <w:tcW w:w="4783" w:type="dxa"/>
                  <w:noWrap w:val="0"/>
                  <w:vAlign w:val="center"/>
                </w:tcPr>
                <w:p w14:paraId="343DB011">
                  <w:pPr>
                    <w:keepNext w:val="0"/>
                    <w:keepLines w:val="0"/>
                    <w:pageBreakBefore w:val="0"/>
                    <w:widowControl w:val="0"/>
                    <w:suppressLineNumbers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b/>
                      <w:bCs/>
                      <w:i w:val="0"/>
                      <w:iCs w:val="0"/>
                      <w:color w:val="auto"/>
                      <w:sz w:val="21"/>
                      <w:szCs w:val="21"/>
                      <w:lang w:val="en-US" w:eastAsia="zh-CN"/>
                    </w:rPr>
                  </w:pPr>
                  <w:r>
                    <w:rPr>
                      <w:rFonts w:hint="eastAsia" w:ascii="Times New Roman" w:hAnsi="Times New Roman" w:eastAsia="宋体" w:cs="Times New Roman"/>
                      <w:b/>
                      <w:bCs/>
                      <w:i w:val="0"/>
                      <w:iCs w:val="0"/>
                      <w:color w:val="auto"/>
                      <w:sz w:val="21"/>
                      <w:szCs w:val="21"/>
                      <w:lang w:val="en-US" w:eastAsia="zh-CN"/>
                    </w:rPr>
                    <w:t>管控要求</w:t>
                  </w:r>
                </w:p>
              </w:tc>
              <w:tc>
                <w:tcPr>
                  <w:tcW w:w="867" w:type="dxa"/>
                  <w:noWrap w:val="0"/>
                  <w:vAlign w:val="center"/>
                </w:tcPr>
                <w:p w14:paraId="623E5E72">
                  <w:pPr>
                    <w:keepNext w:val="0"/>
                    <w:keepLines w:val="0"/>
                    <w:pageBreakBefore w:val="0"/>
                    <w:widowControl w:val="0"/>
                    <w:suppressLineNumbers w:val="0"/>
                    <w:kinsoku/>
                    <w:wordWrap/>
                    <w:overflowPunct/>
                    <w:topLinePunct w:val="0"/>
                    <w:autoSpaceDE/>
                    <w:autoSpaceDN/>
                    <w:bidi w:val="0"/>
                    <w:adjustRightInd/>
                    <w:snapToGrid/>
                    <w:spacing w:line="280" w:lineRule="exact"/>
                    <w:jc w:val="both"/>
                    <w:textAlignment w:val="auto"/>
                    <w:rPr>
                      <w:rFonts w:hint="default" w:ascii="Times New Roman" w:hAnsi="Times New Roman" w:eastAsia="宋体" w:cs="Times New Roman"/>
                      <w:b/>
                      <w:bCs/>
                      <w:i w:val="0"/>
                      <w:iCs w:val="0"/>
                      <w:color w:val="auto"/>
                      <w:sz w:val="21"/>
                      <w:szCs w:val="21"/>
                      <w:lang w:val="en-US" w:eastAsia="zh-CN"/>
                    </w:rPr>
                  </w:pPr>
                  <w:r>
                    <w:rPr>
                      <w:rFonts w:hint="eastAsia" w:cs="Times New Roman"/>
                      <w:b/>
                      <w:bCs/>
                      <w:i w:val="0"/>
                      <w:iCs w:val="0"/>
                      <w:color w:val="auto"/>
                      <w:sz w:val="21"/>
                      <w:szCs w:val="21"/>
                      <w:lang w:val="en-US" w:eastAsia="zh-CN"/>
                    </w:rPr>
                    <w:t>面积</w:t>
                  </w:r>
                  <w:r>
                    <w:rPr>
                      <w:rFonts w:hint="eastAsia" w:ascii="Times New Roman" w:hAnsi="Times New Roman" w:eastAsia="宋体" w:cs="Times New Roman"/>
                      <w:b/>
                      <w:bCs/>
                      <w:i w:val="0"/>
                      <w:iCs w:val="0"/>
                      <w:color w:val="auto"/>
                      <w:sz w:val="21"/>
                      <w:szCs w:val="21"/>
                      <w:lang w:val="en-US" w:eastAsia="zh-CN"/>
                    </w:rPr>
                    <w:t>（m）</w:t>
                  </w:r>
                </w:p>
              </w:tc>
              <w:tc>
                <w:tcPr>
                  <w:tcW w:w="3295" w:type="dxa"/>
                  <w:noWrap w:val="0"/>
                  <w:vAlign w:val="center"/>
                </w:tcPr>
                <w:p w14:paraId="438FFE6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b/>
                      <w:bCs/>
                      <w:i w:val="0"/>
                      <w:iCs w:val="0"/>
                      <w:color w:val="auto"/>
                      <w:sz w:val="21"/>
                      <w:szCs w:val="21"/>
                      <w:lang w:val="en-US" w:eastAsia="zh-CN"/>
                    </w:rPr>
                  </w:pPr>
                  <w:r>
                    <w:rPr>
                      <w:rFonts w:hint="default" w:ascii="Times New Roman" w:hAnsi="Times New Roman" w:eastAsia="宋体" w:cs="Times New Roman"/>
                      <w:b/>
                      <w:bCs/>
                      <w:i w:val="0"/>
                      <w:iCs w:val="0"/>
                      <w:color w:val="auto"/>
                      <w:sz w:val="21"/>
                      <w:szCs w:val="21"/>
                    </w:rPr>
                    <w:t>本项目情况</w:t>
                  </w:r>
                </w:p>
              </w:tc>
              <w:tc>
                <w:tcPr>
                  <w:tcW w:w="734" w:type="dxa"/>
                  <w:noWrap w:val="0"/>
                  <w:vAlign w:val="center"/>
                </w:tcPr>
                <w:p w14:paraId="3BF79FCC">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rPr>
                    <w:t>符合性</w:t>
                  </w:r>
                </w:p>
              </w:tc>
            </w:tr>
            <w:tr w14:paraId="65AE1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1" w:type="dxa"/>
                  <w:vMerge w:val="restart"/>
                  <w:noWrap w:val="0"/>
                  <w:vAlign w:val="center"/>
                </w:tcPr>
                <w:p w14:paraId="503575E3">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color w:val="auto"/>
                      <w:kern w:val="0"/>
                      <w:szCs w:val="21"/>
                      <w:lang w:val="en-US" w:eastAsia="zh-CN"/>
                    </w:rPr>
                  </w:pPr>
                  <w:r>
                    <w:rPr>
                      <w:rFonts w:hint="eastAsia"/>
                      <w:color w:val="auto"/>
                      <w:kern w:val="0"/>
                      <w:szCs w:val="21"/>
                      <w:lang w:val="en-US" w:eastAsia="zh-CN"/>
                    </w:rPr>
                    <w:t>陕西省宝鸡市陇县重点管控单元4</w:t>
                  </w:r>
                </w:p>
              </w:tc>
              <w:tc>
                <w:tcPr>
                  <w:tcW w:w="650" w:type="dxa"/>
                  <w:vMerge w:val="restart"/>
                  <w:noWrap w:val="0"/>
                  <w:vAlign w:val="center"/>
                </w:tcPr>
                <w:p w14:paraId="54C331A0">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cs="Times New Roman"/>
                      <w:color w:val="auto"/>
                      <w:spacing w:val="0"/>
                      <w:kern w:val="0"/>
                      <w:sz w:val="21"/>
                      <w:szCs w:val="21"/>
                      <w:lang w:val="en-US" w:eastAsia="zh-CN" w:bidi="ar"/>
                    </w:rPr>
                  </w:pPr>
                  <w:r>
                    <w:rPr>
                      <w:rFonts w:hint="eastAsia" w:cs="Times New Roman"/>
                      <w:color w:val="auto"/>
                      <w:spacing w:val="0"/>
                      <w:kern w:val="0"/>
                      <w:sz w:val="21"/>
                      <w:szCs w:val="21"/>
                      <w:lang w:val="en-US" w:eastAsia="zh-CN" w:bidi="ar"/>
                    </w:rPr>
                    <w:t>宝鸡市陇县</w:t>
                  </w:r>
                </w:p>
              </w:tc>
              <w:tc>
                <w:tcPr>
                  <w:tcW w:w="777" w:type="dxa"/>
                  <w:vMerge w:val="restart"/>
                  <w:noWrap w:val="0"/>
                  <w:vAlign w:val="center"/>
                </w:tcPr>
                <w:p w14:paraId="7D407C8C">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cs="Times New Roman"/>
                      <w:color w:val="auto"/>
                      <w:spacing w:val="0"/>
                      <w:kern w:val="0"/>
                      <w:sz w:val="21"/>
                      <w:szCs w:val="21"/>
                      <w:lang w:val="en-US" w:eastAsia="zh-CN" w:bidi="ar"/>
                    </w:rPr>
                  </w:pPr>
                  <w:r>
                    <w:rPr>
                      <w:rFonts w:hint="eastAsia" w:cs="Times New Roman"/>
                      <w:color w:val="auto"/>
                      <w:spacing w:val="0"/>
                      <w:kern w:val="0"/>
                      <w:sz w:val="21"/>
                      <w:szCs w:val="21"/>
                      <w:lang w:val="en-US" w:eastAsia="zh-CN" w:bidi="ar"/>
                    </w:rPr>
                    <w:t>大气环境布局敏感重点管控区</w:t>
                  </w:r>
                </w:p>
              </w:tc>
              <w:tc>
                <w:tcPr>
                  <w:tcW w:w="733" w:type="dxa"/>
                  <w:noWrap w:val="0"/>
                  <w:vAlign w:val="center"/>
                </w:tcPr>
                <w:p w14:paraId="38978E34">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280" w:lineRule="exact"/>
                    <w:ind w:leftChars="0"/>
                    <w:jc w:val="both"/>
                    <w:textAlignment w:val="auto"/>
                    <w:rPr>
                      <w:rFonts w:hint="default"/>
                      <w:color w:val="auto"/>
                      <w:kern w:val="0"/>
                      <w:szCs w:val="21"/>
                      <w:lang w:val="en-US" w:eastAsia="zh-CN"/>
                    </w:rPr>
                  </w:pPr>
                  <w:r>
                    <w:rPr>
                      <w:rFonts w:hint="eastAsia"/>
                      <w:color w:val="auto"/>
                      <w:kern w:val="0"/>
                      <w:szCs w:val="21"/>
                      <w:lang w:val="en-US" w:eastAsia="zh-CN"/>
                    </w:rPr>
                    <w:t>空间布局约束</w:t>
                  </w:r>
                </w:p>
              </w:tc>
              <w:tc>
                <w:tcPr>
                  <w:tcW w:w="4783" w:type="dxa"/>
                  <w:noWrap w:val="0"/>
                  <w:vAlign w:val="center"/>
                </w:tcPr>
                <w:p w14:paraId="653646C0">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280" w:lineRule="exact"/>
                    <w:ind w:leftChars="0"/>
                    <w:jc w:val="both"/>
                    <w:textAlignment w:val="auto"/>
                    <w:rPr>
                      <w:rFonts w:hint="eastAsia" w:ascii="Times New Roman" w:hAnsi="Times New Roman" w:eastAsia="宋体" w:cs="Times New Roman"/>
                      <w:color w:val="auto"/>
                      <w:sz w:val="21"/>
                      <w:szCs w:val="21"/>
                      <w:lang w:val="en-US" w:eastAsia="zh-CN"/>
                    </w:rPr>
                  </w:pPr>
                  <w:r>
                    <w:rPr>
                      <w:rFonts w:hint="eastAsia" w:eastAsia="宋体"/>
                      <w:color w:val="auto"/>
                      <w:kern w:val="0"/>
                      <w:szCs w:val="21"/>
                      <w:lang w:val="en-US" w:eastAsia="zh-CN"/>
                    </w:rPr>
                    <w:t>大气环境布局敏感重点管控区：1.严格控制新增《陕西省</w:t>
                  </w:r>
                  <w:r>
                    <w:rPr>
                      <w:rFonts w:hint="eastAsia"/>
                      <w:color w:val="auto"/>
                      <w:kern w:val="0"/>
                      <w:szCs w:val="21"/>
                      <w:lang w:val="en-US" w:eastAsia="zh-CN"/>
                    </w:rPr>
                    <w:t>″</w:t>
                  </w:r>
                  <w:r>
                    <w:rPr>
                      <w:rFonts w:hint="eastAsia" w:eastAsia="宋体"/>
                      <w:color w:val="auto"/>
                      <w:kern w:val="0"/>
                      <w:szCs w:val="21"/>
                      <w:lang w:val="en-US" w:eastAsia="zh-CN"/>
                    </w:rPr>
                    <w:t>两高</w:t>
                  </w:r>
                  <w:r>
                    <w:rPr>
                      <w:rFonts w:hint="eastAsia"/>
                      <w:color w:val="auto"/>
                      <w:kern w:val="0"/>
                      <w:szCs w:val="21"/>
                      <w:lang w:val="en-US" w:eastAsia="zh-CN"/>
                    </w:rPr>
                    <w:t>″</w:t>
                  </w:r>
                  <w:r>
                    <w:rPr>
                      <w:rFonts w:hint="eastAsia" w:eastAsia="宋体"/>
                      <w:color w:val="auto"/>
                      <w:kern w:val="0"/>
                      <w:szCs w:val="21"/>
                      <w:lang w:val="en-US" w:eastAsia="zh-CN"/>
                    </w:rPr>
                    <w:t>项目管理暂行目录》行业项目（民生等项目除外，后续对</w:t>
                  </w:r>
                  <w:r>
                    <w:rPr>
                      <w:rFonts w:hint="eastAsia"/>
                      <w:color w:val="auto"/>
                      <w:kern w:val="0"/>
                      <w:szCs w:val="21"/>
                      <w:lang w:val="en-US" w:eastAsia="zh-CN"/>
                    </w:rPr>
                    <w:t>″</w:t>
                  </w:r>
                  <w:r>
                    <w:rPr>
                      <w:rFonts w:hint="eastAsia" w:eastAsia="宋体"/>
                      <w:color w:val="auto"/>
                      <w:kern w:val="0"/>
                      <w:szCs w:val="21"/>
                      <w:lang w:val="en-US" w:eastAsia="zh-CN"/>
                    </w:rPr>
                    <w:t>两高</w:t>
                  </w:r>
                  <w:r>
                    <w:rPr>
                      <w:rFonts w:hint="eastAsia"/>
                      <w:color w:val="auto"/>
                      <w:kern w:val="0"/>
                      <w:szCs w:val="21"/>
                      <w:lang w:val="en-US" w:eastAsia="zh-CN"/>
                    </w:rPr>
                    <w:t>″</w:t>
                  </w:r>
                  <w:r>
                    <w:rPr>
                      <w:rFonts w:hint="eastAsia" w:eastAsia="宋体"/>
                      <w:color w:val="auto"/>
                      <w:kern w:val="0"/>
                      <w:szCs w:val="21"/>
                      <w:lang w:val="en-US" w:eastAsia="zh-CN"/>
                    </w:rPr>
                    <w:t>范围国家如有新规定的，从其规定）。</w:t>
                  </w:r>
                  <w:r>
                    <w:rPr>
                      <w:rFonts w:hint="default" w:eastAsia="宋体"/>
                      <w:color w:val="auto"/>
                      <w:kern w:val="0"/>
                      <w:szCs w:val="21"/>
                      <w:lang w:val="en-US" w:eastAsia="zh-CN"/>
                    </w:rPr>
                    <w:t>2.</w:t>
                  </w:r>
                  <w:r>
                    <w:rPr>
                      <w:rFonts w:hint="eastAsia" w:eastAsia="宋体"/>
                      <w:color w:val="auto"/>
                      <w:kern w:val="0"/>
                      <w:szCs w:val="21"/>
                      <w:lang w:val="en-US" w:eastAsia="zh-CN"/>
                    </w:rPr>
                    <w:t>严禁新增钢铁、焦化、水泥熟料、平板玻璃、电解铝、氧化铝、煤化工产能。</w:t>
                  </w:r>
                  <w:r>
                    <w:rPr>
                      <w:rFonts w:hint="default" w:eastAsia="宋体"/>
                      <w:color w:val="auto"/>
                      <w:kern w:val="0"/>
                      <w:szCs w:val="21"/>
                      <w:lang w:val="en-US" w:eastAsia="zh-CN"/>
                    </w:rPr>
                    <w:t>3.</w:t>
                  </w:r>
                  <w:r>
                    <w:rPr>
                      <w:rFonts w:hint="eastAsia" w:eastAsia="宋体"/>
                      <w:color w:val="auto"/>
                      <w:kern w:val="0"/>
                      <w:szCs w:val="21"/>
                      <w:lang w:val="en-US" w:eastAsia="zh-CN"/>
                    </w:rPr>
                    <w:t>推动重污染企业搬迁入园或依法关闭，实施工业企业退城搬迁改造。</w:t>
                  </w:r>
                </w:p>
              </w:tc>
              <w:tc>
                <w:tcPr>
                  <w:tcW w:w="867" w:type="dxa"/>
                  <w:vMerge w:val="restart"/>
                  <w:noWrap w:val="0"/>
                  <w:vAlign w:val="center"/>
                </w:tcPr>
                <w:p w14:paraId="76454F4D">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color w:val="auto"/>
                      <w:kern w:val="0"/>
                      <w:szCs w:val="21"/>
                      <w:lang w:val="en-US" w:eastAsia="zh-CN"/>
                    </w:rPr>
                  </w:pPr>
                  <w:r>
                    <w:rPr>
                      <w:rFonts w:hint="eastAsia"/>
                      <w:color w:val="auto"/>
                      <w:kern w:val="0"/>
                      <w:szCs w:val="21"/>
                      <w:lang w:val="en-US" w:eastAsia="zh-CN"/>
                    </w:rPr>
                    <w:t>6105.98</w:t>
                  </w:r>
                </w:p>
              </w:tc>
              <w:tc>
                <w:tcPr>
                  <w:tcW w:w="3295" w:type="dxa"/>
                  <w:noWrap w:val="0"/>
                  <w:vAlign w:val="center"/>
                </w:tcPr>
                <w:p w14:paraId="216E137C">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both"/>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1</w:t>
                  </w:r>
                  <w:r>
                    <w:rPr>
                      <w:rFonts w:hint="eastAsia" w:ascii="Times New Roman" w:hAnsi="Times New Roman" w:eastAsia="宋体"/>
                      <w:color w:val="auto"/>
                      <w:sz w:val="21"/>
                      <w:szCs w:val="21"/>
                      <w:lang w:val="en-US" w:eastAsia="zh-CN"/>
                    </w:rPr>
                    <w:t>.</w:t>
                  </w:r>
                  <w:r>
                    <w:rPr>
                      <w:rFonts w:hint="eastAsia" w:ascii="Times New Roman" w:hAnsi="Times New Roman" w:eastAsia="宋体"/>
                      <w:color w:val="auto"/>
                      <w:sz w:val="21"/>
                      <w:szCs w:val="21"/>
                      <w:lang w:eastAsia="zh-CN"/>
                    </w:rPr>
                    <w:t>本项目</w:t>
                  </w:r>
                  <w:r>
                    <w:rPr>
                      <w:rFonts w:hint="eastAsia" w:ascii="Times New Roman" w:hAnsi="Times New Roman" w:eastAsia="宋体"/>
                      <w:color w:val="auto"/>
                      <w:sz w:val="21"/>
                      <w:szCs w:val="21"/>
                      <w:lang w:val="en-US" w:eastAsia="zh-CN"/>
                    </w:rPr>
                    <w:t>为</w:t>
                  </w:r>
                  <w:r>
                    <w:rPr>
                      <w:rFonts w:hint="eastAsia" w:eastAsia="宋体"/>
                      <w:color w:val="auto"/>
                      <w:sz w:val="21"/>
                      <w:szCs w:val="21"/>
                      <w:lang w:val="en-US" w:eastAsia="zh-CN"/>
                    </w:rPr>
                    <w:t>人工湿地水质净化工程和</w:t>
                  </w:r>
                  <w:r>
                    <w:rPr>
                      <w:rFonts w:hint="eastAsia" w:ascii="Times New Roman" w:hAnsi="Times New Roman" w:eastAsia="宋体"/>
                      <w:color w:val="auto"/>
                      <w:sz w:val="21"/>
                      <w:szCs w:val="21"/>
                      <w:lang w:val="en-US" w:eastAsia="zh-CN"/>
                    </w:rPr>
                    <w:t>防洪除涝工程，不属于</w:t>
                  </w:r>
                  <w:r>
                    <w:rPr>
                      <w:rFonts w:hint="eastAsia"/>
                      <w:color w:val="auto"/>
                      <w:sz w:val="21"/>
                      <w:szCs w:val="21"/>
                      <w:lang w:val="en-US" w:eastAsia="zh-CN"/>
                    </w:rPr>
                    <w:t>″</w:t>
                  </w:r>
                  <w:r>
                    <w:rPr>
                      <w:rFonts w:hint="eastAsia" w:ascii="Times New Roman" w:hAnsi="Times New Roman" w:eastAsia="宋体"/>
                      <w:color w:val="auto"/>
                      <w:sz w:val="21"/>
                      <w:szCs w:val="21"/>
                      <w:lang w:val="en-US" w:eastAsia="zh-CN"/>
                    </w:rPr>
                    <w:t>两高</w:t>
                  </w:r>
                  <w:r>
                    <w:rPr>
                      <w:rFonts w:hint="eastAsia"/>
                      <w:color w:val="auto"/>
                      <w:sz w:val="21"/>
                      <w:szCs w:val="21"/>
                      <w:lang w:val="en-US" w:eastAsia="zh-CN"/>
                    </w:rPr>
                    <w:t>″</w:t>
                  </w:r>
                  <w:r>
                    <w:rPr>
                      <w:rFonts w:hint="eastAsia" w:ascii="Times New Roman" w:hAnsi="Times New Roman" w:eastAsia="宋体"/>
                      <w:color w:val="auto"/>
                      <w:sz w:val="21"/>
                      <w:szCs w:val="21"/>
                      <w:lang w:val="en-US" w:eastAsia="zh-CN"/>
                    </w:rPr>
                    <w:t>项目。</w:t>
                  </w:r>
                </w:p>
                <w:p w14:paraId="24765AC4">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both"/>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2.本项目不涉及。</w:t>
                  </w:r>
                </w:p>
                <w:p w14:paraId="4184F359">
                  <w:pPr>
                    <w:numPr>
                      <w:ilvl w:val="0"/>
                      <w:numId w:val="0"/>
                    </w:numPr>
                    <w:ind w:leftChars="0"/>
                    <w:rPr>
                      <w:rFonts w:hint="default"/>
                      <w:lang w:val="en-US" w:eastAsia="zh-CN"/>
                    </w:rPr>
                  </w:pPr>
                  <w:r>
                    <w:rPr>
                      <w:rFonts w:hint="eastAsia"/>
                      <w:lang w:val="en-US" w:eastAsia="zh-CN"/>
                    </w:rPr>
                    <w:t>3.本项目不涉及。</w:t>
                  </w:r>
                </w:p>
              </w:tc>
              <w:tc>
                <w:tcPr>
                  <w:tcW w:w="734" w:type="dxa"/>
                  <w:noWrap w:val="0"/>
                  <w:vAlign w:val="center"/>
                </w:tcPr>
                <w:p w14:paraId="4DDBD2AC">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color w:val="auto"/>
                      <w:kern w:val="0"/>
                      <w:szCs w:val="21"/>
                      <w:lang w:val="en-US" w:eastAsia="zh-CN"/>
                    </w:rPr>
                  </w:pPr>
                  <w:r>
                    <w:rPr>
                      <w:rFonts w:hint="eastAsia"/>
                      <w:color w:val="auto"/>
                      <w:kern w:val="0"/>
                      <w:szCs w:val="21"/>
                      <w:lang w:val="en-US" w:eastAsia="zh-CN"/>
                    </w:rPr>
                    <w:t>符合</w:t>
                  </w:r>
                </w:p>
              </w:tc>
            </w:tr>
            <w:tr w14:paraId="6D95F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1" w:type="dxa"/>
                  <w:vMerge w:val="continue"/>
                  <w:noWrap w:val="0"/>
                  <w:vAlign w:val="center"/>
                </w:tcPr>
                <w:p w14:paraId="276CFE82">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color w:val="auto"/>
                      <w:kern w:val="0"/>
                      <w:szCs w:val="21"/>
                      <w:lang w:val="en-US" w:eastAsia="zh-CN"/>
                    </w:rPr>
                  </w:pPr>
                </w:p>
              </w:tc>
              <w:tc>
                <w:tcPr>
                  <w:tcW w:w="650" w:type="dxa"/>
                  <w:vMerge w:val="continue"/>
                  <w:noWrap w:val="0"/>
                  <w:vAlign w:val="center"/>
                </w:tcPr>
                <w:p w14:paraId="219DE6B3">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cs="Times New Roman"/>
                      <w:color w:val="auto"/>
                      <w:spacing w:val="0"/>
                      <w:kern w:val="0"/>
                      <w:sz w:val="21"/>
                      <w:szCs w:val="21"/>
                      <w:lang w:val="en-US" w:eastAsia="zh-CN" w:bidi="ar"/>
                    </w:rPr>
                  </w:pPr>
                </w:p>
              </w:tc>
              <w:tc>
                <w:tcPr>
                  <w:tcW w:w="777" w:type="dxa"/>
                  <w:vMerge w:val="continue"/>
                  <w:noWrap w:val="0"/>
                  <w:vAlign w:val="center"/>
                </w:tcPr>
                <w:p w14:paraId="23DB55A5">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cs="Times New Roman"/>
                      <w:color w:val="auto"/>
                      <w:spacing w:val="0"/>
                      <w:kern w:val="0"/>
                      <w:sz w:val="21"/>
                      <w:szCs w:val="21"/>
                      <w:lang w:val="en-US" w:eastAsia="zh-CN" w:bidi="ar"/>
                    </w:rPr>
                  </w:pPr>
                </w:p>
              </w:tc>
              <w:tc>
                <w:tcPr>
                  <w:tcW w:w="733" w:type="dxa"/>
                  <w:shd w:val="clear" w:color="auto" w:fill="auto"/>
                  <w:noWrap w:val="0"/>
                  <w:vAlign w:val="center"/>
                </w:tcPr>
                <w:p w14:paraId="312DAA33">
                  <w:pPr>
                    <w:autoSpaceDE w:val="0"/>
                    <w:autoSpaceDN w:val="0"/>
                    <w:adjustRightInd w:val="0"/>
                    <w:snapToGrid w:val="0"/>
                    <w:jc w:val="both"/>
                    <w:rPr>
                      <w:rFonts w:hint="eastAsia" w:ascii="Times New Roman" w:hAnsi="Times New Roman" w:eastAsia="宋体" w:cs="Times New Roman"/>
                      <w:color w:val="auto"/>
                      <w:kern w:val="2"/>
                      <w:sz w:val="21"/>
                      <w:szCs w:val="21"/>
                      <w:lang w:val="en-US" w:eastAsia="zh-CN" w:bidi="ar-SA"/>
                    </w:rPr>
                  </w:pPr>
                  <w:r>
                    <w:rPr>
                      <w:rFonts w:hint="eastAsia"/>
                      <w:color w:val="auto"/>
                      <w:kern w:val="0"/>
                      <w:szCs w:val="21"/>
                      <w:lang w:val="en-US" w:eastAsia="zh-CN"/>
                    </w:rPr>
                    <w:t>污染物排放管控</w:t>
                  </w:r>
                </w:p>
              </w:tc>
              <w:tc>
                <w:tcPr>
                  <w:tcW w:w="4783" w:type="dxa"/>
                  <w:shd w:val="clear" w:color="auto" w:fill="auto"/>
                  <w:noWrap w:val="0"/>
                  <w:vAlign w:val="center"/>
                </w:tcPr>
                <w:p w14:paraId="53C01849">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280" w:lineRule="exact"/>
                    <w:ind w:leftChars="0"/>
                    <w:jc w:val="both"/>
                    <w:textAlignment w:val="auto"/>
                    <w:rPr>
                      <w:rFonts w:hint="eastAsia" w:ascii="Times New Roman" w:hAnsi="Times New Roman" w:eastAsia="宋体" w:cs="Times New Roman"/>
                      <w:color w:val="auto"/>
                      <w:kern w:val="2"/>
                      <w:sz w:val="21"/>
                      <w:szCs w:val="21"/>
                      <w:lang w:val="en-US" w:eastAsia="zh-CN" w:bidi="ar-SA"/>
                    </w:rPr>
                  </w:pPr>
                  <w:r>
                    <w:rPr>
                      <w:rFonts w:hint="eastAsia" w:eastAsia="宋体"/>
                      <w:color w:val="auto"/>
                      <w:kern w:val="0"/>
                      <w:szCs w:val="21"/>
                      <w:lang w:val="en-US" w:eastAsia="zh-CN"/>
                    </w:rPr>
                    <w:t>大气环境布局敏感重点管控区：1.鼓励将老旧车辆和非道路移动机械替换为清洁能源车辆。推进新能源或清洁能源汽车使用。</w:t>
                  </w:r>
                  <w:r>
                    <w:rPr>
                      <w:rFonts w:hint="default" w:eastAsia="宋体"/>
                      <w:color w:val="auto"/>
                      <w:kern w:val="0"/>
                      <w:szCs w:val="21"/>
                      <w:lang w:val="en-US" w:eastAsia="zh-CN"/>
                    </w:rPr>
                    <w:t>2.</w:t>
                  </w:r>
                  <w:r>
                    <w:rPr>
                      <w:rFonts w:hint="eastAsia" w:eastAsia="宋体"/>
                      <w:color w:val="auto"/>
                      <w:kern w:val="0"/>
                      <w:szCs w:val="21"/>
                      <w:lang w:val="en-US" w:eastAsia="zh-CN"/>
                    </w:rPr>
                    <w:t>巩固城市建成区、县（区）平原区域散煤动态清理成效。</w:t>
                  </w:r>
                </w:p>
              </w:tc>
              <w:tc>
                <w:tcPr>
                  <w:tcW w:w="867" w:type="dxa"/>
                  <w:vMerge w:val="continue"/>
                  <w:noWrap w:val="0"/>
                  <w:vAlign w:val="center"/>
                </w:tcPr>
                <w:p w14:paraId="12E2AF32">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color w:val="auto"/>
                      <w:kern w:val="0"/>
                      <w:szCs w:val="21"/>
                      <w:lang w:val="en-US" w:eastAsia="zh-CN"/>
                    </w:rPr>
                  </w:pPr>
                </w:p>
              </w:tc>
              <w:tc>
                <w:tcPr>
                  <w:tcW w:w="3295" w:type="dxa"/>
                  <w:noWrap w:val="0"/>
                  <w:vAlign w:val="center"/>
                </w:tcPr>
                <w:p w14:paraId="6E5464B2">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both"/>
                    <w:textAlignment w:val="auto"/>
                    <w:rPr>
                      <w:rFonts w:hint="default" w:ascii="Times New Roman" w:hAnsi="Times New Roman" w:eastAsia="宋体"/>
                      <w:color w:val="auto"/>
                      <w:sz w:val="21"/>
                      <w:szCs w:val="21"/>
                      <w:lang w:val="en-US" w:eastAsia="zh-CN"/>
                    </w:rPr>
                  </w:pPr>
                  <w:r>
                    <w:rPr>
                      <w:rFonts w:hint="eastAsia" w:eastAsia="宋体"/>
                      <w:color w:val="auto"/>
                      <w:sz w:val="21"/>
                      <w:szCs w:val="21"/>
                      <w:lang w:val="en-US" w:eastAsia="zh-CN"/>
                    </w:rPr>
                    <w:t>1.本项目施工期采用清洁能源车辆和施工机械。</w:t>
                  </w:r>
                </w:p>
                <w:p w14:paraId="4C7181B0">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both"/>
                    <w:textAlignment w:val="auto"/>
                    <w:rPr>
                      <w:rFonts w:hint="default"/>
                      <w:color w:val="auto"/>
                      <w:kern w:val="0"/>
                      <w:szCs w:val="21"/>
                      <w:lang w:val="en-US" w:eastAsia="zh-CN"/>
                    </w:rPr>
                  </w:pPr>
                  <w:r>
                    <w:rPr>
                      <w:rFonts w:hint="eastAsia" w:ascii="Times New Roman" w:hAnsi="Times New Roman" w:eastAsia="宋体"/>
                      <w:color w:val="auto"/>
                      <w:sz w:val="21"/>
                      <w:szCs w:val="21"/>
                      <w:lang w:val="en-US" w:eastAsia="zh-CN"/>
                    </w:rPr>
                    <w:t>2.本项目不涉及。</w:t>
                  </w:r>
                </w:p>
              </w:tc>
              <w:tc>
                <w:tcPr>
                  <w:tcW w:w="734" w:type="dxa"/>
                  <w:noWrap w:val="0"/>
                  <w:vAlign w:val="center"/>
                </w:tcPr>
                <w:p w14:paraId="01BBDD92">
                  <w:pPr>
                    <w:numPr>
                      <w:ilvl w:val="0"/>
                      <w:numId w:val="0"/>
                    </w:numPr>
                    <w:autoSpaceDE w:val="0"/>
                    <w:autoSpaceDN w:val="0"/>
                    <w:adjustRightInd w:val="0"/>
                    <w:snapToGrid w:val="0"/>
                    <w:ind w:left="0" w:leftChars="0" w:firstLine="0" w:firstLineChars="0"/>
                    <w:jc w:val="center"/>
                    <w:rPr>
                      <w:rFonts w:hint="default"/>
                      <w:color w:val="auto"/>
                      <w:kern w:val="0"/>
                      <w:szCs w:val="21"/>
                      <w:lang w:val="en-US" w:eastAsia="zh-CN"/>
                    </w:rPr>
                  </w:pPr>
                  <w:r>
                    <w:rPr>
                      <w:rFonts w:hint="eastAsia"/>
                      <w:color w:val="auto"/>
                      <w:kern w:val="0"/>
                      <w:szCs w:val="21"/>
                      <w:lang w:val="en-US" w:eastAsia="zh-CN"/>
                    </w:rPr>
                    <w:t>符合</w:t>
                  </w:r>
                </w:p>
              </w:tc>
            </w:tr>
            <w:tr w14:paraId="5CFDC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1" w:type="dxa"/>
                  <w:vMerge w:val="continue"/>
                  <w:noWrap w:val="0"/>
                  <w:vAlign w:val="center"/>
                </w:tcPr>
                <w:p w14:paraId="0F81D234">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color w:val="auto"/>
                      <w:kern w:val="0"/>
                      <w:szCs w:val="21"/>
                      <w:lang w:val="en-US" w:eastAsia="zh-CN"/>
                    </w:rPr>
                  </w:pPr>
                </w:p>
              </w:tc>
              <w:tc>
                <w:tcPr>
                  <w:tcW w:w="650" w:type="dxa"/>
                  <w:vMerge w:val="continue"/>
                  <w:noWrap w:val="0"/>
                  <w:vAlign w:val="center"/>
                </w:tcPr>
                <w:p w14:paraId="4516C8BF">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cs="Times New Roman"/>
                      <w:color w:val="auto"/>
                      <w:spacing w:val="0"/>
                      <w:kern w:val="0"/>
                      <w:sz w:val="21"/>
                      <w:szCs w:val="21"/>
                      <w:lang w:val="en-US" w:eastAsia="zh-CN" w:bidi="ar"/>
                    </w:rPr>
                  </w:pPr>
                </w:p>
              </w:tc>
              <w:tc>
                <w:tcPr>
                  <w:tcW w:w="777" w:type="dxa"/>
                  <w:vMerge w:val="continue"/>
                  <w:noWrap w:val="0"/>
                  <w:vAlign w:val="center"/>
                </w:tcPr>
                <w:p w14:paraId="70D19B49">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cs="Times New Roman"/>
                      <w:color w:val="auto"/>
                      <w:spacing w:val="0"/>
                      <w:kern w:val="0"/>
                      <w:sz w:val="21"/>
                      <w:szCs w:val="21"/>
                      <w:lang w:val="en-US" w:eastAsia="zh-CN" w:bidi="ar"/>
                    </w:rPr>
                  </w:pPr>
                </w:p>
              </w:tc>
              <w:tc>
                <w:tcPr>
                  <w:tcW w:w="733" w:type="dxa"/>
                  <w:shd w:val="clear" w:color="auto" w:fill="auto"/>
                  <w:noWrap w:val="0"/>
                  <w:vAlign w:val="center"/>
                </w:tcPr>
                <w:p w14:paraId="0CF42DE3">
                  <w:pPr>
                    <w:autoSpaceDE w:val="0"/>
                    <w:autoSpaceDN w:val="0"/>
                    <w:adjustRightInd w:val="0"/>
                    <w:snapToGrid w:val="0"/>
                    <w:jc w:val="both"/>
                    <w:rPr>
                      <w:rFonts w:hint="eastAsia" w:ascii="Times New Roman" w:hAnsi="Times New Roman" w:eastAsia="宋体" w:cs="Times New Roman"/>
                      <w:color w:val="auto"/>
                      <w:kern w:val="2"/>
                      <w:sz w:val="21"/>
                      <w:szCs w:val="21"/>
                      <w:lang w:val="en-US" w:eastAsia="zh-CN" w:bidi="ar-SA"/>
                    </w:rPr>
                  </w:pPr>
                  <w:r>
                    <w:rPr>
                      <w:rFonts w:hint="eastAsia"/>
                      <w:color w:val="auto"/>
                      <w:kern w:val="0"/>
                      <w:szCs w:val="21"/>
                      <w:lang w:val="en-US" w:eastAsia="zh-CN"/>
                    </w:rPr>
                    <w:t>环境风险防控</w:t>
                  </w:r>
                </w:p>
              </w:tc>
              <w:tc>
                <w:tcPr>
                  <w:tcW w:w="4783" w:type="dxa"/>
                  <w:shd w:val="clear" w:color="auto" w:fill="auto"/>
                  <w:noWrap w:val="0"/>
                  <w:vAlign w:val="center"/>
                </w:tcPr>
                <w:p w14:paraId="2F2E83F8">
                  <w:pPr>
                    <w:numPr>
                      <w:ilvl w:val="0"/>
                      <w:numId w:val="0"/>
                    </w:numPr>
                    <w:autoSpaceDE w:val="0"/>
                    <w:autoSpaceDN w:val="0"/>
                    <w:adjustRightInd w:val="0"/>
                    <w:snapToGrid w:val="0"/>
                    <w:ind w:left="0" w:lef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0"/>
                      <w:szCs w:val="21"/>
                      <w:lang w:val="en-US" w:eastAsia="zh-CN"/>
                    </w:rPr>
                    <w:t>/</w:t>
                  </w:r>
                </w:p>
              </w:tc>
              <w:tc>
                <w:tcPr>
                  <w:tcW w:w="867" w:type="dxa"/>
                  <w:vMerge w:val="continue"/>
                  <w:noWrap w:val="0"/>
                  <w:vAlign w:val="center"/>
                </w:tcPr>
                <w:p w14:paraId="0F31CA98">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color w:val="auto"/>
                      <w:kern w:val="0"/>
                      <w:szCs w:val="21"/>
                      <w:lang w:val="en-US" w:eastAsia="zh-CN"/>
                    </w:rPr>
                  </w:pPr>
                </w:p>
              </w:tc>
              <w:tc>
                <w:tcPr>
                  <w:tcW w:w="3295" w:type="dxa"/>
                  <w:noWrap w:val="0"/>
                  <w:vAlign w:val="center"/>
                </w:tcPr>
                <w:p w14:paraId="50952550">
                  <w:pPr>
                    <w:numPr>
                      <w:ilvl w:val="0"/>
                      <w:numId w:val="0"/>
                    </w:numPr>
                    <w:autoSpaceDE w:val="0"/>
                    <w:autoSpaceDN w:val="0"/>
                    <w:adjustRightInd w:val="0"/>
                    <w:snapToGrid w:val="0"/>
                    <w:ind w:left="0" w:leftChars="0" w:firstLine="0" w:firstLineChars="0"/>
                    <w:jc w:val="center"/>
                    <w:rPr>
                      <w:rFonts w:hint="default"/>
                      <w:color w:val="auto"/>
                      <w:kern w:val="0"/>
                      <w:szCs w:val="21"/>
                      <w:lang w:val="en-US" w:eastAsia="zh-CN"/>
                    </w:rPr>
                  </w:pPr>
                  <w:r>
                    <w:rPr>
                      <w:rFonts w:hint="eastAsia" w:cs="Times New Roman"/>
                      <w:color w:val="auto"/>
                      <w:kern w:val="0"/>
                      <w:szCs w:val="21"/>
                      <w:lang w:val="en-US" w:eastAsia="zh-CN"/>
                    </w:rPr>
                    <w:t>/</w:t>
                  </w:r>
                </w:p>
              </w:tc>
              <w:tc>
                <w:tcPr>
                  <w:tcW w:w="734" w:type="dxa"/>
                  <w:noWrap w:val="0"/>
                  <w:vAlign w:val="center"/>
                </w:tcPr>
                <w:p w14:paraId="0FF7140F">
                  <w:pPr>
                    <w:numPr>
                      <w:ilvl w:val="0"/>
                      <w:numId w:val="0"/>
                    </w:numPr>
                    <w:autoSpaceDE w:val="0"/>
                    <w:autoSpaceDN w:val="0"/>
                    <w:adjustRightInd w:val="0"/>
                    <w:snapToGrid w:val="0"/>
                    <w:ind w:left="0" w:leftChars="0" w:firstLine="0" w:firstLineChars="0"/>
                    <w:jc w:val="center"/>
                    <w:rPr>
                      <w:rFonts w:hint="default"/>
                      <w:color w:val="auto"/>
                      <w:kern w:val="0"/>
                      <w:szCs w:val="21"/>
                      <w:lang w:val="en-US" w:eastAsia="zh-CN"/>
                    </w:rPr>
                  </w:pPr>
                  <w:r>
                    <w:rPr>
                      <w:rFonts w:hint="eastAsia" w:cs="Times New Roman"/>
                      <w:color w:val="auto"/>
                      <w:kern w:val="0"/>
                      <w:szCs w:val="21"/>
                      <w:lang w:val="en-US" w:eastAsia="zh-CN"/>
                    </w:rPr>
                    <w:t>/</w:t>
                  </w:r>
                </w:p>
              </w:tc>
            </w:tr>
            <w:tr w14:paraId="4B235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1" w:type="dxa"/>
                  <w:vMerge w:val="continue"/>
                  <w:noWrap w:val="0"/>
                  <w:vAlign w:val="center"/>
                </w:tcPr>
                <w:p w14:paraId="5990195E">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color w:val="auto"/>
                      <w:kern w:val="0"/>
                      <w:szCs w:val="21"/>
                      <w:lang w:val="en-US" w:eastAsia="zh-CN"/>
                    </w:rPr>
                  </w:pPr>
                </w:p>
              </w:tc>
              <w:tc>
                <w:tcPr>
                  <w:tcW w:w="650" w:type="dxa"/>
                  <w:vMerge w:val="continue"/>
                  <w:noWrap w:val="0"/>
                  <w:vAlign w:val="center"/>
                </w:tcPr>
                <w:p w14:paraId="34E22F9A">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cs="Times New Roman"/>
                      <w:color w:val="auto"/>
                      <w:spacing w:val="0"/>
                      <w:kern w:val="0"/>
                      <w:sz w:val="21"/>
                      <w:szCs w:val="21"/>
                      <w:lang w:val="en-US" w:eastAsia="zh-CN" w:bidi="ar"/>
                    </w:rPr>
                  </w:pPr>
                </w:p>
              </w:tc>
              <w:tc>
                <w:tcPr>
                  <w:tcW w:w="777" w:type="dxa"/>
                  <w:vMerge w:val="continue"/>
                  <w:noWrap w:val="0"/>
                  <w:vAlign w:val="center"/>
                </w:tcPr>
                <w:p w14:paraId="1C4E8B57">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cs="Times New Roman"/>
                      <w:color w:val="auto"/>
                      <w:spacing w:val="0"/>
                      <w:kern w:val="0"/>
                      <w:sz w:val="21"/>
                      <w:szCs w:val="21"/>
                      <w:lang w:val="en-US" w:eastAsia="zh-CN" w:bidi="ar"/>
                    </w:rPr>
                  </w:pPr>
                </w:p>
              </w:tc>
              <w:tc>
                <w:tcPr>
                  <w:tcW w:w="733" w:type="dxa"/>
                  <w:shd w:val="clear" w:color="auto" w:fill="auto"/>
                  <w:noWrap w:val="0"/>
                  <w:vAlign w:val="center"/>
                </w:tcPr>
                <w:p w14:paraId="6CFE5D3B">
                  <w:pPr>
                    <w:autoSpaceDE w:val="0"/>
                    <w:autoSpaceDN w:val="0"/>
                    <w:adjustRightInd w:val="0"/>
                    <w:snapToGrid w:val="0"/>
                    <w:jc w:val="both"/>
                    <w:rPr>
                      <w:rFonts w:hint="eastAsia" w:ascii="Times New Roman" w:hAnsi="Times New Roman" w:eastAsia="宋体" w:cs="Times New Roman"/>
                      <w:color w:val="auto"/>
                      <w:kern w:val="2"/>
                      <w:sz w:val="21"/>
                      <w:szCs w:val="21"/>
                      <w:lang w:val="en-US" w:eastAsia="zh-CN" w:bidi="ar-SA"/>
                    </w:rPr>
                  </w:pPr>
                  <w:r>
                    <w:rPr>
                      <w:rFonts w:hint="eastAsia"/>
                      <w:color w:val="auto"/>
                      <w:kern w:val="0"/>
                      <w:szCs w:val="21"/>
                      <w:lang w:val="en-US" w:eastAsia="zh-CN"/>
                    </w:rPr>
                    <w:t>资源开发效率要求</w:t>
                  </w:r>
                </w:p>
              </w:tc>
              <w:tc>
                <w:tcPr>
                  <w:tcW w:w="4783" w:type="dxa"/>
                  <w:shd w:val="clear" w:color="auto" w:fill="auto"/>
                  <w:noWrap w:val="0"/>
                  <w:vAlign w:val="center"/>
                </w:tcPr>
                <w:p w14:paraId="701B30B7">
                  <w:pPr>
                    <w:numPr>
                      <w:ilvl w:val="0"/>
                      <w:numId w:val="0"/>
                    </w:numPr>
                    <w:autoSpaceDE w:val="0"/>
                    <w:autoSpaceDN w:val="0"/>
                    <w:adjustRightInd w:val="0"/>
                    <w:snapToGrid w:val="0"/>
                    <w:ind w:left="0" w:lef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0"/>
                      <w:szCs w:val="21"/>
                      <w:lang w:val="en-US" w:eastAsia="zh-CN"/>
                    </w:rPr>
                    <w:t>/</w:t>
                  </w:r>
                </w:p>
              </w:tc>
              <w:tc>
                <w:tcPr>
                  <w:tcW w:w="867" w:type="dxa"/>
                  <w:vMerge w:val="continue"/>
                  <w:noWrap w:val="0"/>
                  <w:vAlign w:val="center"/>
                </w:tcPr>
                <w:p w14:paraId="319A1BD4">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color w:val="auto"/>
                      <w:kern w:val="0"/>
                      <w:szCs w:val="21"/>
                      <w:lang w:val="en-US" w:eastAsia="zh-CN"/>
                    </w:rPr>
                  </w:pPr>
                </w:p>
              </w:tc>
              <w:tc>
                <w:tcPr>
                  <w:tcW w:w="3295" w:type="dxa"/>
                  <w:noWrap w:val="0"/>
                  <w:vAlign w:val="center"/>
                </w:tcPr>
                <w:p w14:paraId="57A71FEB">
                  <w:pPr>
                    <w:numPr>
                      <w:ilvl w:val="0"/>
                      <w:numId w:val="0"/>
                    </w:numPr>
                    <w:autoSpaceDE w:val="0"/>
                    <w:autoSpaceDN w:val="0"/>
                    <w:adjustRightInd w:val="0"/>
                    <w:snapToGrid w:val="0"/>
                    <w:ind w:left="0" w:leftChars="0" w:firstLine="0" w:firstLineChars="0"/>
                    <w:jc w:val="center"/>
                    <w:rPr>
                      <w:rFonts w:hint="default"/>
                      <w:color w:val="auto"/>
                      <w:kern w:val="0"/>
                      <w:szCs w:val="21"/>
                      <w:lang w:val="en-US" w:eastAsia="zh-CN"/>
                    </w:rPr>
                  </w:pPr>
                  <w:r>
                    <w:rPr>
                      <w:rFonts w:hint="eastAsia" w:cs="Times New Roman"/>
                      <w:color w:val="auto"/>
                      <w:kern w:val="0"/>
                      <w:szCs w:val="21"/>
                      <w:lang w:val="en-US" w:eastAsia="zh-CN"/>
                    </w:rPr>
                    <w:t>/</w:t>
                  </w:r>
                </w:p>
              </w:tc>
              <w:tc>
                <w:tcPr>
                  <w:tcW w:w="734" w:type="dxa"/>
                  <w:noWrap w:val="0"/>
                  <w:vAlign w:val="center"/>
                </w:tcPr>
                <w:p w14:paraId="3C76D2F4">
                  <w:pPr>
                    <w:numPr>
                      <w:ilvl w:val="0"/>
                      <w:numId w:val="0"/>
                    </w:numPr>
                    <w:autoSpaceDE w:val="0"/>
                    <w:autoSpaceDN w:val="0"/>
                    <w:adjustRightInd w:val="0"/>
                    <w:snapToGrid w:val="0"/>
                    <w:ind w:left="0" w:leftChars="0" w:firstLine="0" w:firstLineChars="0"/>
                    <w:jc w:val="center"/>
                    <w:rPr>
                      <w:rFonts w:hint="default"/>
                      <w:color w:val="auto"/>
                      <w:kern w:val="0"/>
                      <w:szCs w:val="21"/>
                      <w:lang w:val="en-US" w:eastAsia="zh-CN"/>
                    </w:rPr>
                  </w:pPr>
                  <w:r>
                    <w:rPr>
                      <w:rFonts w:hint="eastAsia" w:cs="Times New Roman"/>
                      <w:color w:val="auto"/>
                      <w:kern w:val="0"/>
                      <w:szCs w:val="21"/>
                      <w:lang w:val="en-US" w:eastAsia="zh-CN"/>
                    </w:rPr>
                    <w:t>/</w:t>
                  </w:r>
                </w:p>
              </w:tc>
            </w:tr>
            <w:tr w14:paraId="6C295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1" w:type="dxa"/>
                  <w:vMerge w:val="restart"/>
                  <w:noWrap w:val="0"/>
                  <w:vAlign w:val="center"/>
                </w:tcPr>
                <w:p w14:paraId="7B5BD371">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color w:val="auto"/>
                      <w:kern w:val="0"/>
                      <w:szCs w:val="21"/>
                      <w:lang w:val="en-US" w:eastAsia="zh-CN"/>
                    </w:rPr>
                  </w:pPr>
                  <w:r>
                    <w:rPr>
                      <w:rFonts w:hint="eastAsia"/>
                      <w:color w:val="auto"/>
                      <w:kern w:val="0"/>
                      <w:szCs w:val="21"/>
                      <w:lang w:val="en-US" w:eastAsia="zh-CN"/>
                    </w:rPr>
                    <w:t>陕西省宝鸡市陇县重点管控单元6</w:t>
                  </w:r>
                </w:p>
              </w:tc>
              <w:tc>
                <w:tcPr>
                  <w:tcW w:w="650" w:type="dxa"/>
                  <w:vMerge w:val="restart"/>
                  <w:noWrap w:val="0"/>
                  <w:vAlign w:val="center"/>
                </w:tcPr>
                <w:p w14:paraId="02EB6F59">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cs="Times New Roman"/>
                      <w:color w:val="auto"/>
                      <w:spacing w:val="0"/>
                      <w:kern w:val="0"/>
                      <w:sz w:val="21"/>
                      <w:szCs w:val="21"/>
                      <w:lang w:val="en-US" w:eastAsia="zh-CN" w:bidi="ar"/>
                    </w:rPr>
                  </w:pPr>
                  <w:r>
                    <w:rPr>
                      <w:rFonts w:hint="eastAsia" w:cs="Times New Roman"/>
                      <w:color w:val="auto"/>
                      <w:spacing w:val="0"/>
                      <w:kern w:val="0"/>
                      <w:sz w:val="21"/>
                      <w:szCs w:val="21"/>
                      <w:lang w:val="en-US" w:eastAsia="zh-CN" w:bidi="ar"/>
                    </w:rPr>
                    <w:t>宝鸡市陇县</w:t>
                  </w:r>
                </w:p>
              </w:tc>
              <w:tc>
                <w:tcPr>
                  <w:tcW w:w="777" w:type="dxa"/>
                  <w:vMerge w:val="restart"/>
                  <w:noWrap w:val="0"/>
                  <w:vAlign w:val="center"/>
                </w:tcPr>
                <w:p w14:paraId="780C8DB9">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cs="Times New Roman"/>
                      <w:color w:val="auto"/>
                      <w:spacing w:val="0"/>
                      <w:kern w:val="0"/>
                      <w:sz w:val="21"/>
                      <w:szCs w:val="21"/>
                      <w:lang w:val="en-US" w:eastAsia="zh-CN" w:bidi="ar"/>
                    </w:rPr>
                  </w:pPr>
                  <w:r>
                    <w:rPr>
                      <w:rFonts w:hint="eastAsia" w:cs="Times New Roman"/>
                      <w:color w:val="auto"/>
                      <w:spacing w:val="0"/>
                      <w:kern w:val="0"/>
                      <w:sz w:val="21"/>
                      <w:szCs w:val="21"/>
                      <w:lang w:val="en-US" w:eastAsia="zh-CN" w:bidi="ar"/>
                    </w:rPr>
                    <w:t>大气环境布局敏感重点管控区、高污染燃料禁燃区</w:t>
                  </w:r>
                </w:p>
              </w:tc>
              <w:tc>
                <w:tcPr>
                  <w:tcW w:w="733" w:type="dxa"/>
                  <w:shd w:val="clear" w:color="auto" w:fill="auto"/>
                  <w:noWrap w:val="0"/>
                  <w:vAlign w:val="center"/>
                </w:tcPr>
                <w:p w14:paraId="22121160">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280" w:lineRule="exact"/>
                    <w:ind w:left="0" w:leftChars="0" w:firstLine="0" w:firstLineChars="0"/>
                    <w:jc w:val="both"/>
                    <w:textAlignment w:val="auto"/>
                    <w:rPr>
                      <w:rFonts w:hint="eastAsia"/>
                      <w:color w:val="auto"/>
                      <w:kern w:val="0"/>
                      <w:szCs w:val="21"/>
                      <w:lang w:val="en-US" w:eastAsia="zh-CN"/>
                    </w:rPr>
                  </w:pPr>
                  <w:r>
                    <w:rPr>
                      <w:rFonts w:hint="eastAsia"/>
                      <w:color w:val="auto"/>
                      <w:kern w:val="0"/>
                      <w:szCs w:val="21"/>
                      <w:lang w:val="en-US" w:eastAsia="zh-CN"/>
                    </w:rPr>
                    <w:t>空间布局约束</w:t>
                  </w:r>
                </w:p>
              </w:tc>
              <w:tc>
                <w:tcPr>
                  <w:tcW w:w="4783" w:type="dxa"/>
                  <w:shd w:val="clear" w:color="auto" w:fill="auto"/>
                  <w:noWrap w:val="0"/>
                  <w:vAlign w:val="center"/>
                </w:tcPr>
                <w:p w14:paraId="469D55F0">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280" w:lineRule="exact"/>
                    <w:ind w:leftChars="0"/>
                    <w:jc w:val="both"/>
                    <w:textAlignment w:val="auto"/>
                    <w:rPr>
                      <w:rFonts w:hint="eastAsia" w:cs="Times New Roman"/>
                      <w:color w:val="auto"/>
                      <w:kern w:val="0"/>
                      <w:szCs w:val="21"/>
                      <w:lang w:val="en-US" w:eastAsia="zh-CN"/>
                    </w:rPr>
                  </w:pPr>
                  <w:r>
                    <w:rPr>
                      <w:rFonts w:hint="eastAsia" w:eastAsia="宋体"/>
                      <w:color w:val="auto"/>
                      <w:kern w:val="0"/>
                      <w:szCs w:val="21"/>
                      <w:lang w:val="en-US" w:eastAsia="zh-CN"/>
                    </w:rPr>
                    <w:t>大气环境受体敏感重点管控区：1.严格控制新增《陕西省</w:t>
                  </w:r>
                  <w:r>
                    <w:rPr>
                      <w:rFonts w:hint="eastAsia"/>
                      <w:color w:val="auto"/>
                      <w:kern w:val="0"/>
                      <w:szCs w:val="21"/>
                      <w:lang w:val="en-US" w:eastAsia="zh-CN"/>
                    </w:rPr>
                    <w:t>″</w:t>
                  </w:r>
                  <w:r>
                    <w:rPr>
                      <w:rFonts w:hint="eastAsia" w:eastAsia="宋体"/>
                      <w:color w:val="auto"/>
                      <w:kern w:val="0"/>
                      <w:szCs w:val="21"/>
                      <w:lang w:val="en-US" w:eastAsia="zh-CN"/>
                    </w:rPr>
                    <w:t>两高</w:t>
                  </w:r>
                  <w:r>
                    <w:rPr>
                      <w:rFonts w:hint="eastAsia"/>
                      <w:color w:val="auto"/>
                      <w:kern w:val="0"/>
                      <w:szCs w:val="21"/>
                      <w:lang w:val="en-US" w:eastAsia="zh-CN"/>
                    </w:rPr>
                    <w:t>″</w:t>
                  </w:r>
                  <w:r>
                    <w:rPr>
                      <w:rFonts w:hint="eastAsia" w:eastAsia="宋体"/>
                      <w:color w:val="auto"/>
                      <w:kern w:val="0"/>
                      <w:szCs w:val="21"/>
                      <w:lang w:val="en-US" w:eastAsia="zh-CN"/>
                    </w:rPr>
                    <w:t>项目管理暂行目录》行业项目（民生等项目除外，后续对</w:t>
                  </w:r>
                  <w:r>
                    <w:rPr>
                      <w:rFonts w:hint="eastAsia"/>
                      <w:color w:val="auto"/>
                      <w:kern w:val="0"/>
                      <w:szCs w:val="21"/>
                      <w:lang w:val="en-US" w:eastAsia="zh-CN"/>
                    </w:rPr>
                    <w:t>″</w:t>
                  </w:r>
                  <w:r>
                    <w:rPr>
                      <w:rFonts w:hint="eastAsia" w:eastAsia="宋体"/>
                      <w:color w:val="auto"/>
                      <w:kern w:val="0"/>
                      <w:szCs w:val="21"/>
                      <w:lang w:val="en-US" w:eastAsia="zh-CN"/>
                    </w:rPr>
                    <w:t>两高</w:t>
                  </w:r>
                  <w:r>
                    <w:rPr>
                      <w:rFonts w:hint="eastAsia"/>
                      <w:color w:val="auto"/>
                      <w:kern w:val="0"/>
                      <w:szCs w:val="21"/>
                      <w:lang w:val="en-US" w:eastAsia="zh-CN"/>
                    </w:rPr>
                    <w:t>″</w:t>
                  </w:r>
                  <w:r>
                    <w:rPr>
                      <w:rFonts w:hint="eastAsia" w:eastAsia="宋体"/>
                      <w:color w:val="auto"/>
                      <w:kern w:val="0"/>
                      <w:szCs w:val="21"/>
                      <w:lang w:val="en-US" w:eastAsia="zh-CN"/>
                    </w:rPr>
                    <w:t>范围国家如有新规定的，从其规定）。</w:t>
                  </w:r>
                  <w:r>
                    <w:rPr>
                      <w:rFonts w:hint="default" w:eastAsia="宋体"/>
                      <w:color w:val="auto"/>
                      <w:kern w:val="0"/>
                      <w:szCs w:val="21"/>
                      <w:lang w:val="en-US" w:eastAsia="zh-CN"/>
                    </w:rPr>
                    <w:t>2.</w:t>
                  </w:r>
                  <w:r>
                    <w:rPr>
                      <w:rFonts w:hint="eastAsia" w:eastAsia="宋体"/>
                      <w:color w:val="auto"/>
                      <w:kern w:val="0"/>
                      <w:szCs w:val="21"/>
                      <w:lang w:val="en-US" w:eastAsia="zh-CN"/>
                    </w:rPr>
                    <w:t>严禁新增钢铁、焦化、水泥熟料、平板玻璃、电解铝、氧化铝、煤化工产能。</w:t>
                  </w:r>
                  <w:r>
                    <w:rPr>
                      <w:rFonts w:hint="default" w:eastAsia="宋体"/>
                      <w:color w:val="auto"/>
                      <w:kern w:val="0"/>
                      <w:szCs w:val="21"/>
                      <w:lang w:val="en-US" w:eastAsia="zh-CN"/>
                    </w:rPr>
                    <w:t>3.</w:t>
                  </w:r>
                  <w:r>
                    <w:rPr>
                      <w:rFonts w:hint="eastAsia" w:eastAsia="宋体"/>
                      <w:color w:val="auto"/>
                      <w:kern w:val="0"/>
                      <w:szCs w:val="21"/>
                      <w:lang w:val="en-US" w:eastAsia="zh-CN"/>
                    </w:rPr>
                    <w:t>推动重污染企业搬迁入园或依法关闭，实施工业企业退城搬迁改造。</w:t>
                  </w:r>
                  <w:r>
                    <w:rPr>
                      <w:rFonts w:hint="default" w:eastAsia="宋体"/>
                      <w:color w:val="auto"/>
                      <w:kern w:val="0"/>
                      <w:szCs w:val="21"/>
                      <w:lang w:val="en-US" w:eastAsia="zh-CN"/>
                    </w:rPr>
                    <w:t>4.</w:t>
                  </w:r>
                  <w:r>
                    <w:rPr>
                      <w:rFonts w:hint="eastAsia" w:eastAsia="宋体"/>
                      <w:color w:val="auto"/>
                      <w:kern w:val="0"/>
                      <w:szCs w:val="21"/>
                      <w:lang w:val="en-US" w:eastAsia="zh-CN"/>
                    </w:rPr>
                    <w:t>新建商住楼必须设置专用烟道，配套安装高效油烟净化设施。城市建成区全面禁止露天烧烤。严查不正常使用油烟净化设施、超标排放油烟问题。</w:t>
                  </w:r>
                </w:p>
              </w:tc>
              <w:tc>
                <w:tcPr>
                  <w:tcW w:w="867" w:type="dxa"/>
                  <w:vMerge w:val="restart"/>
                  <w:noWrap w:val="0"/>
                  <w:vAlign w:val="center"/>
                </w:tcPr>
                <w:p w14:paraId="26E9B245">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color w:val="auto"/>
                      <w:kern w:val="0"/>
                      <w:szCs w:val="21"/>
                      <w:lang w:val="en-US" w:eastAsia="zh-CN"/>
                    </w:rPr>
                  </w:pPr>
                  <w:r>
                    <w:rPr>
                      <w:rFonts w:hint="eastAsia"/>
                      <w:color w:val="auto"/>
                      <w:kern w:val="0"/>
                      <w:szCs w:val="21"/>
                      <w:lang w:val="en-US" w:eastAsia="zh-CN"/>
                    </w:rPr>
                    <w:t>8221.3</w:t>
                  </w:r>
                </w:p>
              </w:tc>
              <w:tc>
                <w:tcPr>
                  <w:tcW w:w="3295" w:type="dxa"/>
                  <w:noWrap w:val="0"/>
                  <w:vAlign w:val="center"/>
                </w:tcPr>
                <w:p w14:paraId="4FED91AB">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both"/>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1</w:t>
                  </w:r>
                  <w:r>
                    <w:rPr>
                      <w:rFonts w:hint="eastAsia" w:ascii="Times New Roman" w:hAnsi="Times New Roman" w:eastAsia="宋体"/>
                      <w:color w:val="auto"/>
                      <w:sz w:val="21"/>
                      <w:szCs w:val="21"/>
                      <w:lang w:val="en-US" w:eastAsia="zh-CN"/>
                    </w:rPr>
                    <w:t>.</w:t>
                  </w:r>
                  <w:r>
                    <w:rPr>
                      <w:rFonts w:hint="eastAsia" w:ascii="Times New Roman" w:hAnsi="Times New Roman" w:eastAsia="宋体"/>
                      <w:color w:val="auto"/>
                      <w:sz w:val="21"/>
                      <w:szCs w:val="21"/>
                      <w:lang w:eastAsia="zh-CN"/>
                    </w:rPr>
                    <w:t>本项目</w:t>
                  </w:r>
                  <w:r>
                    <w:rPr>
                      <w:rFonts w:hint="eastAsia" w:ascii="Times New Roman" w:hAnsi="Times New Roman" w:eastAsia="宋体"/>
                      <w:color w:val="auto"/>
                      <w:sz w:val="21"/>
                      <w:szCs w:val="21"/>
                      <w:lang w:val="en-US" w:eastAsia="zh-CN"/>
                    </w:rPr>
                    <w:t>为</w:t>
                  </w:r>
                  <w:r>
                    <w:rPr>
                      <w:rFonts w:hint="eastAsia" w:eastAsia="宋体"/>
                      <w:color w:val="auto"/>
                      <w:sz w:val="21"/>
                      <w:szCs w:val="21"/>
                      <w:lang w:val="en-US" w:eastAsia="zh-CN"/>
                    </w:rPr>
                    <w:t>人工湿地水质净化工程和</w:t>
                  </w:r>
                  <w:r>
                    <w:rPr>
                      <w:rFonts w:hint="eastAsia" w:ascii="Times New Roman" w:hAnsi="Times New Roman" w:eastAsia="宋体"/>
                      <w:color w:val="auto"/>
                      <w:sz w:val="21"/>
                      <w:szCs w:val="21"/>
                      <w:lang w:val="en-US" w:eastAsia="zh-CN"/>
                    </w:rPr>
                    <w:t>防洪除涝工程，不属于</w:t>
                  </w:r>
                  <w:r>
                    <w:rPr>
                      <w:rFonts w:hint="eastAsia"/>
                      <w:color w:val="auto"/>
                      <w:sz w:val="21"/>
                      <w:szCs w:val="21"/>
                      <w:lang w:val="en-US" w:eastAsia="zh-CN"/>
                    </w:rPr>
                    <w:t>″</w:t>
                  </w:r>
                  <w:r>
                    <w:rPr>
                      <w:rFonts w:hint="eastAsia" w:ascii="Times New Roman" w:hAnsi="Times New Roman" w:eastAsia="宋体"/>
                      <w:color w:val="auto"/>
                      <w:sz w:val="21"/>
                      <w:szCs w:val="21"/>
                      <w:lang w:val="en-US" w:eastAsia="zh-CN"/>
                    </w:rPr>
                    <w:t>两高</w:t>
                  </w:r>
                  <w:r>
                    <w:rPr>
                      <w:rFonts w:hint="eastAsia"/>
                      <w:color w:val="auto"/>
                      <w:sz w:val="21"/>
                      <w:szCs w:val="21"/>
                      <w:lang w:val="en-US" w:eastAsia="zh-CN"/>
                    </w:rPr>
                    <w:t>″</w:t>
                  </w:r>
                  <w:r>
                    <w:rPr>
                      <w:rFonts w:hint="eastAsia" w:ascii="Times New Roman" w:hAnsi="Times New Roman" w:eastAsia="宋体"/>
                      <w:color w:val="auto"/>
                      <w:sz w:val="21"/>
                      <w:szCs w:val="21"/>
                      <w:lang w:val="en-US" w:eastAsia="zh-CN"/>
                    </w:rPr>
                    <w:t>项目。</w:t>
                  </w:r>
                </w:p>
                <w:p w14:paraId="1D87EC35">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both"/>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2.本项目不涉及。</w:t>
                  </w:r>
                </w:p>
                <w:p w14:paraId="6E3FB904">
                  <w:pPr>
                    <w:numPr>
                      <w:ilvl w:val="0"/>
                      <w:numId w:val="0"/>
                    </w:numPr>
                    <w:autoSpaceDE w:val="0"/>
                    <w:autoSpaceDN w:val="0"/>
                    <w:adjustRightInd w:val="0"/>
                    <w:snapToGrid w:val="0"/>
                    <w:ind w:left="0" w:leftChars="0" w:firstLine="0" w:firstLineChars="0"/>
                    <w:jc w:val="both"/>
                    <w:rPr>
                      <w:rFonts w:hint="eastAsia"/>
                      <w:lang w:val="en-US" w:eastAsia="zh-CN"/>
                    </w:rPr>
                  </w:pPr>
                  <w:r>
                    <w:rPr>
                      <w:rFonts w:hint="eastAsia"/>
                      <w:lang w:val="en-US" w:eastAsia="zh-CN"/>
                    </w:rPr>
                    <w:t>3.本项目不涉及。</w:t>
                  </w:r>
                </w:p>
                <w:p w14:paraId="06476C30">
                  <w:pPr>
                    <w:numPr>
                      <w:ilvl w:val="0"/>
                      <w:numId w:val="0"/>
                    </w:numPr>
                    <w:autoSpaceDE w:val="0"/>
                    <w:autoSpaceDN w:val="0"/>
                    <w:adjustRightInd w:val="0"/>
                    <w:snapToGrid w:val="0"/>
                    <w:ind w:left="0" w:leftChars="0" w:firstLine="0" w:firstLineChars="0"/>
                    <w:jc w:val="both"/>
                    <w:rPr>
                      <w:rFonts w:hint="default"/>
                      <w:lang w:val="en-US" w:eastAsia="zh-CN"/>
                    </w:rPr>
                  </w:pPr>
                  <w:r>
                    <w:rPr>
                      <w:rFonts w:hint="eastAsia"/>
                      <w:lang w:val="en-US" w:eastAsia="zh-CN"/>
                    </w:rPr>
                    <w:t>4.本项目不涉及。</w:t>
                  </w:r>
                </w:p>
              </w:tc>
              <w:tc>
                <w:tcPr>
                  <w:tcW w:w="734" w:type="dxa"/>
                  <w:noWrap w:val="0"/>
                  <w:vAlign w:val="center"/>
                </w:tcPr>
                <w:p w14:paraId="77F0993A">
                  <w:pPr>
                    <w:numPr>
                      <w:ilvl w:val="0"/>
                      <w:numId w:val="0"/>
                    </w:numPr>
                    <w:autoSpaceDE w:val="0"/>
                    <w:autoSpaceDN w:val="0"/>
                    <w:adjustRightInd w:val="0"/>
                    <w:snapToGrid w:val="0"/>
                    <w:ind w:left="0" w:leftChars="0" w:firstLine="0" w:firstLineChars="0"/>
                    <w:jc w:val="center"/>
                    <w:rPr>
                      <w:rFonts w:hint="default" w:cs="Times New Roman"/>
                      <w:color w:val="auto"/>
                      <w:kern w:val="0"/>
                      <w:szCs w:val="21"/>
                      <w:lang w:val="en-US" w:eastAsia="zh-CN"/>
                    </w:rPr>
                  </w:pPr>
                  <w:r>
                    <w:rPr>
                      <w:rFonts w:hint="eastAsia" w:cs="Times New Roman"/>
                      <w:color w:val="auto"/>
                      <w:kern w:val="0"/>
                      <w:szCs w:val="21"/>
                      <w:lang w:val="en-US" w:eastAsia="zh-CN"/>
                    </w:rPr>
                    <w:t>符合</w:t>
                  </w:r>
                </w:p>
              </w:tc>
            </w:tr>
            <w:tr w14:paraId="56D57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1" w:type="dxa"/>
                  <w:vMerge w:val="continue"/>
                  <w:noWrap w:val="0"/>
                  <w:vAlign w:val="center"/>
                </w:tcPr>
                <w:p w14:paraId="7C1D9400">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color w:val="auto"/>
                      <w:kern w:val="0"/>
                      <w:szCs w:val="21"/>
                      <w:lang w:val="en-US" w:eastAsia="zh-CN"/>
                    </w:rPr>
                  </w:pPr>
                </w:p>
              </w:tc>
              <w:tc>
                <w:tcPr>
                  <w:tcW w:w="650" w:type="dxa"/>
                  <w:vMerge w:val="continue"/>
                  <w:noWrap w:val="0"/>
                  <w:vAlign w:val="center"/>
                </w:tcPr>
                <w:p w14:paraId="6075BFD5">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cs="Times New Roman"/>
                      <w:color w:val="auto"/>
                      <w:spacing w:val="0"/>
                      <w:kern w:val="0"/>
                      <w:sz w:val="21"/>
                      <w:szCs w:val="21"/>
                      <w:lang w:val="en-US" w:eastAsia="zh-CN" w:bidi="ar"/>
                    </w:rPr>
                  </w:pPr>
                </w:p>
              </w:tc>
              <w:tc>
                <w:tcPr>
                  <w:tcW w:w="777" w:type="dxa"/>
                  <w:vMerge w:val="continue"/>
                  <w:noWrap w:val="0"/>
                  <w:vAlign w:val="center"/>
                </w:tcPr>
                <w:p w14:paraId="30A467A6">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cs="Times New Roman"/>
                      <w:color w:val="auto"/>
                      <w:spacing w:val="0"/>
                      <w:kern w:val="0"/>
                      <w:sz w:val="21"/>
                      <w:szCs w:val="21"/>
                      <w:lang w:val="en-US" w:eastAsia="zh-CN" w:bidi="ar"/>
                    </w:rPr>
                  </w:pPr>
                </w:p>
              </w:tc>
              <w:tc>
                <w:tcPr>
                  <w:tcW w:w="733" w:type="dxa"/>
                  <w:shd w:val="clear" w:color="auto" w:fill="auto"/>
                  <w:noWrap w:val="0"/>
                  <w:vAlign w:val="center"/>
                </w:tcPr>
                <w:p w14:paraId="06862F7A">
                  <w:pPr>
                    <w:autoSpaceDE w:val="0"/>
                    <w:autoSpaceDN w:val="0"/>
                    <w:adjustRightInd w:val="0"/>
                    <w:snapToGrid w:val="0"/>
                    <w:jc w:val="both"/>
                    <w:rPr>
                      <w:rFonts w:hint="eastAsia"/>
                      <w:color w:val="auto"/>
                      <w:kern w:val="0"/>
                      <w:szCs w:val="21"/>
                      <w:lang w:val="en-US" w:eastAsia="zh-CN"/>
                    </w:rPr>
                  </w:pPr>
                  <w:r>
                    <w:rPr>
                      <w:rFonts w:hint="eastAsia"/>
                      <w:color w:val="auto"/>
                      <w:kern w:val="0"/>
                      <w:szCs w:val="21"/>
                      <w:lang w:val="en-US" w:eastAsia="zh-CN"/>
                    </w:rPr>
                    <w:t>污染物排放管控</w:t>
                  </w:r>
                </w:p>
              </w:tc>
              <w:tc>
                <w:tcPr>
                  <w:tcW w:w="4783" w:type="dxa"/>
                  <w:shd w:val="clear" w:color="auto" w:fill="auto"/>
                  <w:noWrap w:val="0"/>
                  <w:vAlign w:val="center"/>
                </w:tcPr>
                <w:p w14:paraId="6A3648DB">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280" w:lineRule="exact"/>
                    <w:ind w:leftChars="0"/>
                    <w:jc w:val="both"/>
                    <w:textAlignment w:val="auto"/>
                    <w:rPr>
                      <w:rFonts w:hint="eastAsia" w:cs="Times New Roman"/>
                      <w:color w:val="auto"/>
                      <w:kern w:val="0"/>
                      <w:szCs w:val="21"/>
                      <w:lang w:val="en-US" w:eastAsia="zh-CN"/>
                    </w:rPr>
                  </w:pPr>
                  <w:r>
                    <w:rPr>
                      <w:rFonts w:hint="eastAsia" w:eastAsia="宋体"/>
                      <w:color w:val="auto"/>
                      <w:kern w:val="0"/>
                      <w:szCs w:val="21"/>
                      <w:lang w:val="en-US" w:eastAsia="zh-CN"/>
                    </w:rPr>
                    <w:t>大气环境受体敏感重点管控区：1.城市建成区产生油烟的餐饮服务单位全部安装油烟净化装置并保持正常运行和定期维护。</w:t>
                  </w:r>
                  <w:r>
                    <w:rPr>
                      <w:rFonts w:hint="default" w:eastAsia="宋体"/>
                      <w:color w:val="auto"/>
                      <w:kern w:val="0"/>
                      <w:szCs w:val="21"/>
                      <w:lang w:val="en-US" w:eastAsia="zh-CN"/>
                    </w:rPr>
                    <w:t>2.</w:t>
                  </w:r>
                  <w:r>
                    <w:rPr>
                      <w:rFonts w:hint="eastAsia" w:eastAsia="宋体"/>
                      <w:color w:val="auto"/>
                      <w:kern w:val="0"/>
                      <w:szCs w:val="21"/>
                      <w:lang w:val="en-US" w:eastAsia="zh-CN"/>
                    </w:rPr>
                    <w:t>持续因地制宜实施</w:t>
                  </w:r>
                  <w:r>
                    <w:rPr>
                      <w:rFonts w:hint="eastAsia"/>
                      <w:color w:val="auto"/>
                      <w:kern w:val="0"/>
                      <w:szCs w:val="21"/>
                      <w:lang w:val="en-US" w:eastAsia="zh-CN"/>
                    </w:rPr>
                    <w:t>″</w:t>
                  </w:r>
                  <w:r>
                    <w:rPr>
                      <w:rFonts w:hint="eastAsia" w:eastAsia="宋体"/>
                      <w:color w:val="auto"/>
                      <w:kern w:val="0"/>
                      <w:szCs w:val="21"/>
                      <w:lang w:val="en-US" w:eastAsia="zh-CN"/>
                    </w:rPr>
                    <w:t>煤改气</w:t>
                  </w:r>
                  <w:r>
                    <w:rPr>
                      <w:rFonts w:hint="eastAsia"/>
                      <w:color w:val="auto"/>
                      <w:kern w:val="0"/>
                      <w:szCs w:val="21"/>
                      <w:lang w:val="en-US" w:eastAsia="zh-CN"/>
                    </w:rPr>
                    <w:t>″</w:t>
                  </w:r>
                  <w:r>
                    <w:rPr>
                      <w:rFonts w:hint="eastAsia" w:eastAsia="宋体"/>
                      <w:color w:val="auto"/>
                      <w:kern w:val="0"/>
                      <w:szCs w:val="21"/>
                      <w:lang w:val="en-US" w:eastAsia="zh-CN"/>
                    </w:rPr>
                    <w:t>、</w:t>
                  </w:r>
                  <w:r>
                    <w:rPr>
                      <w:rFonts w:hint="eastAsia"/>
                      <w:color w:val="auto"/>
                      <w:kern w:val="0"/>
                      <w:szCs w:val="21"/>
                      <w:lang w:val="en-US" w:eastAsia="zh-CN"/>
                    </w:rPr>
                    <w:t>″</w:t>
                  </w:r>
                  <w:r>
                    <w:rPr>
                      <w:rFonts w:hint="eastAsia" w:eastAsia="宋体"/>
                      <w:color w:val="auto"/>
                      <w:kern w:val="0"/>
                      <w:szCs w:val="21"/>
                      <w:lang w:val="en-US" w:eastAsia="zh-CN"/>
                    </w:rPr>
                    <w:t>油改气</w:t>
                  </w:r>
                  <w:r>
                    <w:rPr>
                      <w:rFonts w:hint="eastAsia"/>
                      <w:color w:val="auto"/>
                      <w:kern w:val="0"/>
                      <w:szCs w:val="21"/>
                      <w:lang w:val="en-US" w:eastAsia="zh-CN"/>
                    </w:rPr>
                    <w:t>″</w:t>
                  </w:r>
                  <w:r>
                    <w:rPr>
                      <w:rFonts w:hint="eastAsia" w:eastAsia="宋体"/>
                      <w:color w:val="auto"/>
                      <w:kern w:val="0"/>
                      <w:szCs w:val="21"/>
                      <w:lang w:val="en-US" w:eastAsia="zh-CN"/>
                    </w:rPr>
                    <w:t>、电能、地热、生物质等清洁能源取暖措施。巩固城市建成区、县（区）平原区域散煤动态清理成效。3.鼓励将老旧车辆和非道路移动机械替换为清洁能源车辆。推进新能源或清洁能源汽车使用。</w:t>
                  </w:r>
                  <w:r>
                    <w:rPr>
                      <w:rFonts w:hint="default" w:eastAsia="宋体"/>
                      <w:color w:val="auto"/>
                      <w:kern w:val="0"/>
                      <w:szCs w:val="21"/>
                      <w:lang w:val="en-US" w:eastAsia="zh-CN"/>
                    </w:rPr>
                    <w:t>4.</w:t>
                  </w:r>
                  <w:r>
                    <w:rPr>
                      <w:rFonts w:hint="eastAsia" w:eastAsia="宋体"/>
                      <w:color w:val="auto"/>
                      <w:kern w:val="0"/>
                      <w:szCs w:val="21"/>
                      <w:lang w:val="en-US" w:eastAsia="zh-CN"/>
                    </w:rPr>
                    <w:t>不再新建燃煤集中供热站。构建跨区域热电联产电厂、工业余热集中供热体系。</w:t>
                  </w:r>
                  <w:r>
                    <w:rPr>
                      <w:rFonts w:hint="default" w:eastAsia="宋体"/>
                      <w:color w:val="auto"/>
                      <w:kern w:val="0"/>
                      <w:szCs w:val="21"/>
                      <w:lang w:val="en-US" w:eastAsia="zh-CN"/>
                    </w:rPr>
                    <w:t>2025</w:t>
                  </w:r>
                  <w:r>
                    <w:rPr>
                      <w:rFonts w:hint="eastAsia" w:eastAsia="宋体"/>
                      <w:color w:val="auto"/>
                      <w:kern w:val="0"/>
                      <w:szCs w:val="21"/>
                      <w:lang w:val="en-US" w:eastAsia="zh-CN"/>
                    </w:rPr>
                    <w:t>年</w:t>
                  </w:r>
                  <w:r>
                    <w:rPr>
                      <w:rFonts w:hint="default" w:eastAsia="宋体"/>
                      <w:color w:val="auto"/>
                      <w:kern w:val="0"/>
                      <w:szCs w:val="21"/>
                      <w:lang w:val="en-US" w:eastAsia="zh-CN"/>
                    </w:rPr>
                    <w:t>10</w:t>
                  </w:r>
                  <w:r>
                    <w:rPr>
                      <w:rFonts w:hint="eastAsia" w:eastAsia="宋体"/>
                      <w:color w:val="auto"/>
                      <w:kern w:val="0"/>
                      <w:szCs w:val="21"/>
                      <w:lang w:val="en-US" w:eastAsia="zh-CN"/>
                    </w:rPr>
                    <w:t>月底前，建成大唐宝鸡二电厂向市区供热管网项目，热电联产集中供热全面替代市区燃煤供热。淘汰管网覆盖范围内的供热燃煤锅炉，原有燃煤、燃气供热锅炉用于调峰备用。</w:t>
                  </w:r>
                  <w:r>
                    <w:rPr>
                      <w:rFonts w:hint="default" w:eastAsia="宋体"/>
                      <w:color w:val="auto"/>
                      <w:kern w:val="0"/>
                      <w:szCs w:val="21"/>
                      <w:lang w:val="en-US" w:eastAsia="zh-CN"/>
                    </w:rPr>
                    <w:t>5.</w:t>
                  </w:r>
                  <w:r>
                    <w:rPr>
                      <w:rFonts w:hint="eastAsia" w:eastAsia="宋体"/>
                      <w:color w:val="auto"/>
                      <w:kern w:val="0"/>
                      <w:szCs w:val="21"/>
                      <w:lang w:val="en-US" w:eastAsia="zh-CN"/>
                    </w:rPr>
                    <w:t>市辖区及开发区新、改、扩建涉气重点行业企业应达到环保绩效</w:t>
                  </w:r>
                  <w:r>
                    <w:rPr>
                      <w:rFonts w:hint="default" w:eastAsia="宋体"/>
                      <w:color w:val="auto"/>
                      <w:kern w:val="0"/>
                      <w:szCs w:val="21"/>
                      <w:lang w:val="en-US" w:eastAsia="zh-CN"/>
                    </w:rPr>
                    <w:t>A</w:t>
                  </w:r>
                  <w:r>
                    <w:rPr>
                      <w:rFonts w:hint="eastAsia" w:eastAsia="宋体"/>
                      <w:color w:val="auto"/>
                      <w:kern w:val="0"/>
                      <w:szCs w:val="21"/>
                      <w:lang w:val="en-US" w:eastAsia="zh-CN"/>
                    </w:rPr>
                    <w:t xml:space="preserve">级、绩效引领性水平。 </w:t>
                  </w:r>
                </w:p>
              </w:tc>
              <w:tc>
                <w:tcPr>
                  <w:tcW w:w="867" w:type="dxa"/>
                  <w:vMerge w:val="continue"/>
                  <w:noWrap w:val="0"/>
                  <w:vAlign w:val="center"/>
                </w:tcPr>
                <w:p w14:paraId="550724FA">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color w:val="auto"/>
                      <w:kern w:val="0"/>
                      <w:szCs w:val="21"/>
                      <w:lang w:val="en-US" w:eastAsia="zh-CN"/>
                    </w:rPr>
                  </w:pPr>
                </w:p>
              </w:tc>
              <w:tc>
                <w:tcPr>
                  <w:tcW w:w="3295" w:type="dxa"/>
                  <w:noWrap w:val="0"/>
                  <w:vAlign w:val="center"/>
                </w:tcPr>
                <w:p w14:paraId="706746DB">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both"/>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1</w:t>
                  </w:r>
                  <w:r>
                    <w:rPr>
                      <w:rFonts w:hint="eastAsia" w:ascii="Times New Roman" w:hAnsi="Times New Roman" w:eastAsia="宋体"/>
                      <w:color w:val="auto"/>
                      <w:sz w:val="21"/>
                      <w:szCs w:val="21"/>
                      <w:lang w:val="en-US" w:eastAsia="zh-CN"/>
                    </w:rPr>
                    <w:t>.本项目不涉及。</w:t>
                  </w:r>
                </w:p>
                <w:p w14:paraId="4EF64647">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both"/>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2.本项目不涉及。</w:t>
                  </w:r>
                </w:p>
                <w:p w14:paraId="72EB7A12">
                  <w:pPr>
                    <w:numPr>
                      <w:ilvl w:val="0"/>
                      <w:numId w:val="0"/>
                    </w:numPr>
                    <w:autoSpaceDE w:val="0"/>
                    <w:autoSpaceDN w:val="0"/>
                    <w:adjustRightInd w:val="0"/>
                    <w:snapToGrid w:val="0"/>
                    <w:ind w:left="0" w:leftChars="0" w:firstLine="0" w:firstLineChars="0"/>
                    <w:jc w:val="both"/>
                    <w:rPr>
                      <w:rFonts w:hint="eastAsia"/>
                      <w:lang w:val="en-US" w:eastAsia="zh-CN"/>
                    </w:rPr>
                  </w:pPr>
                  <w:r>
                    <w:rPr>
                      <w:rFonts w:hint="eastAsia"/>
                      <w:lang w:val="en-US" w:eastAsia="zh-CN"/>
                    </w:rPr>
                    <w:t>3.</w:t>
                  </w:r>
                  <w:r>
                    <w:rPr>
                      <w:rFonts w:hint="eastAsia" w:eastAsia="宋体"/>
                      <w:color w:val="auto"/>
                      <w:sz w:val="21"/>
                      <w:szCs w:val="21"/>
                      <w:lang w:val="en-US" w:eastAsia="zh-CN"/>
                    </w:rPr>
                    <w:t>本项目施工期采用清洁能源车辆和施工机械。</w:t>
                  </w:r>
                </w:p>
                <w:p w14:paraId="393FDE46">
                  <w:pPr>
                    <w:numPr>
                      <w:ilvl w:val="0"/>
                      <w:numId w:val="0"/>
                    </w:numPr>
                    <w:autoSpaceDE w:val="0"/>
                    <w:autoSpaceDN w:val="0"/>
                    <w:adjustRightInd w:val="0"/>
                    <w:snapToGrid w:val="0"/>
                    <w:ind w:left="0" w:leftChars="0" w:firstLine="0" w:firstLineChars="0"/>
                    <w:jc w:val="both"/>
                    <w:rPr>
                      <w:rFonts w:hint="eastAsia"/>
                      <w:lang w:val="en-US" w:eastAsia="zh-CN"/>
                    </w:rPr>
                  </w:pPr>
                  <w:r>
                    <w:rPr>
                      <w:rFonts w:hint="eastAsia"/>
                      <w:lang w:val="en-US" w:eastAsia="zh-CN"/>
                    </w:rPr>
                    <w:t>4.本项目不涉及。</w:t>
                  </w:r>
                </w:p>
                <w:p w14:paraId="17531E91">
                  <w:pPr>
                    <w:numPr>
                      <w:ilvl w:val="0"/>
                      <w:numId w:val="0"/>
                    </w:numPr>
                    <w:autoSpaceDE w:val="0"/>
                    <w:autoSpaceDN w:val="0"/>
                    <w:adjustRightInd w:val="0"/>
                    <w:snapToGrid w:val="0"/>
                    <w:ind w:left="0" w:leftChars="0" w:firstLine="0" w:firstLineChars="0"/>
                    <w:jc w:val="both"/>
                    <w:rPr>
                      <w:rFonts w:hint="eastAsia"/>
                      <w:lang w:val="en-US" w:eastAsia="zh-CN"/>
                    </w:rPr>
                  </w:pPr>
                  <w:r>
                    <w:rPr>
                      <w:rFonts w:hint="eastAsia" w:eastAsia="宋体"/>
                      <w:color w:val="auto"/>
                      <w:sz w:val="21"/>
                      <w:szCs w:val="21"/>
                      <w:lang w:val="en-US" w:eastAsia="zh-CN"/>
                    </w:rPr>
                    <w:t>5.本项目不涉及。</w:t>
                  </w:r>
                </w:p>
              </w:tc>
              <w:tc>
                <w:tcPr>
                  <w:tcW w:w="734" w:type="dxa"/>
                  <w:noWrap w:val="0"/>
                  <w:vAlign w:val="center"/>
                </w:tcPr>
                <w:p w14:paraId="0BD57A4D">
                  <w:pPr>
                    <w:numPr>
                      <w:ilvl w:val="0"/>
                      <w:numId w:val="0"/>
                    </w:numPr>
                    <w:autoSpaceDE w:val="0"/>
                    <w:autoSpaceDN w:val="0"/>
                    <w:adjustRightInd w:val="0"/>
                    <w:snapToGrid w:val="0"/>
                    <w:ind w:left="0" w:leftChars="0" w:firstLine="0" w:firstLineChars="0"/>
                    <w:jc w:val="center"/>
                    <w:rPr>
                      <w:rFonts w:hint="eastAsia" w:cs="Times New Roman"/>
                      <w:color w:val="auto"/>
                      <w:kern w:val="0"/>
                      <w:szCs w:val="21"/>
                      <w:lang w:val="en-US" w:eastAsia="zh-CN"/>
                    </w:rPr>
                  </w:pPr>
                  <w:r>
                    <w:rPr>
                      <w:rFonts w:hint="eastAsia" w:cs="Times New Roman"/>
                      <w:color w:val="auto"/>
                      <w:kern w:val="0"/>
                      <w:szCs w:val="21"/>
                      <w:lang w:val="en-US" w:eastAsia="zh-CN"/>
                    </w:rPr>
                    <w:t>符合</w:t>
                  </w:r>
                </w:p>
              </w:tc>
            </w:tr>
            <w:tr w14:paraId="3018D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1" w:type="dxa"/>
                  <w:vMerge w:val="continue"/>
                  <w:noWrap w:val="0"/>
                  <w:vAlign w:val="center"/>
                </w:tcPr>
                <w:p w14:paraId="5E33B501">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color w:val="auto"/>
                      <w:kern w:val="0"/>
                      <w:szCs w:val="21"/>
                      <w:lang w:val="en-US" w:eastAsia="zh-CN"/>
                    </w:rPr>
                  </w:pPr>
                </w:p>
              </w:tc>
              <w:tc>
                <w:tcPr>
                  <w:tcW w:w="650" w:type="dxa"/>
                  <w:vMerge w:val="continue"/>
                  <w:noWrap w:val="0"/>
                  <w:vAlign w:val="center"/>
                </w:tcPr>
                <w:p w14:paraId="6AAD678F">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cs="Times New Roman"/>
                      <w:color w:val="auto"/>
                      <w:spacing w:val="0"/>
                      <w:kern w:val="0"/>
                      <w:sz w:val="21"/>
                      <w:szCs w:val="21"/>
                      <w:lang w:val="en-US" w:eastAsia="zh-CN" w:bidi="ar"/>
                    </w:rPr>
                  </w:pPr>
                </w:p>
              </w:tc>
              <w:tc>
                <w:tcPr>
                  <w:tcW w:w="777" w:type="dxa"/>
                  <w:vMerge w:val="continue"/>
                  <w:noWrap w:val="0"/>
                  <w:vAlign w:val="center"/>
                </w:tcPr>
                <w:p w14:paraId="7989678C">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cs="Times New Roman"/>
                      <w:color w:val="auto"/>
                      <w:spacing w:val="0"/>
                      <w:kern w:val="0"/>
                      <w:sz w:val="21"/>
                      <w:szCs w:val="21"/>
                      <w:lang w:val="en-US" w:eastAsia="zh-CN" w:bidi="ar"/>
                    </w:rPr>
                  </w:pPr>
                </w:p>
              </w:tc>
              <w:tc>
                <w:tcPr>
                  <w:tcW w:w="733" w:type="dxa"/>
                  <w:shd w:val="clear" w:color="auto" w:fill="auto"/>
                  <w:noWrap w:val="0"/>
                  <w:vAlign w:val="center"/>
                </w:tcPr>
                <w:p w14:paraId="19693329">
                  <w:pPr>
                    <w:autoSpaceDE w:val="0"/>
                    <w:autoSpaceDN w:val="0"/>
                    <w:adjustRightInd w:val="0"/>
                    <w:snapToGrid w:val="0"/>
                    <w:jc w:val="both"/>
                    <w:rPr>
                      <w:rFonts w:hint="eastAsia"/>
                      <w:color w:val="auto"/>
                      <w:kern w:val="0"/>
                      <w:szCs w:val="21"/>
                      <w:lang w:val="en-US" w:eastAsia="zh-CN"/>
                    </w:rPr>
                  </w:pPr>
                  <w:r>
                    <w:rPr>
                      <w:rFonts w:hint="eastAsia"/>
                      <w:color w:val="auto"/>
                      <w:kern w:val="0"/>
                      <w:szCs w:val="21"/>
                      <w:lang w:val="en-US" w:eastAsia="zh-CN"/>
                    </w:rPr>
                    <w:t>环境风险防控</w:t>
                  </w:r>
                </w:p>
              </w:tc>
              <w:tc>
                <w:tcPr>
                  <w:tcW w:w="4783" w:type="dxa"/>
                  <w:shd w:val="clear" w:color="auto" w:fill="auto"/>
                  <w:noWrap w:val="0"/>
                  <w:vAlign w:val="center"/>
                </w:tcPr>
                <w:p w14:paraId="6DC3620F">
                  <w:pPr>
                    <w:numPr>
                      <w:ilvl w:val="0"/>
                      <w:numId w:val="0"/>
                    </w:numPr>
                    <w:autoSpaceDE w:val="0"/>
                    <w:autoSpaceDN w:val="0"/>
                    <w:adjustRightInd w:val="0"/>
                    <w:snapToGrid w:val="0"/>
                    <w:ind w:left="0" w:leftChars="0" w:firstLine="0" w:firstLineChars="0"/>
                    <w:jc w:val="center"/>
                    <w:rPr>
                      <w:rFonts w:hint="default" w:cs="Times New Roman"/>
                      <w:color w:val="auto"/>
                      <w:kern w:val="0"/>
                      <w:szCs w:val="21"/>
                      <w:lang w:val="en-US" w:eastAsia="zh-CN"/>
                    </w:rPr>
                  </w:pPr>
                  <w:r>
                    <w:rPr>
                      <w:rFonts w:hint="eastAsia" w:cs="Times New Roman"/>
                      <w:color w:val="auto"/>
                      <w:kern w:val="0"/>
                      <w:szCs w:val="21"/>
                      <w:lang w:val="en-US" w:eastAsia="zh-CN"/>
                    </w:rPr>
                    <w:t>/</w:t>
                  </w:r>
                </w:p>
              </w:tc>
              <w:tc>
                <w:tcPr>
                  <w:tcW w:w="867" w:type="dxa"/>
                  <w:vMerge w:val="continue"/>
                  <w:noWrap w:val="0"/>
                  <w:vAlign w:val="center"/>
                </w:tcPr>
                <w:p w14:paraId="07090B41">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color w:val="auto"/>
                      <w:kern w:val="0"/>
                      <w:szCs w:val="21"/>
                      <w:lang w:val="en-US" w:eastAsia="zh-CN"/>
                    </w:rPr>
                  </w:pPr>
                </w:p>
              </w:tc>
              <w:tc>
                <w:tcPr>
                  <w:tcW w:w="3295" w:type="dxa"/>
                  <w:noWrap w:val="0"/>
                  <w:vAlign w:val="center"/>
                </w:tcPr>
                <w:p w14:paraId="40152EA1">
                  <w:pPr>
                    <w:numPr>
                      <w:ilvl w:val="0"/>
                      <w:numId w:val="0"/>
                    </w:numPr>
                    <w:autoSpaceDE w:val="0"/>
                    <w:autoSpaceDN w:val="0"/>
                    <w:adjustRightInd w:val="0"/>
                    <w:snapToGrid w:val="0"/>
                    <w:ind w:left="0" w:leftChars="0" w:firstLine="0" w:firstLineChars="0"/>
                    <w:jc w:val="center"/>
                    <w:rPr>
                      <w:rFonts w:hint="default" w:cs="Times New Roman"/>
                      <w:color w:val="auto"/>
                      <w:kern w:val="0"/>
                      <w:szCs w:val="21"/>
                      <w:lang w:val="en-US" w:eastAsia="zh-CN"/>
                    </w:rPr>
                  </w:pPr>
                  <w:r>
                    <w:rPr>
                      <w:rFonts w:hint="eastAsia" w:cs="Times New Roman"/>
                      <w:color w:val="auto"/>
                      <w:kern w:val="0"/>
                      <w:szCs w:val="21"/>
                      <w:lang w:val="en-US" w:eastAsia="zh-CN"/>
                    </w:rPr>
                    <w:t>/</w:t>
                  </w:r>
                </w:p>
              </w:tc>
              <w:tc>
                <w:tcPr>
                  <w:tcW w:w="734" w:type="dxa"/>
                  <w:noWrap w:val="0"/>
                  <w:vAlign w:val="center"/>
                </w:tcPr>
                <w:p w14:paraId="2A365E6F">
                  <w:pPr>
                    <w:numPr>
                      <w:ilvl w:val="0"/>
                      <w:numId w:val="0"/>
                    </w:numPr>
                    <w:autoSpaceDE w:val="0"/>
                    <w:autoSpaceDN w:val="0"/>
                    <w:adjustRightInd w:val="0"/>
                    <w:snapToGrid w:val="0"/>
                    <w:ind w:left="0" w:leftChars="0" w:firstLine="0" w:firstLineChars="0"/>
                    <w:jc w:val="center"/>
                    <w:rPr>
                      <w:rFonts w:hint="default" w:cs="Times New Roman"/>
                      <w:color w:val="auto"/>
                      <w:kern w:val="0"/>
                      <w:szCs w:val="21"/>
                      <w:lang w:val="en-US" w:eastAsia="zh-CN"/>
                    </w:rPr>
                  </w:pPr>
                  <w:r>
                    <w:rPr>
                      <w:rFonts w:hint="eastAsia" w:cs="Times New Roman"/>
                      <w:color w:val="auto"/>
                      <w:kern w:val="0"/>
                      <w:szCs w:val="21"/>
                      <w:lang w:val="en-US" w:eastAsia="zh-CN"/>
                    </w:rPr>
                    <w:t>/</w:t>
                  </w:r>
                </w:p>
              </w:tc>
            </w:tr>
            <w:tr w14:paraId="4DE57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1" w:type="dxa"/>
                  <w:vMerge w:val="continue"/>
                  <w:noWrap w:val="0"/>
                  <w:vAlign w:val="center"/>
                </w:tcPr>
                <w:p w14:paraId="3AAD9439">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color w:val="auto"/>
                      <w:kern w:val="0"/>
                      <w:szCs w:val="21"/>
                      <w:lang w:val="en-US" w:eastAsia="zh-CN"/>
                    </w:rPr>
                  </w:pPr>
                </w:p>
              </w:tc>
              <w:tc>
                <w:tcPr>
                  <w:tcW w:w="650" w:type="dxa"/>
                  <w:vMerge w:val="continue"/>
                  <w:noWrap w:val="0"/>
                  <w:vAlign w:val="center"/>
                </w:tcPr>
                <w:p w14:paraId="7E2ED44A">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cs="Times New Roman"/>
                      <w:color w:val="auto"/>
                      <w:spacing w:val="0"/>
                      <w:kern w:val="0"/>
                      <w:sz w:val="21"/>
                      <w:szCs w:val="21"/>
                      <w:lang w:val="en-US" w:eastAsia="zh-CN" w:bidi="ar"/>
                    </w:rPr>
                  </w:pPr>
                </w:p>
              </w:tc>
              <w:tc>
                <w:tcPr>
                  <w:tcW w:w="777" w:type="dxa"/>
                  <w:vMerge w:val="continue"/>
                  <w:noWrap w:val="0"/>
                  <w:vAlign w:val="center"/>
                </w:tcPr>
                <w:p w14:paraId="2AC473B9">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cs="Times New Roman"/>
                      <w:color w:val="auto"/>
                      <w:spacing w:val="0"/>
                      <w:kern w:val="0"/>
                      <w:sz w:val="21"/>
                      <w:szCs w:val="21"/>
                      <w:lang w:val="en-US" w:eastAsia="zh-CN" w:bidi="ar"/>
                    </w:rPr>
                  </w:pPr>
                </w:p>
              </w:tc>
              <w:tc>
                <w:tcPr>
                  <w:tcW w:w="733" w:type="dxa"/>
                  <w:shd w:val="clear" w:color="auto" w:fill="auto"/>
                  <w:noWrap w:val="0"/>
                  <w:vAlign w:val="center"/>
                </w:tcPr>
                <w:p w14:paraId="23EEC701">
                  <w:pPr>
                    <w:autoSpaceDE w:val="0"/>
                    <w:autoSpaceDN w:val="0"/>
                    <w:adjustRightInd w:val="0"/>
                    <w:snapToGrid w:val="0"/>
                    <w:jc w:val="both"/>
                    <w:rPr>
                      <w:rFonts w:hint="eastAsia"/>
                      <w:color w:val="auto"/>
                      <w:kern w:val="0"/>
                      <w:szCs w:val="21"/>
                      <w:lang w:val="en-US" w:eastAsia="zh-CN"/>
                    </w:rPr>
                  </w:pPr>
                  <w:r>
                    <w:rPr>
                      <w:rFonts w:hint="eastAsia"/>
                      <w:color w:val="auto"/>
                      <w:kern w:val="0"/>
                      <w:szCs w:val="21"/>
                      <w:lang w:val="en-US" w:eastAsia="zh-CN"/>
                    </w:rPr>
                    <w:t>资源开发效率要求</w:t>
                  </w:r>
                </w:p>
              </w:tc>
              <w:tc>
                <w:tcPr>
                  <w:tcW w:w="4783" w:type="dxa"/>
                  <w:shd w:val="clear" w:color="auto" w:fill="auto"/>
                  <w:noWrap w:val="0"/>
                  <w:vAlign w:val="center"/>
                </w:tcPr>
                <w:p w14:paraId="65F067EF">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280" w:lineRule="exact"/>
                    <w:ind w:leftChars="0"/>
                    <w:jc w:val="both"/>
                    <w:textAlignment w:val="auto"/>
                    <w:rPr>
                      <w:rFonts w:hint="eastAsia" w:eastAsia="宋体"/>
                      <w:color w:val="auto"/>
                      <w:kern w:val="0"/>
                      <w:szCs w:val="21"/>
                      <w:lang w:val="en-US" w:eastAsia="zh-CN"/>
                    </w:rPr>
                  </w:pPr>
                  <w:r>
                    <w:rPr>
                      <w:rFonts w:hint="eastAsia" w:eastAsia="宋体"/>
                      <w:color w:val="auto"/>
                      <w:kern w:val="0"/>
                      <w:szCs w:val="21"/>
                      <w:lang w:val="en-US" w:eastAsia="zh-CN"/>
                    </w:rPr>
                    <w:t>高污染燃料禁燃区：1.禁止销售、燃用高污染燃料（</w:t>
                  </w:r>
                  <w:r>
                    <w:rPr>
                      <w:rFonts w:hint="default" w:eastAsia="宋体"/>
                      <w:color w:val="auto"/>
                      <w:kern w:val="0"/>
                      <w:szCs w:val="21"/>
                      <w:lang w:val="en-US" w:eastAsia="zh-CN"/>
                    </w:rPr>
                    <w:t>35</w:t>
                  </w:r>
                  <w:r>
                    <w:rPr>
                      <w:rFonts w:hint="eastAsia" w:eastAsia="宋体"/>
                      <w:color w:val="auto"/>
                      <w:kern w:val="0"/>
                      <w:szCs w:val="21"/>
                      <w:lang w:val="en-US" w:eastAsia="zh-CN"/>
                    </w:rPr>
                    <w:t>蒸吨及以上锅炉、火力发电企业机组除外）。</w:t>
                  </w:r>
                  <w:r>
                    <w:rPr>
                      <w:rFonts w:hint="default" w:eastAsia="宋体"/>
                      <w:color w:val="auto"/>
                      <w:kern w:val="0"/>
                      <w:szCs w:val="21"/>
                      <w:lang w:val="en-US" w:eastAsia="zh-CN"/>
                    </w:rPr>
                    <w:t>2.</w:t>
                  </w:r>
                  <w:r>
                    <w:rPr>
                      <w:rFonts w:hint="eastAsia" w:eastAsia="宋体"/>
                      <w:color w:val="auto"/>
                      <w:kern w:val="0"/>
                      <w:szCs w:val="21"/>
                      <w:lang w:val="en-US" w:eastAsia="zh-CN"/>
                    </w:rPr>
                    <w:t>高污染燃料禁燃区执行Ⅲ类（严格）要求，禁止使用煤炭及其制品、石油焦、油页岩、原油、重油、渣油、煤焦油以及非专用锅炉或未配置高效除尘设施的专用锅炉燃用的生物质成型燃料。</w:t>
                  </w:r>
                  <w:r>
                    <w:rPr>
                      <w:rFonts w:hint="default" w:eastAsia="宋体"/>
                      <w:color w:val="auto"/>
                      <w:kern w:val="0"/>
                      <w:szCs w:val="21"/>
                      <w:lang w:val="en-US" w:eastAsia="zh-CN"/>
                    </w:rPr>
                    <w:t>3.</w:t>
                  </w:r>
                  <w:r>
                    <w:rPr>
                      <w:rFonts w:hint="eastAsia" w:eastAsia="宋体"/>
                      <w:color w:val="auto"/>
                      <w:kern w:val="0"/>
                      <w:szCs w:val="21"/>
                      <w:lang w:val="en-US" w:eastAsia="zh-CN"/>
                    </w:rPr>
                    <w:t>禁止新建、扩建燃用高污染燃料的锅炉、窑炉、炉灶等设施，不得将其他燃料燃用设施改造为高污染燃料燃用设施。</w:t>
                  </w:r>
                  <w:r>
                    <w:rPr>
                      <w:rFonts w:hint="default" w:eastAsia="宋体"/>
                      <w:color w:val="auto"/>
                      <w:kern w:val="0"/>
                      <w:szCs w:val="21"/>
                      <w:lang w:val="en-US" w:eastAsia="zh-CN"/>
                    </w:rPr>
                    <w:t>4.</w:t>
                  </w:r>
                  <w:r>
                    <w:rPr>
                      <w:rFonts w:hint="eastAsia" w:eastAsia="宋体"/>
                      <w:color w:val="auto"/>
                      <w:kern w:val="0"/>
                      <w:szCs w:val="21"/>
                      <w:lang w:val="en-US" w:eastAsia="zh-CN"/>
                    </w:rPr>
                    <w:t xml:space="preserve">禁燃区内集中供热企业必须使用符合《商品煤质量管理暂行办法》的燃煤，发电企业 </w:t>
                  </w:r>
                </w:p>
                <w:p w14:paraId="151ED590">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280" w:lineRule="exact"/>
                    <w:ind w:leftChars="0"/>
                    <w:jc w:val="both"/>
                    <w:textAlignment w:val="auto"/>
                    <w:rPr>
                      <w:rFonts w:hint="eastAsia" w:eastAsia="宋体"/>
                      <w:color w:val="auto"/>
                      <w:kern w:val="0"/>
                      <w:szCs w:val="21"/>
                      <w:lang w:val="en-US" w:eastAsia="zh-CN"/>
                    </w:rPr>
                  </w:pPr>
                  <w:r>
                    <w:rPr>
                      <w:rFonts w:hint="eastAsia" w:eastAsia="宋体"/>
                      <w:color w:val="auto"/>
                      <w:kern w:val="0"/>
                      <w:szCs w:val="21"/>
                      <w:lang w:val="en-US" w:eastAsia="zh-CN"/>
                    </w:rPr>
                    <w:t>必须使用符合《商品煤质量发电煤粉锅炉用煤》（</w:t>
                  </w:r>
                  <w:r>
                    <w:rPr>
                      <w:rFonts w:hint="default" w:eastAsia="宋体"/>
                      <w:color w:val="auto"/>
                      <w:kern w:val="0"/>
                      <w:szCs w:val="21"/>
                      <w:lang w:val="en-US" w:eastAsia="zh-CN"/>
                    </w:rPr>
                    <w:t>GB/T7562-2018</w:t>
                  </w:r>
                  <w:r>
                    <w:rPr>
                      <w:rFonts w:hint="eastAsia" w:eastAsia="宋体"/>
                      <w:color w:val="auto"/>
                      <w:kern w:val="0"/>
                      <w:szCs w:val="21"/>
                      <w:lang w:val="en-US" w:eastAsia="zh-CN"/>
                    </w:rPr>
                    <w:t>）标准的燃煤，不得擅自改用其它类型的高污染燃料，高效除尘、脱硫、脱硝设施必须正常稳定运行，确保大气污染物达标排放。</w:t>
                  </w:r>
                  <w:r>
                    <w:rPr>
                      <w:rFonts w:hint="default" w:eastAsia="宋体"/>
                      <w:color w:val="auto"/>
                      <w:kern w:val="0"/>
                      <w:szCs w:val="21"/>
                      <w:lang w:val="en-US" w:eastAsia="zh-CN"/>
                    </w:rPr>
                    <w:t>5.</w:t>
                  </w:r>
                  <w:r>
                    <w:rPr>
                      <w:rFonts w:hint="eastAsia" w:eastAsia="宋体"/>
                      <w:color w:val="auto"/>
                      <w:kern w:val="0"/>
                      <w:szCs w:val="21"/>
                      <w:lang w:val="en-US" w:eastAsia="zh-CN"/>
                    </w:rPr>
                    <w:t xml:space="preserve">禁止生产、销售和使用高污染燃料。禁止露天烧烤，禁止焦（木）炭烧烤，禁止焚烧垃圾（树叶、杂草）、沥青、油毡、橡胶、皮革等可产生有毒、有害烟 </w:t>
                  </w:r>
                </w:p>
                <w:p w14:paraId="7DC4E01E">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280" w:lineRule="exact"/>
                    <w:ind w:leftChars="0"/>
                    <w:jc w:val="both"/>
                    <w:textAlignment w:val="auto"/>
                    <w:rPr>
                      <w:rFonts w:hint="eastAsia" w:cs="Times New Roman"/>
                      <w:color w:val="auto"/>
                      <w:kern w:val="0"/>
                      <w:szCs w:val="21"/>
                      <w:lang w:val="en-US" w:eastAsia="zh-CN"/>
                    </w:rPr>
                  </w:pPr>
                  <w:r>
                    <w:rPr>
                      <w:rFonts w:hint="eastAsia" w:eastAsia="宋体"/>
                      <w:color w:val="auto"/>
                      <w:kern w:val="0"/>
                      <w:szCs w:val="21"/>
                      <w:lang w:val="en-US" w:eastAsia="zh-CN"/>
                    </w:rPr>
                    <w:t>尘和恶臭气体的物质。</w:t>
                  </w:r>
                </w:p>
              </w:tc>
              <w:tc>
                <w:tcPr>
                  <w:tcW w:w="867" w:type="dxa"/>
                  <w:vMerge w:val="continue"/>
                  <w:noWrap w:val="0"/>
                  <w:vAlign w:val="center"/>
                </w:tcPr>
                <w:p w14:paraId="581C4B85">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color w:val="auto"/>
                      <w:kern w:val="0"/>
                      <w:szCs w:val="21"/>
                      <w:lang w:val="en-US" w:eastAsia="zh-CN"/>
                    </w:rPr>
                  </w:pPr>
                </w:p>
              </w:tc>
              <w:tc>
                <w:tcPr>
                  <w:tcW w:w="3295" w:type="dxa"/>
                  <w:noWrap w:val="0"/>
                  <w:vAlign w:val="center"/>
                </w:tcPr>
                <w:p w14:paraId="606B6374">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both"/>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1</w:t>
                  </w:r>
                  <w:r>
                    <w:rPr>
                      <w:rFonts w:hint="eastAsia" w:ascii="Times New Roman" w:hAnsi="Times New Roman" w:eastAsia="宋体"/>
                      <w:color w:val="auto"/>
                      <w:sz w:val="21"/>
                      <w:szCs w:val="21"/>
                      <w:lang w:val="en-US" w:eastAsia="zh-CN"/>
                    </w:rPr>
                    <w:t>.本项目不涉及。</w:t>
                  </w:r>
                </w:p>
                <w:p w14:paraId="068160CE">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both"/>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2.本项目不涉及。</w:t>
                  </w:r>
                </w:p>
                <w:p w14:paraId="580971E5">
                  <w:pPr>
                    <w:numPr>
                      <w:ilvl w:val="0"/>
                      <w:numId w:val="0"/>
                    </w:numPr>
                    <w:autoSpaceDE w:val="0"/>
                    <w:autoSpaceDN w:val="0"/>
                    <w:adjustRightInd w:val="0"/>
                    <w:snapToGrid w:val="0"/>
                    <w:ind w:left="0" w:leftChars="0" w:firstLine="0" w:firstLineChars="0"/>
                    <w:jc w:val="both"/>
                    <w:rPr>
                      <w:rFonts w:hint="eastAsia"/>
                      <w:lang w:val="en-US" w:eastAsia="zh-CN"/>
                    </w:rPr>
                  </w:pPr>
                  <w:r>
                    <w:rPr>
                      <w:rFonts w:hint="eastAsia"/>
                      <w:lang w:val="en-US" w:eastAsia="zh-CN"/>
                    </w:rPr>
                    <w:t>3.</w:t>
                  </w:r>
                  <w:r>
                    <w:rPr>
                      <w:rFonts w:hint="eastAsia" w:eastAsia="宋体"/>
                      <w:color w:val="auto"/>
                      <w:sz w:val="21"/>
                      <w:szCs w:val="21"/>
                      <w:lang w:val="en-US" w:eastAsia="zh-CN"/>
                    </w:rPr>
                    <w:t>本项目施工期采用清洁能源车辆和施工机械。</w:t>
                  </w:r>
                </w:p>
                <w:p w14:paraId="042E7C4F">
                  <w:pPr>
                    <w:numPr>
                      <w:ilvl w:val="0"/>
                      <w:numId w:val="0"/>
                    </w:numPr>
                    <w:autoSpaceDE w:val="0"/>
                    <w:autoSpaceDN w:val="0"/>
                    <w:adjustRightInd w:val="0"/>
                    <w:snapToGrid w:val="0"/>
                    <w:ind w:left="0" w:leftChars="0" w:firstLine="0" w:firstLineChars="0"/>
                    <w:jc w:val="both"/>
                    <w:rPr>
                      <w:rFonts w:hint="eastAsia"/>
                      <w:lang w:val="en-US" w:eastAsia="zh-CN"/>
                    </w:rPr>
                  </w:pPr>
                  <w:r>
                    <w:rPr>
                      <w:rFonts w:hint="eastAsia"/>
                      <w:lang w:val="en-US" w:eastAsia="zh-CN"/>
                    </w:rPr>
                    <w:t>4.本项目不涉及。</w:t>
                  </w:r>
                </w:p>
                <w:p w14:paraId="05B48CEB">
                  <w:pPr>
                    <w:numPr>
                      <w:ilvl w:val="0"/>
                      <w:numId w:val="0"/>
                    </w:numPr>
                    <w:autoSpaceDE w:val="0"/>
                    <w:autoSpaceDN w:val="0"/>
                    <w:adjustRightInd w:val="0"/>
                    <w:snapToGrid w:val="0"/>
                    <w:ind w:left="0" w:leftChars="0" w:firstLine="0" w:firstLineChars="0"/>
                    <w:jc w:val="both"/>
                    <w:rPr>
                      <w:rFonts w:hint="eastAsia" w:cs="Times New Roman"/>
                      <w:color w:val="auto"/>
                      <w:kern w:val="0"/>
                      <w:szCs w:val="21"/>
                      <w:lang w:val="en-US" w:eastAsia="zh-CN"/>
                    </w:rPr>
                  </w:pPr>
                  <w:r>
                    <w:rPr>
                      <w:rFonts w:hint="eastAsia" w:eastAsia="宋体"/>
                      <w:color w:val="auto"/>
                      <w:sz w:val="21"/>
                      <w:szCs w:val="21"/>
                      <w:lang w:val="en-US" w:eastAsia="zh-CN"/>
                    </w:rPr>
                    <w:t>5.本项目不涉及。</w:t>
                  </w:r>
                </w:p>
              </w:tc>
              <w:tc>
                <w:tcPr>
                  <w:tcW w:w="734" w:type="dxa"/>
                  <w:noWrap w:val="0"/>
                  <w:vAlign w:val="center"/>
                </w:tcPr>
                <w:p w14:paraId="75629D0E">
                  <w:pPr>
                    <w:numPr>
                      <w:ilvl w:val="0"/>
                      <w:numId w:val="0"/>
                    </w:numPr>
                    <w:autoSpaceDE w:val="0"/>
                    <w:autoSpaceDN w:val="0"/>
                    <w:adjustRightInd w:val="0"/>
                    <w:snapToGrid w:val="0"/>
                    <w:ind w:left="0" w:leftChars="0" w:firstLine="0" w:firstLineChars="0"/>
                    <w:jc w:val="center"/>
                    <w:rPr>
                      <w:rFonts w:hint="eastAsia" w:cs="Times New Roman"/>
                      <w:color w:val="auto"/>
                      <w:kern w:val="0"/>
                      <w:szCs w:val="21"/>
                      <w:lang w:val="en-US" w:eastAsia="zh-CN"/>
                    </w:rPr>
                  </w:pPr>
                  <w:r>
                    <w:rPr>
                      <w:rFonts w:hint="eastAsia" w:cs="Times New Roman"/>
                      <w:color w:val="auto"/>
                      <w:kern w:val="0"/>
                      <w:szCs w:val="21"/>
                      <w:lang w:val="en-US" w:eastAsia="zh-CN"/>
                    </w:rPr>
                    <w:t>符合</w:t>
                  </w:r>
                </w:p>
              </w:tc>
            </w:tr>
            <w:tr w14:paraId="05F11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1" w:type="dxa"/>
                  <w:vMerge w:val="restart"/>
                  <w:noWrap w:val="0"/>
                  <w:vAlign w:val="center"/>
                </w:tcPr>
                <w:p w14:paraId="6A8D6035">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color w:val="auto"/>
                      <w:kern w:val="0"/>
                      <w:szCs w:val="21"/>
                      <w:lang w:val="en-US" w:eastAsia="zh-CN"/>
                    </w:rPr>
                  </w:pPr>
                  <w:r>
                    <w:rPr>
                      <w:rFonts w:hint="eastAsia"/>
                      <w:color w:val="auto"/>
                      <w:kern w:val="0"/>
                      <w:szCs w:val="21"/>
                      <w:lang w:val="en-US" w:eastAsia="zh-CN"/>
                    </w:rPr>
                    <w:t>千河湿地</w:t>
                  </w:r>
                </w:p>
              </w:tc>
              <w:tc>
                <w:tcPr>
                  <w:tcW w:w="650" w:type="dxa"/>
                  <w:vMerge w:val="restart"/>
                  <w:noWrap w:val="0"/>
                  <w:vAlign w:val="center"/>
                </w:tcPr>
                <w:p w14:paraId="73E43809">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cs="Times New Roman"/>
                      <w:color w:val="auto"/>
                      <w:spacing w:val="0"/>
                      <w:kern w:val="0"/>
                      <w:sz w:val="21"/>
                      <w:szCs w:val="21"/>
                      <w:lang w:val="en-US" w:eastAsia="zh-CN" w:bidi="ar"/>
                    </w:rPr>
                  </w:pPr>
                  <w:r>
                    <w:rPr>
                      <w:rFonts w:hint="eastAsia" w:cs="Times New Roman"/>
                      <w:color w:val="auto"/>
                      <w:spacing w:val="0"/>
                      <w:kern w:val="0"/>
                      <w:sz w:val="21"/>
                      <w:szCs w:val="21"/>
                      <w:lang w:val="en-US" w:eastAsia="zh-CN" w:bidi="ar"/>
                    </w:rPr>
                    <w:t>宝鸡市陇县</w:t>
                  </w:r>
                </w:p>
              </w:tc>
              <w:tc>
                <w:tcPr>
                  <w:tcW w:w="777" w:type="dxa"/>
                  <w:vMerge w:val="restart"/>
                  <w:noWrap w:val="0"/>
                  <w:vAlign w:val="center"/>
                </w:tcPr>
                <w:p w14:paraId="55F497BC">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cs="Times New Roman"/>
                      <w:color w:val="auto"/>
                      <w:spacing w:val="0"/>
                      <w:kern w:val="0"/>
                      <w:sz w:val="21"/>
                      <w:szCs w:val="21"/>
                      <w:lang w:val="en-US" w:eastAsia="zh-CN" w:bidi="ar"/>
                    </w:rPr>
                  </w:pPr>
                  <w:r>
                    <w:rPr>
                      <w:rFonts w:hint="eastAsia"/>
                      <w:color w:val="auto"/>
                      <w:kern w:val="0"/>
                      <w:szCs w:val="21"/>
                      <w:lang w:val="en-US" w:eastAsia="zh-CN"/>
                    </w:rPr>
                    <w:t>重要湿地、一般生态空间</w:t>
                  </w:r>
                </w:p>
              </w:tc>
              <w:tc>
                <w:tcPr>
                  <w:tcW w:w="733" w:type="dxa"/>
                  <w:shd w:val="clear" w:color="auto" w:fill="auto"/>
                  <w:noWrap w:val="0"/>
                  <w:vAlign w:val="center"/>
                </w:tcPr>
                <w:p w14:paraId="5FD83CD1">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280" w:lineRule="exact"/>
                    <w:ind w:left="0" w:leftChars="0" w:firstLine="0" w:firstLineChars="0"/>
                    <w:jc w:val="both"/>
                    <w:textAlignment w:val="auto"/>
                    <w:rPr>
                      <w:rFonts w:hint="eastAsia"/>
                      <w:color w:val="auto"/>
                      <w:kern w:val="0"/>
                      <w:szCs w:val="21"/>
                      <w:lang w:val="en-US" w:eastAsia="zh-CN"/>
                    </w:rPr>
                  </w:pPr>
                  <w:r>
                    <w:rPr>
                      <w:rFonts w:hint="eastAsia"/>
                      <w:color w:val="auto"/>
                      <w:kern w:val="0"/>
                      <w:szCs w:val="21"/>
                      <w:lang w:val="en-US" w:eastAsia="zh-CN"/>
                    </w:rPr>
                    <w:t>空间布局约束</w:t>
                  </w:r>
                </w:p>
              </w:tc>
              <w:tc>
                <w:tcPr>
                  <w:tcW w:w="4783" w:type="dxa"/>
                  <w:shd w:val="clear" w:color="auto" w:fill="auto"/>
                  <w:noWrap w:val="0"/>
                  <w:vAlign w:val="center"/>
                </w:tcPr>
                <w:p w14:paraId="24F0A553">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280" w:lineRule="exact"/>
                    <w:ind w:leftChars="0"/>
                    <w:jc w:val="both"/>
                    <w:textAlignment w:val="auto"/>
                    <w:rPr>
                      <w:rFonts w:hint="eastAsia" w:eastAsia="宋体"/>
                      <w:color w:val="auto"/>
                      <w:kern w:val="0"/>
                      <w:szCs w:val="21"/>
                      <w:lang w:val="en-US" w:eastAsia="zh-CN"/>
                    </w:rPr>
                  </w:pPr>
                  <w:r>
                    <w:rPr>
                      <w:rFonts w:hint="eastAsia" w:eastAsia="宋体"/>
                      <w:color w:val="auto"/>
                      <w:kern w:val="0"/>
                      <w:szCs w:val="21"/>
                      <w:lang w:val="en-US" w:eastAsia="zh-CN"/>
                    </w:rPr>
                    <w:t>重要湿地：按照《中华人民共和国湿地保护法》《湿地保护管理规定》《陕西省湿地保护条例》等相关规定进行管控。1.禁止占用国家重要湿地，国家重大项目、防灾减灾项目、重要水利及保护设施项目、湿地保护项目等除外。</w:t>
                  </w:r>
                  <w:r>
                    <w:rPr>
                      <w:rFonts w:hint="default" w:eastAsia="宋体"/>
                      <w:color w:val="auto"/>
                      <w:kern w:val="0"/>
                      <w:szCs w:val="21"/>
                      <w:lang w:val="en-US" w:eastAsia="zh-CN"/>
                    </w:rPr>
                    <w:t>2.</w:t>
                  </w:r>
                  <w:r>
                    <w:rPr>
                      <w:rFonts w:hint="eastAsia" w:eastAsia="宋体"/>
                      <w:color w:val="auto"/>
                      <w:kern w:val="0"/>
                      <w:szCs w:val="21"/>
                      <w:lang w:val="en-US" w:eastAsia="zh-CN"/>
                    </w:rPr>
                    <w:t>禁止开（围）垦、烧荒、排干自然湿地，永久性截断自然湿地水源；禁止擅自填埋自然湿地；禁止擅自采砂、采矿、取土、</w:t>
                  </w:r>
                </w:p>
                <w:p w14:paraId="033A7FC6">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280" w:lineRule="exact"/>
                    <w:ind w:leftChars="0"/>
                    <w:jc w:val="both"/>
                    <w:textAlignment w:val="auto"/>
                    <w:rPr>
                      <w:rFonts w:hint="eastAsia" w:eastAsia="宋体"/>
                      <w:color w:val="auto"/>
                      <w:kern w:val="0"/>
                      <w:szCs w:val="21"/>
                      <w:lang w:val="en-US" w:eastAsia="zh-CN"/>
                    </w:rPr>
                  </w:pPr>
                  <w:r>
                    <w:rPr>
                      <w:rFonts w:hint="eastAsia" w:eastAsia="宋体"/>
                      <w:color w:val="auto"/>
                      <w:kern w:val="0"/>
                      <w:szCs w:val="21"/>
                      <w:lang w:val="en-US" w:eastAsia="zh-CN"/>
                    </w:rPr>
                    <w:t>放牧、取水、排污、挖塘；禁止排放不符合水污染物排放标准的工业废水、生活污水及其他污染湿地的废水、污水，排放有毒有害气体，倾倒、堆放、丢弃、遗撒固体废物，投放可能危害水体、水生生物的化学物品；禁止过度放牧或者滥采野生植物，过度捕捞或者灭绝式捕捞，过度施肥、投药、投放饵料等污染湿地的种植养殖行为；禁止破坏鱼类等水生生物洄游通道或者野生动物栖息地，滥采滥捕野生动植物；禁止其他破坏湿地及其生态功能的行为。</w:t>
                  </w:r>
                  <w:r>
                    <w:rPr>
                      <w:rFonts w:hint="default" w:eastAsia="宋体"/>
                      <w:color w:val="auto"/>
                      <w:kern w:val="0"/>
                      <w:szCs w:val="21"/>
                      <w:lang w:val="en-US" w:eastAsia="zh-CN"/>
                    </w:rPr>
                    <w:t>3</w:t>
                  </w:r>
                  <w:r>
                    <w:rPr>
                      <w:rFonts w:hint="eastAsia" w:eastAsia="宋体"/>
                      <w:color w:val="auto"/>
                      <w:kern w:val="0"/>
                      <w:szCs w:val="21"/>
                      <w:lang w:val="en-US" w:eastAsia="zh-CN"/>
                    </w:rPr>
                    <w:t xml:space="preserve">、禁止在以水鸟为保护对象的自然保护地及 </w:t>
                  </w:r>
                </w:p>
                <w:p w14:paraId="6C21786B">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280" w:lineRule="exact"/>
                    <w:ind w:leftChars="0"/>
                    <w:jc w:val="both"/>
                    <w:textAlignment w:val="auto"/>
                    <w:rPr>
                      <w:rFonts w:hint="eastAsia" w:eastAsia="宋体"/>
                      <w:color w:val="auto"/>
                      <w:kern w:val="0"/>
                      <w:szCs w:val="21"/>
                      <w:lang w:val="en-US" w:eastAsia="zh-CN"/>
                    </w:rPr>
                  </w:pPr>
                  <w:r>
                    <w:rPr>
                      <w:rFonts w:hint="eastAsia" w:eastAsia="宋体"/>
                      <w:color w:val="auto"/>
                      <w:kern w:val="0"/>
                      <w:szCs w:val="21"/>
                      <w:lang w:val="en-US" w:eastAsia="zh-CN"/>
                    </w:rPr>
                    <w:t>其他重要栖息地从事捕鱼、挖捕底栖生物、捡拾鸟蛋、破坏鸟巢等危及水鸟生存、繁衍的活动。</w:t>
                  </w:r>
                  <w:r>
                    <w:rPr>
                      <w:rFonts w:hint="default" w:eastAsia="宋体"/>
                      <w:color w:val="auto"/>
                      <w:kern w:val="0"/>
                      <w:szCs w:val="21"/>
                      <w:lang w:val="en-US" w:eastAsia="zh-CN"/>
                    </w:rPr>
                    <w:t>4</w:t>
                  </w:r>
                  <w:r>
                    <w:rPr>
                      <w:rFonts w:hint="eastAsia" w:eastAsia="宋体"/>
                      <w:color w:val="auto"/>
                      <w:kern w:val="0"/>
                      <w:szCs w:val="21"/>
                      <w:lang w:val="en-US" w:eastAsia="zh-CN"/>
                    </w:rPr>
                    <w:t>．禁止向湿地引进和放生外来物种。</w:t>
                  </w:r>
                  <w:r>
                    <w:rPr>
                      <w:rFonts w:hint="default" w:eastAsia="宋体"/>
                      <w:color w:val="auto"/>
                      <w:kern w:val="0"/>
                      <w:szCs w:val="21"/>
                      <w:lang w:val="en-US" w:eastAsia="zh-CN"/>
                    </w:rPr>
                    <w:t>5</w:t>
                  </w:r>
                  <w:r>
                    <w:rPr>
                      <w:rFonts w:hint="eastAsia" w:eastAsia="宋体"/>
                      <w:color w:val="auto"/>
                      <w:kern w:val="0"/>
                      <w:szCs w:val="21"/>
                      <w:lang w:val="en-US" w:eastAsia="zh-CN"/>
                    </w:rPr>
                    <w:t>．禁止违法占用耕地等建设人工湿地。</w:t>
                  </w:r>
                  <w:r>
                    <w:rPr>
                      <w:rFonts w:hint="default" w:eastAsia="宋体"/>
                      <w:color w:val="auto"/>
                      <w:kern w:val="0"/>
                      <w:szCs w:val="21"/>
                      <w:lang w:val="en-US" w:eastAsia="zh-CN"/>
                    </w:rPr>
                    <w:t>6.</w:t>
                  </w:r>
                  <w:r>
                    <w:rPr>
                      <w:rFonts w:hint="eastAsia" w:eastAsia="宋体"/>
                      <w:color w:val="auto"/>
                      <w:kern w:val="0"/>
                      <w:szCs w:val="21"/>
                      <w:lang w:val="en-US" w:eastAsia="zh-CN"/>
                    </w:rPr>
                    <w:t>不得擅自移动或者破坏湿地保护标志。一般生态空间：原则上按照限制开发区进行管理。功能属性单一、</w:t>
                  </w:r>
                  <w:r>
                    <w:rPr>
                      <w:rFonts w:hint="eastAsia"/>
                      <w:color w:val="auto"/>
                      <w:kern w:val="0"/>
                      <w:szCs w:val="21"/>
                      <w:lang w:val="en-US" w:eastAsia="zh-CN"/>
                    </w:rPr>
                    <w:t>管</w:t>
                  </w:r>
                  <w:r>
                    <w:rPr>
                      <w:rFonts w:hint="eastAsia" w:eastAsia="宋体"/>
                      <w:color w:val="auto"/>
                      <w:kern w:val="0"/>
                      <w:szCs w:val="21"/>
                      <w:lang w:val="en-US" w:eastAsia="zh-CN"/>
                    </w:rPr>
                    <w:t>控要求明确的一般生态空间，按照生态功能属性的既有规定实施管</w:t>
                  </w:r>
                </w:p>
                <w:p w14:paraId="733CFFF6">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280" w:lineRule="exact"/>
                    <w:ind w:leftChars="0"/>
                    <w:jc w:val="both"/>
                    <w:textAlignment w:val="auto"/>
                    <w:rPr>
                      <w:rFonts w:hint="eastAsia" w:cs="Times New Roman"/>
                      <w:color w:val="auto"/>
                      <w:kern w:val="0"/>
                      <w:szCs w:val="21"/>
                      <w:lang w:val="en-US" w:eastAsia="zh-CN"/>
                    </w:rPr>
                  </w:pPr>
                  <w:r>
                    <w:rPr>
                      <w:rFonts w:hint="eastAsia" w:eastAsia="宋体"/>
                      <w:color w:val="auto"/>
                      <w:kern w:val="0"/>
                      <w:szCs w:val="21"/>
                      <w:lang w:val="en-US" w:eastAsia="zh-CN"/>
                    </w:rPr>
                    <w:t>理；具有多重功能属性且均有既有管理要求的一般生态空间，按照管控要求的严格程度，从严管理；尚未明确管理要求的一般生态空间，以保护为主，限制有损主导生态服务功能的开发建设活动。</w:t>
                  </w:r>
                </w:p>
              </w:tc>
              <w:tc>
                <w:tcPr>
                  <w:tcW w:w="867" w:type="dxa"/>
                  <w:vMerge w:val="restart"/>
                  <w:noWrap w:val="0"/>
                  <w:vAlign w:val="center"/>
                </w:tcPr>
                <w:p w14:paraId="7323FA63">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color w:val="auto"/>
                      <w:kern w:val="0"/>
                      <w:szCs w:val="21"/>
                      <w:lang w:val="en-US" w:eastAsia="zh-CN"/>
                    </w:rPr>
                  </w:pPr>
                  <w:r>
                    <w:rPr>
                      <w:rFonts w:hint="eastAsia"/>
                      <w:color w:val="auto"/>
                      <w:kern w:val="0"/>
                      <w:szCs w:val="21"/>
                      <w:lang w:val="en-US" w:eastAsia="zh-CN"/>
                    </w:rPr>
                    <w:t>841.2</w:t>
                  </w:r>
                </w:p>
              </w:tc>
              <w:tc>
                <w:tcPr>
                  <w:tcW w:w="3295" w:type="dxa"/>
                  <w:noWrap w:val="0"/>
                  <w:vAlign w:val="center"/>
                </w:tcPr>
                <w:p w14:paraId="762D4195">
                  <w:pPr>
                    <w:numPr>
                      <w:ilvl w:val="0"/>
                      <w:numId w:val="2"/>
                    </w:numPr>
                    <w:autoSpaceDE w:val="0"/>
                    <w:autoSpaceDN w:val="0"/>
                    <w:adjustRightInd w:val="0"/>
                    <w:snapToGrid w:val="0"/>
                    <w:ind w:left="0" w:leftChars="0" w:firstLine="0" w:firstLineChars="0"/>
                    <w:jc w:val="both"/>
                    <w:rPr>
                      <w:rFonts w:hint="eastAsia" w:cs="Times New Roman"/>
                      <w:color w:val="auto"/>
                      <w:kern w:val="0"/>
                      <w:szCs w:val="21"/>
                      <w:lang w:val="en-US" w:eastAsia="zh-CN"/>
                    </w:rPr>
                  </w:pPr>
                  <w:r>
                    <w:rPr>
                      <w:rFonts w:hint="eastAsia" w:cs="Times New Roman"/>
                      <w:color w:val="auto"/>
                      <w:kern w:val="0"/>
                      <w:szCs w:val="21"/>
                      <w:lang w:val="en-US" w:eastAsia="zh-CN"/>
                    </w:rPr>
                    <w:t>经核对，本项目不在千河湿地范围内。</w:t>
                  </w:r>
                </w:p>
                <w:p w14:paraId="355200E1">
                  <w:pPr>
                    <w:keepNext w:val="0"/>
                    <w:keepLines w:val="0"/>
                    <w:pageBreakBefore w:val="0"/>
                    <w:widowControl w:val="0"/>
                    <w:numPr>
                      <w:ilvl w:val="0"/>
                      <w:numId w:val="2"/>
                    </w:numPr>
                    <w:suppressLineNumbers w:val="0"/>
                    <w:kinsoku/>
                    <w:wordWrap/>
                    <w:overflowPunct/>
                    <w:topLinePunct w:val="0"/>
                    <w:autoSpaceDE/>
                    <w:autoSpaceDN/>
                    <w:bidi w:val="0"/>
                    <w:adjustRightInd/>
                    <w:snapToGrid/>
                    <w:spacing w:line="280" w:lineRule="exact"/>
                    <w:ind w:left="0" w:leftChars="0" w:firstLine="0" w:firstLineChars="0"/>
                    <w:jc w:val="both"/>
                    <w:textAlignment w:val="auto"/>
                    <w:rPr>
                      <w:rFonts w:hint="eastAsia"/>
                      <w:lang w:val="en-US" w:eastAsia="zh-CN"/>
                    </w:rPr>
                  </w:pPr>
                  <w:r>
                    <w:rPr>
                      <w:rFonts w:hint="eastAsia"/>
                      <w:lang w:val="en-US" w:eastAsia="zh-CN"/>
                    </w:rPr>
                    <w:t>本项目人工湿地净化工程对污水处理厂的尾水进行深度处理，处理后再排入千河和大杜阳河，项目建成后可减少排入河流的污染物，减轻对水体的污染。</w:t>
                  </w:r>
                </w:p>
                <w:p w14:paraId="4F2D3EEC">
                  <w:pPr>
                    <w:keepNext w:val="0"/>
                    <w:keepLines w:val="0"/>
                    <w:pageBreakBefore w:val="0"/>
                    <w:widowControl w:val="0"/>
                    <w:numPr>
                      <w:ilvl w:val="0"/>
                      <w:numId w:val="2"/>
                    </w:numPr>
                    <w:suppressLineNumbers w:val="0"/>
                    <w:kinsoku/>
                    <w:wordWrap/>
                    <w:overflowPunct/>
                    <w:topLinePunct w:val="0"/>
                    <w:autoSpaceDE/>
                    <w:autoSpaceDN/>
                    <w:bidi w:val="0"/>
                    <w:adjustRightInd/>
                    <w:snapToGrid/>
                    <w:spacing w:line="280" w:lineRule="exact"/>
                    <w:ind w:left="0" w:leftChars="0" w:firstLine="0" w:firstLineChars="0"/>
                    <w:jc w:val="both"/>
                    <w:textAlignment w:val="auto"/>
                    <w:rPr>
                      <w:rFonts w:hint="eastAsia" w:eastAsia="宋体"/>
                      <w:color w:val="auto"/>
                      <w:kern w:val="0"/>
                      <w:szCs w:val="21"/>
                      <w:lang w:val="en-US" w:eastAsia="zh-CN"/>
                    </w:rPr>
                  </w:pPr>
                  <w:r>
                    <w:rPr>
                      <w:rFonts w:hint="eastAsia"/>
                      <w:lang w:val="en-US" w:eastAsia="zh-CN"/>
                    </w:rPr>
                    <w:t>本项目施工期加强对施工人员的宣传教育，</w:t>
                  </w:r>
                  <w:r>
                    <w:rPr>
                      <w:rFonts w:hint="eastAsia" w:eastAsia="宋体"/>
                      <w:color w:val="auto"/>
                      <w:kern w:val="0"/>
                      <w:szCs w:val="21"/>
                      <w:lang w:val="en-US" w:eastAsia="zh-CN"/>
                    </w:rPr>
                    <w:t>禁止捕鱼、挖捕底栖生物、捡拾鸟蛋、破坏鸟巢等危及水鸟生存、繁衍的活动。</w:t>
                  </w:r>
                </w:p>
                <w:p w14:paraId="24912F6F">
                  <w:pPr>
                    <w:keepNext w:val="0"/>
                    <w:keepLines w:val="0"/>
                    <w:pageBreakBefore w:val="0"/>
                    <w:widowControl w:val="0"/>
                    <w:numPr>
                      <w:ilvl w:val="0"/>
                      <w:numId w:val="2"/>
                    </w:numPr>
                    <w:suppressLineNumbers w:val="0"/>
                    <w:kinsoku/>
                    <w:wordWrap/>
                    <w:overflowPunct/>
                    <w:topLinePunct w:val="0"/>
                    <w:autoSpaceDE/>
                    <w:autoSpaceDN/>
                    <w:bidi w:val="0"/>
                    <w:adjustRightInd/>
                    <w:snapToGrid/>
                    <w:spacing w:line="280" w:lineRule="exact"/>
                    <w:ind w:left="0" w:leftChars="0" w:firstLine="0" w:firstLineChars="0"/>
                    <w:jc w:val="both"/>
                    <w:textAlignment w:val="auto"/>
                    <w:rPr>
                      <w:rFonts w:hint="eastAsia" w:eastAsia="宋体"/>
                      <w:color w:val="auto"/>
                      <w:kern w:val="0"/>
                      <w:szCs w:val="21"/>
                      <w:lang w:val="en-US" w:eastAsia="zh-CN"/>
                    </w:rPr>
                  </w:pPr>
                  <w:r>
                    <w:rPr>
                      <w:rFonts w:hint="eastAsia" w:eastAsia="宋体"/>
                      <w:color w:val="auto"/>
                      <w:kern w:val="0"/>
                      <w:szCs w:val="21"/>
                      <w:lang w:val="en-US" w:eastAsia="zh-CN"/>
                    </w:rPr>
                    <w:t>本项目不涉及。</w:t>
                  </w:r>
                </w:p>
                <w:p w14:paraId="440C71CB">
                  <w:pPr>
                    <w:keepNext w:val="0"/>
                    <w:keepLines w:val="0"/>
                    <w:pageBreakBefore w:val="0"/>
                    <w:widowControl w:val="0"/>
                    <w:numPr>
                      <w:ilvl w:val="0"/>
                      <w:numId w:val="2"/>
                    </w:numPr>
                    <w:suppressLineNumbers w:val="0"/>
                    <w:kinsoku/>
                    <w:wordWrap/>
                    <w:overflowPunct/>
                    <w:topLinePunct w:val="0"/>
                    <w:autoSpaceDE/>
                    <w:autoSpaceDN/>
                    <w:bidi w:val="0"/>
                    <w:adjustRightInd/>
                    <w:snapToGrid/>
                    <w:spacing w:line="280" w:lineRule="exact"/>
                    <w:ind w:left="0" w:leftChars="0" w:firstLine="0" w:firstLineChars="0"/>
                    <w:jc w:val="both"/>
                    <w:textAlignment w:val="auto"/>
                    <w:rPr>
                      <w:rFonts w:hint="default"/>
                      <w:lang w:val="en-US" w:eastAsia="zh-CN"/>
                    </w:rPr>
                  </w:pPr>
                  <w:r>
                    <w:rPr>
                      <w:rFonts w:hint="eastAsia"/>
                      <w:lang w:val="en-US" w:eastAsia="zh-CN"/>
                    </w:rPr>
                    <w:t>本项目陇县污水处理厂人工湿地占地类型为园地、其他林地、其他草地，陇县千河南岸新城污水处理厂人工湿地占地类型为天然牧草地、公用设施用地、公路用地和乔木林地，不涉及耕地。</w:t>
                  </w:r>
                </w:p>
                <w:p w14:paraId="002ABC68">
                  <w:pPr>
                    <w:keepNext w:val="0"/>
                    <w:keepLines w:val="0"/>
                    <w:pageBreakBefore w:val="0"/>
                    <w:widowControl w:val="0"/>
                    <w:numPr>
                      <w:ilvl w:val="0"/>
                      <w:numId w:val="2"/>
                    </w:numPr>
                    <w:suppressLineNumbers w:val="0"/>
                    <w:kinsoku/>
                    <w:wordWrap/>
                    <w:overflowPunct/>
                    <w:topLinePunct w:val="0"/>
                    <w:autoSpaceDE/>
                    <w:autoSpaceDN/>
                    <w:bidi w:val="0"/>
                    <w:adjustRightInd/>
                    <w:snapToGrid/>
                    <w:spacing w:line="280" w:lineRule="exact"/>
                    <w:ind w:left="0" w:leftChars="0" w:firstLine="0" w:firstLineChars="0"/>
                    <w:jc w:val="both"/>
                    <w:textAlignment w:val="auto"/>
                    <w:rPr>
                      <w:rFonts w:hint="default"/>
                      <w:lang w:val="en-US" w:eastAsia="zh-CN"/>
                    </w:rPr>
                  </w:pPr>
                  <w:r>
                    <w:rPr>
                      <w:rFonts w:hint="eastAsia"/>
                      <w:lang w:val="en-US" w:eastAsia="zh-CN"/>
                    </w:rPr>
                    <w:t>本项目施工期加强对施工人员的宣传教育，禁止</w:t>
                  </w:r>
                  <w:r>
                    <w:rPr>
                      <w:rFonts w:hint="eastAsia" w:eastAsia="宋体"/>
                      <w:color w:val="auto"/>
                      <w:kern w:val="0"/>
                      <w:szCs w:val="21"/>
                      <w:lang w:val="en-US" w:eastAsia="zh-CN"/>
                    </w:rPr>
                    <w:t>擅自移动或者破坏湿地保护标志。</w:t>
                  </w:r>
                </w:p>
              </w:tc>
              <w:tc>
                <w:tcPr>
                  <w:tcW w:w="734" w:type="dxa"/>
                  <w:noWrap w:val="0"/>
                  <w:vAlign w:val="center"/>
                </w:tcPr>
                <w:p w14:paraId="11C44C9E">
                  <w:pPr>
                    <w:numPr>
                      <w:ilvl w:val="0"/>
                      <w:numId w:val="0"/>
                    </w:numPr>
                    <w:autoSpaceDE w:val="0"/>
                    <w:autoSpaceDN w:val="0"/>
                    <w:adjustRightInd w:val="0"/>
                    <w:snapToGrid w:val="0"/>
                    <w:ind w:left="0" w:leftChars="0" w:firstLine="0" w:firstLineChars="0"/>
                    <w:jc w:val="center"/>
                    <w:rPr>
                      <w:rFonts w:hint="default" w:cs="Times New Roman"/>
                      <w:color w:val="auto"/>
                      <w:kern w:val="0"/>
                      <w:szCs w:val="21"/>
                      <w:lang w:val="en-US" w:eastAsia="zh-CN"/>
                    </w:rPr>
                  </w:pPr>
                  <w:r>
                    <w:rPr>
                      <w:rFonts w:hint="eastAsia" w:cs="Times New Roman"/>
                      <w:color w:val="auto"/>
                      <w:kern w:val="0"/>
                      <w:szCs w:val="21"/>
                      <w:lang w:val="en-US" w:eastAsia="zh-CN"/>
                    </w:rPr>
                    <w:t>符合</w:t>
                  </w:r>
                </w:p>
              </w:tc>
            </w:tr>
            <w:tr w14:paraId="0933F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1" w:type="dxa"/>
                  <w:vMerge w:val="continue"/>
                  <w:noWrap w:val="0"/>
                  <w:vAlign w:val="center"/>
                </w:tcPr>
                <w:p w14:paraId="4A546DD5">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color w:val="auto"/>
                      <w:kern w:val="0"/>
                      <w:szCs w:val="21"/>
                      <w:lang w:val="en-US" w:eastAsia="zh-CN"/>
                    </w:rPr>
                  </w:pPr>
                </w:p>
              </w:tc>
              <w:tc>
                <w:tcPr>
                  <w:tcW w:w="650" w:type="dxa"/>
                  <w:vMerge w:val="continue"/>
                  <w:noWrap w:val="0"/>
                  <w:vAlign w:val="center"/>
                </w:tcPr>
                <w:p w14:paraId="3BA66EA5">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cs="Times New Roman"/>
                      <w:color w:val="auto"/>
                      <w:spacing w:val="0"/>
                      <w:kern w:val="0"/>
                      <w:sz w:val="21"/>
                      <w:szCs w:val="21"/>
                      <w:lang w:val="en-US" w:eastAsia="zh-CN" w:bidi="ar"/>
                    </w:rPr>
                  </w:pPr>
                </w:p>
              </w:tc>
              <w:tc>
                <w:tcPr>
                  <w:tcW w:w="777" w:type="dxa"/>
                  <w:vMerge w:val="continue"/>
                  <w:noWrap w:val="0"/>
                  <w:vAlign w:val="center"/>
                </w:tcPr>
                <w:p w14:paraId="0CB7F99A">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cs="Times New Roman"/>
                      <w:color w:val="auto"/>
                      <w:spacing w:val="0"/>
                      <w:kern w:val="0"/>
                      <w:sz w:val="21"/>
                      <w:szCs w:val="21"/>
                      <w:lang w:val="en-US" w:eastAsia="zh-CN" w:bidi="ar"/>
                    </w:rPr>
                  </w:pPr>
                </w:p>
              </w:tc>
              <w:tc>
                <w:tcPr>
                  <w:tcW w:w="733" w:type="dxa"/>
                  <w:shd w:val="clear" w:color="auto" w:fill="auto"/>
                  <w:noWrap w:val="0"/>
                  <w:vAlign w:val="center"/>
                </w:tcPr>
                <w:p w14:paraId="4410CDB5">
                  <w:pPr>
                    <w:autoSpaceDE w:val="0"/>
                    <w:autoSpaceDN w:val="0"/>
                    <w:adjustRightInd w:val="0"/>
                    <w:snapToGrid w:val="0"/>
                    <w:jc w:val="both"/>
                    <w:rPr>
                      <w:rFonts w:hint="eastAsia"/>
                      <w:color w:val="auto"/>
                      <w:kern w:val="0"/>
                      <w:szCs w:val="21"/>
                      <w:lang w:val="en-US" w:eastAsia="zh-CN"/>
                    </w:rPr>
                  </w:pPr>
                  <w:r>
                    <w:rPr>
                      <w:rFonts w:hint="eastAsia"/>
                      <w:color w:val="auto"/>
                      <w:kern w:val="0"/>
                      <w:szCs w:val="21"/>
                      <w:lang w:val="en-US" w:eastAsia="zh-CN"/>
                    </w:rPr>
                    <w:t>污染物排放管控</w:t>
                  </w:r>
                </w:p>
              </w:tc>
              <w:tc>
                <w:tcPr>
                  <w:tcW w:w="4783" w:type="dxa"/>
                  <w:shd w:val="clear" w:color="auto" w:fill="auto"/>
                  <w:noWrap w:val="0"/>
                  <w:vAlign w:val="center"/>
                </w:tcPr>
                <w:p w14:paraId="3F5A02C5">
                  <w:pPr>
                    <w:numPr>
                      <w:ilvl w:val="0"/>
                      <w:numId w:val="0"/>
                    </w:numPr>
                    <w:autoSpaceDE w:val="0"/>
                    <w:autoSpaceDN w:val="0"/>
                    <w:adjustRightInd w:val="0"/>
                    <w:snapToGrid w:val="0"/>
                    <w:ind w:left="0" w:leftChars="0" w:firstLine="0" w:firstLineChars="0"/>
                    <w:jc w:val="center"/>
                    <w:rPr>
                      <w:rFonts w:hint="default" w:cs="Times New Roman"/>
                      <w:color w:val="auto"/>
                      <w:kern w:val="0"/>
                      <w:szCs w:val="21"/>
                      <w:lang w:val="en-US" w:eastAsia="zh-CN"/>
                    </w:rPr>
                  </w:pPr>
                  <w:r>
                    <w:rPr>
                      <w:rFonts w:hint="eastAsia" w:cs="Times New Roman"/>
                      <w:color w:val="auto"/>
                      <w:kern w:val="0"/>
                      <w:szCs w:val="21"/>
                      <w:lang w:val="en-US" w:eastAsia="zh-CN"/>
                    </w:rPr>
                    <w:t>/</w:t>
                  </w:r>
                </w:p>
              </w:tc>
              <w:tc>
                <w:tcPr>
                  <w:tcW w:w="867" w:type="dxa"/>
                  <w:vMerge w:val="continue"/>
                  <w:noWrap w:val="0"/>
                  <w:vAlign w:val="center"/>
                </w:tcPr>
                <w:p w14:paraId="74F6C45D">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color w:val="auto"/>
                      <w:kern w:val="0"/>
                      <w:szCs w:val="21"/>
                      <w:lang w:val="en-US" w:eastAsia="zh-CN"/>
                    </w:rPr>
                  </w:pPr>
                </w:p>
              </w:tc>
              <w:tc>
                <w:tcPr>
                  <w:tcW w:w="3295" w:type="dxa"/>
                  <w:noWrap w:val="0"/>
                  <w:vAlign w:val="center"/>
                </w:tcPr>
                <w:p w14:paraId="19BA08D7">
                  <w:pPr>
                    <w:numPr>
                      <w:ilvl w:val="0"/>
                      <w:numId w:val="0"/>
                    </w:numPr>
                    <w:autoSpaceDE w:val="0"/>
                    <w:autoSpaceDN w:val="0"/>
                    <w:adjustRightInd w:val="0"/>
                    <w:snapToGrid w:val="0"/>
                    <w:ind w:left="0" w:leftChars="0" w:firstLine="0" w:firstLineChars="0"/>
                    <w:jc w:val="center"/>
                    <w:rPr>
                      <w:rFonts w:hint="default" w:cs="Times New Roman"/>
                      <w:color w:val="auto"/>
                      <w:kern w:val="0"/>
                      <w:szCs w:val="21"/>
                      <w:lang w:val="en-US" w:eastAsia="zh-CN"/>
                    </w:rPr>
                  </w:pPr>
                  <w:r>
                    <w:rPr>
                      <w:rFonts w:hint="eastAsia" w:cs="Times New Roman"/>
                      <w:color w:val="auto"/>
                      <w:kern w:val="0"/>
                      <w:szCs w:val="21"/>
                      <w:lang w:val="en-US" w:eastAsia="zh-CN"/>
                    </w:rPr>
                    <w:t>/</w:t>
                  </w:r>
                </w:p>
              </w:tc>
              <w:tc>
                <w:tcPr>
                  <w:tcW w:w="734" w:type="dxa"/>
                  <w:noWrap w:val="0"/>
                  <w:vAlign w:val="center"/>
                </w:tcPr>
                <w:p w14:paraId="470EA80F">
                  <w:pPr>
                    <w:numPr>
                      <w:ilvl w:val="0"/>
                      <w:numId w:val="0"/>
                    </w:numPr>
                    <w:autoSpaceDE w:val="0"/>
                    <w:autoSpaceDN w:val="0"/>
                    <w:adjustRightInd w:val="0"/>
                    <w:snapToGrid w:val="0"/>
                    <w:ind w:left="0" w:leftChars="0" w:firstLine="0" w:firstLineChars="0"/>
                    <w:jc w:val="center"/>
                    <w:rPr>
                      <w:rFonts w:hint="default" w:cs="Times New Roman"/>
                      <w:color w:val="auto"/>
                      <w:kern w:val="0"/>
                      <w:szCs w:val="21"/>
                      <w:lang w:val="en-US" w:eastAsia="zh-CN"/>
                    </w:rPr>
                  </w:pPr>
                  <w:r>
                    <w:rPr>
                      <w:rFonts w:hint="eastAsia" w:cs="Times New Roman"/>
                      <w:color w:val="auto"/>
                      <w:kern w:val="0"/>
                      <w:szCs w:val="21"/>
                      <w:lang w:val="en-US" w:eastAsia="zh-CN"/>
                    </w:rPr>
                    <w:t>/</w:t>
                  </w:r>
                </w:p>
              </w:tc>
            </w:tr>
            <w:tr w14:paraId="73ABF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1" w:type="dxa"/>
                  <w:vMerge w:val="continue"/>
                  <w:noWrap w:val="0"/>
                  <w:vAlign w:val="center"/>
                </w:tcPr>
                <w:p w14:paraId="64661E63">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color w:val="auto"/>
                      <w:kern w:val="0"/>
                      <w:szCs w:val="21"/>
                      <w:lang w:val="en-US" w:eastAsia="zh-CN"/>
                    </w:rPr>
                  </w:pPr>
                </w:p>
              </w:tc>
              <w:tc>
                <w:tcPr>
                  <w:tcW w:w="650" w:type="dxa"/>
                  <w:vMerge w:val="continue"/>
                  <w:noWrap w:val="0"/>
                  <w:vAlign w:val="center"/>
                </w:tcPr>
                <w:p w14:paraId="333B57CD">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cs="Times New Roman"/>
                      <w:color w:val="auto"/>
                      <w:spacing w:val="0"/>
                      <w:kern w:val="0"/>
                      <w:sz w:val="21"/>
                      <w:szCs w:val="21"/>
                      <w:lang w:val="en-US" w:eastAsia="zh-CN" w:bidi="ar"/>
                    </w:rPr>
                  </w:pPr>
                </w:p>
              </w:tc>
              <w:tc>
                <w:tcPr>
                  <w:tcW w:w="777" w:type="dxa"/>
                  <w:vMerge w:val="continue"/>
                  <w:noWrap w:val="0"/>
                  <w:vAlign w:val="center"/>
                </w:tcPr>
                <w:p w14:paraId="562671ED">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cs="Times New Roman"/>
                      <w:color w:val="auto"/>
                      <w:spacing w:val="0"/>
                      <w:kern w:val="0"/>
                      <w:sz w:val="21"/>
                      <w:szCs w:val="21"/>
                      <w:lang w:val="en-US" w:eastAsia="zh-CN" w:bidi="ar"/>
                    </w:rPr>
                  </w:pPr>
                </w:p>
              </w:tc>
              <w:tc>
                <w:tcPr>
                  <w:tcW w:w="733" w:type="dxa"/>
                  <w:shd w:val="clear" w:color="auto" w:fill="auto"/>
                  <w:noWrap w:val="0"/>
                  <w:vAlign w:val="center"/>
                </w:tcPr>
                <w:p w14:paraId="0BBCCDCB">
                  <w:pPr>
                    <w:autoSpaceDE w:val="0"/>
                    <w:autoSpaceDN w:val="0"/>
                    <w:adjustRightInd w:val="0"/>
                    <w:snapToGrid w:val="0"/>
                    <w:jc w:val="both"/>
                    <w:rPr>
                      <w:rFonts w:hint="eastAsia"/>
                      <w:color w:val="auto"/>
                      <w:kern w:val="0"/>
                      <w:szCs w:val="21"/>
                      <w:lang w:val="en-US" w:eastAsia="zh-CN"/>
                    </w:rPr>
                  </w:pPr>
                  <w:r>
                    <w:rPr>
                      <w:rFonts w:hint="eastAsia"/>
                      <w:color w:val="auto"/>
                      <w:kern w:val="0"/>
                      <w:szCs w:val="21"/>
                      <w:lang w:val="en-US" w:eastAsia="zh-CN"/>
                    </w:rPr>
                    <w:t>环境风险防控</w:t>
                  </w:r>
                </w:p>
              </w:tc>
              <w:tc>
                <w:tcPr>
                  <w:tcW w:w="4783" w:type="dxa"/>
                  <w:shd w:val="clear" w:color="auto" w:fill="auto"/>
                  <w:noWrap w:val="0"/>
                  <w:vAlign w:val="center"/>
                </w:tcPr>
                <w:p w14:paraId="2224D514">
                  <w:pPr>
                    <w:numPr>
                      <w:ilvl w:val="0"/>
                      <w:numId w:val="0"/>
                    </w:numPr>
                    <w:autoSpaceDE w:val="0"/>
                    <w:autoSpaceDN w:val="0"/>
                    <w:adjustRightInd w:val="0"/>
                    <w:snapToGrid w:val="0"/>
                    <w:ind w:left="0" w:leftChars="0" w:firstLine="0" w:firstLineChars="0"/>
                    <w:jc w:val="center"/>
                    <w:rPr>
                      <w:rFonts w:hint="default" w:cs="Times New Roman"/>
                      <w:color w:val="auto"/>
                      <w:kern w:val="0"/>
                      <w:szCs w:val="21"/>
                      <w:lang w:val="en-US" w:eastAsia="zh-CN"/>
                    </w:rPr>
                  </w:pPr>
                  <w:r>
                    <w:rPr>
                      <w:rFonts w:hint="eastAsia" w:cs="Times New Roman"/>
                      <w:color w:val="auto"/>
                      <w:kern w:val="0"/>
                      <w:szCs w:val="21"/>
                      <w:lang w:val="en-US" w:eastAsia="zh-CN"/>
                    </w:rPr>
                    <w:t>/</w:t>
                  </w:r>
                </w:p>
              </w:tc>
              <w:tc>
                <w:tcPr>
                  <w:tcW w:w="867" w:type="dxa"/>
                  <w:vMerge w:val="continue"/>
                  <w:noWrap w:val="0"/>
                  <w:vAlign w:val="center"/>
                </w:tcPr>
                <w:p w14:paraId="6B08B4E2">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color w:val="auto"/>
                      <w:kern w:val="0"/>
                      <w:szCs w:val="21"/>
                      <w:lang w:val="en-US" w:eastAsia="zh-CN"/>
                    </w:rPr>
                  </w:pPr>
                </w:p>
              </w:tc>
              <w:tc>
                <w:tcPr>
                  <w:tcW w:w="3295" w:type="dxa"/>
                  <w:noWrap w:val="0"/>
                  <w:vAlign w:val="center"/>
                </w:tcPr>
                <w:p w14:paraId="1D7D806E">
                  <w:pPr>
                    <w:numPr>
                      <w:ilvl w:val="0"/>
                      <w:numId w:val="0"/>
                    </w:numPr>
                    <w:autoSpaceDE w:val="0"/>
                    <w:autoSpaceDN w:val="0"/>
                    <w:adjustRightInd w:val="0"/>
                    <w:snapToGrid w:val="0"/>
                    <w:ind w:left="0" w:leftChars="0" w:firstLine="0" w:firstLineChars="0"/>
                    <w:jc w:val="center"/>
                    <w:rPr>
                      <w:rFonts w:hint="default" w:cs="Times New Roman"/>
                      <w:color w:val="auto"/>
                      <w:kern w:val="0"/>
                      <w:szCs w:val="21"/>
                      <w:lang w:val="en-US" w:eastAsia="zh-CN"/>
                    </w:rPr>
                  </w:pPr>
                  <w:r>
                    <w:rPr>
                      <w:rFonts w:hint="eastAsia" w:cs="Times New Roman"/>
                      <w:color w:val="auto"/>
                      <w:kern w:val="0"/>
                      <w:szCs w:val="21"/>
                      <w:lang w:val="en-US" w:eastAsia="zh-CN"/>
                    </w:rPr>
                    <w:t>/</w:t>
                  </w:r>
                </w:p>
              </w:tc>
              <w:tc>
                <w:tcPr>
                  <w:tcW w:w="734" w:type="dxa"/>
                  <w:noWrap w:val="0"/>
                  <w:vAlign w:val="center"/>
                </w:tcPr>
                <w:p w14:paraId="41CDCC19">
                  <w:pPr>
                    <w:numPr>
                      <w:ilvl w:val="0"/>
                      <w:numId w:val="0"/>
                    </w:numPr>
                    <w:autoSpaceDE w:val="0"/>
                    <w:autoSpaceDN w:val="0"/>
                    <w:adjustRightInd w:val="0"/>
                    <w:snapToGrid w:val="0"/>
                    <w:ind w:left="0" w:leftChars="0" w:firstLine="0" w:firstLineChars="0"/>
                    <w:jc w:val="center"/>
                    <w:rPr>
                      <w:rFonts w:hint="default" w:cs="Times New Roman"/>
                      <w:color w:val="auto"/>
                      <w:kern w:val="0"/>
                      <w:szCs w:val="21"/>
                      <w:lang w:val="en-US" w:eastAsia="zh-CN"/>
                    </w:rPr>
                  </w:pPr>
                  <w:r>
                    <w:rPr>
                      <w:rFonts w:hint="eastAsia" w:cs="Times New Roman"/>
                      <w:color w:val="auto"/>
                      <w:kern w:val="0"/>
                      <w:szCs w:val="21"/>
                      <w:lang w:val="en-US" w:eastAsia="zh-CN"/>
                    </w:rPr>
                    <w:t>/</w:t>
                  </w:r>
                </w:p>
              </w:tc>
            </w:tr>
            <w:tr w14:paraId="0DD86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1" w:type="dxa"/>
                  <w:vMerge w:val="continue"/>
                  <w:noWrap w:val="0"/>
                  <w:vAlign w:val="center"/>
                </w:tcPr>
                <w:p w14:paraId="0C28F9BA">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color w:val="auto"/>
                      <w:kern w:val="0"/>
                      <w:szCs w:val="21"/>
                      <w:lang w:val="en-US" w:eastAsia="zh-CN"/>
                    </w:rPr>
                  </w:pPr>
                </w:p>
              </w:tc>
              <w:tc>
                <w:tcPr>
                  <w:tcW w:w="650" w:type="dxa"/>
                  <w:vMerge w:val="continue"/>
                  <w:noWrap w:val="0"/>
                  <w:vAlign w:val="center"/>
                </w:tcPr>
                <w:p w14:paraId="5789D8FF">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cs="Times New Roman"/>
                      <w:color w:val="auto"/>
                      <w:spacing w:val="0"/>
                      <w:kern w:val="0"/>
                      <w:sz w:val="21"/>
                      <w:szCs w:val="21"/>
                      <w:lang w:val="en-US" w:eastAsia="zh-CN" w:bidi="ar"/>
                    </w:rPr>
                  </w:pPr>
                </w:p>
              </w:tc>
              <w:tc>
                <w:tcPr>
                  <w:tcW w:w="777" w:type="dxa"/>
                  <w:vMerge w:val="continue"/>
                  <w:noWrap w:val="0"/>
                  <w:vAlign w:val="center"/>
                </w:tcPr>
                <w:p w14:paraId="47661CF4">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cs="Times New Roman"/>
                      <w:color w:val="auto"/>
                      <w:spacing w:val="0"/>
                      <w:kern w:val="0"/>
                      <w:sz w:val="21"/>
                      <w:szCs w:val="21"/>
                      <w:lang w:val="en-US" w:eastAsia="zh-CN" w:bidi="ar"/>
                    </w:rPr>
                  </w:pPr>
                </w:p>
              </w:tc>
              <w:tc>
                <w:tcPr>
                  <w:tcW w:w="733" w:type="dxa"/>
                  <w:shd w:val="clear" w:color="auto" w:fill="auto"/>
                  <w:noWrap w:val="0"/>
                  <w:vAlign w:val="center"/>
                </w:tcPr>
                <w:p w14:paraId="75452309">
                  <w:pPr>
                    <w:autoSpaceDE w:val="0"/>
                    <w:autoSpaceDN w:val="0"/>
                    <w:adjustRightInd w:val="0"/>
                    <w:snapToGrid w:val="0"/>
                    <w:jc w:val="both"/>
                    <w:rPr>
                      <w:rFonts w:hint="eastAsia"/>
                      <w:color w:val="auto"/>
                      <w:kern w:val="0"/>
                      <w:szCs w:val="21"/>
                      <w:lang w:val="en-US" w:eastAsia="zh-CN"/>
                    </w:rPr>
                  </w:pPr>
                  <w:r>
                    <w:rPr>
                      <w:rFonts w:hint="eastAsia"/>
                      <w:color w:val="auto"/>
                      <w:kern w:val="0"/>
                      <w:szCs w:val="21"/>
                      <w:lang w:val="en-US" w:eastAsia="zh-CN"/>
                    </w:rPr>
                    <w:t>资源开发效率要求</w:t>
                  </w:r>
                </w:p>
              </w:tc>
              <w:tc>
                <w:tcPr>
                  <w:tcW w:w="4783" w:type="dxa"/>
                  <w:shd w:val="clear" w:color="auto" w:fill="auto"/>
                  <w:noWrap w:val="0"/>
                  <w:vAlign w:val="center"/>
                </w:tcPr>
                <w:p w14:paraId="41BDDF7D">
                  <w:pPr>
                    <w:numPr>
                      <w:ilvl w:val="0"/>
                      <w:numId w:val="0"/>
                    </w:numPr>
                    <w:autoSpaceDE w:val="0"/>
                    <w:autoSpaceDN w:val="0"/>
                    <w:adjustRightInd w:val="0"/>
                    <w:snapToGrid w:val="0"/>
                    <w:ind w:left="0" w:leftChars="0" w:firstLine="0" w:firstLineChars="0"/>
                    <w:jc w:val="center"/>
                    <w:rPr>
                      <w:rFonts w:hint="default" w:cs="Times New Roman"/>
                      <w:color w:val="auto"/>
                      <w:kern w:val="0"/>
                      <w:szCs w:val="21"/>
                      <w:lang w:val="en-US" w:eastAsia="zh-CN"/>
                    </w:rPr>
                  </w:pPr>
                  <w:r>
                    <w:rPr>
                      <w:rFonts w:hint="eastAsia" w:cs="Times New Roman"/>
                      <w:color w:val="auto"/>
                      <w:kern w:val="0"/>
                      <w:szCs w:val="21"/>
                      <w:lang w:val="en-US" w:eastAsia="zh-CN"/>
                    </w:rPr>
                    <w:t>/</w:t>
                  </w:r>
                </w:p>
              </w:tc>
              <w:tc>
                <w:tcPr>
                  <w:tcW w:w="867" w:type="dxa"/>
                  <w:vMerge w:val="continue"/>
                  <w:noWrap w:val="0"/>
                  <w:vAlign w:val="center"/>
                </w:tcPr>
                <w:p w14:paraId="56725EF2">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color w:val="auto"/>
                      <w:kern w:val="0"/>
                      <w:szCs w:val="21"/>
                      <w:lang w:val="en-US" w:eastAsia="zh-CN"/>
                    </w:rPr>
                  </w:pPr>
                </w:p>
              </w:tc>
              <w:tc>
                <w:tcPr>
                  <w:tcW w:w="3295" w:type="dxa"/>
                  <w:noWrap w:val="0"/>
                  <w:vAlign w:val="center"/>
                </w:tcPr>
                <w:p w14:paraId="3804623A">
                  <w:pPr>
                    <w:numPr>
                      <w:ilvl w:val="0"/>
                      <w:numId w:val="0"/>
                    </w:numPr>
                    <w:autoSpaceDE w:val="0"/>
                    <w:autoSpaceDN w:val="0"/>
                    <w:adjustRightInd w:val="0"/>
                    <w:snapToGrid w:val="0"/>
                    <w:ind w:left="0" w:leftChars="0" w:firstLine="0" w:firstLineChars="0"/>
                    <w:jc w:val="center"/>
                    <w:rPr>
                      <w:rFonts w:hint="default" w:cs="Times New Roman"/>
                      <w:color w:val="auto"/>
                      <w:kern w:val="0"/>
                      <w:szCs w:val="21"/>
                      <w:lang w:val="en-US" w:eastAsia="zh-CN"/>
                    </w:rPr>
                  </w:pPr>
                  <w:r>
                    <w:rPr>
                      <w:rFonts w:hint="eastAsia" w:cs="Times New Roman"/>
                      <w:color w:val="auto"/>
                      <w:kern w:val="0"/>
                      <w:szCs w:val="21"/>
                      <w:lang w:val="en-US" w:eastAsia="zh-CN"/>
                    </w:rPr>
                    <w:t>/</w:t>
                  </w:r>
                </w:p>
              </w:tc>
              <w:tc>
                <w:tcPr>
                  <w:tcW w:w="734" w:type="dxa"/>
                  <w:noWrap w:val="0"/>
                  <w:vAlign w:val="center"/>
                </w:tcPr>
                <w:p w14:paraId="7D0AA64A">
                  <w:pPr>
                    <w:numPr>
                      <w:ilvl w:val="0"/>
                      <w:numId w:val="0"/>
                    </w:numPr>
                    <w:autoSpaceDE w:val="0"/>
                    <w:autoSpaceDN w:val="0"/>
                    <w:adjustRightInd w:val="0"/>
                    <w:snapToGrid w:val="0"/>
                    <w:ind w:left="0" w:leftChars="0" w:firstLine="0" w:firstLineChars="0"/>
                    <w:jc w:val="center"/>
                    <w:rPr>
                      <w:rFonts w:hint="default" w:cs="Times New Roman"/>
                      <w:color w:val="auto"/>
                      <w:kern w:val="0"/>
                      <w:szCs w:val="21"/>
                      <w:lang w:val="en-US" w:eastAsia="zh-CN"/>
                    </w:rPr>
                  </w:pPr>
                  <w:r>
                    <w:rPr>
                      <w:rFonts w:hint="eastAsia" w:cs="Times New Roman"/>
                      <w:color w:val="auto"/>
                      <w:kern w:val="0"/>
                      <w:szCs w:val="21"/>
                      <w:lang w:val="en-US" w:eastAsia="zh-CN"/>
                    </w:rPr>
                    <w:t>/</w:t>
                  </w:r>
                </w:p>
              </w:tc>
            </w:tr>
            <w:tr w14:paraId="10AA8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1" w:type="dxa"/>
                  <w:vMerge w:val="restart"/>
                  <w:noWrap w:val="0"/>
                  <w:vAlign w:val="center"/>
                </w:tcPr>
                <w:p w14:paraId="7BC0AF02">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color w:val="auto"/>
                      <w:kern w:val="0"/>
                      <w:szCs w:val="21"/>
                      <w:lang w:val="en-US" w:eastAsia="zh-CN"/>
                    </w:rPr>
                  </w:pPr>
                  <w:r>
                    <w:rPr>
                      <w:rFonts w:hint="eastAsia"/>
                      <w:color w:val="auto"/>
                      <w:kern w:val="0"/>
                      <w:szCs w:val="21"/>
                      <w:lang w:val="en-US" w:eastAsia="zh-CN"/>
                    </w:rPr>
                    <w:t>千河国家级水产种质资源保护区</w:t>
                  </w:r>
                </w:p>
              </w:tc>
              <w:tc>
                <w:tcPr>
                  <w:tcW w:w="650" w:type="dxa"/>
                  <w:vMerge w:val="restart"/>
                  <w:noWrap w:val="0"/>
                  <w:vAlign w:val="center"/>
                </w:tcPr>
                <w:p w14:paraId="342C0F20">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cs="Times New Roman"/>
                      <w:color w:val="auto"/>
                      <w:spacing w:val="0"/>
                      <w:kern w:val="0"/>
                      <w:sz w:val="21"/>
                      <w:szCs w:val="21"/>
                      <w:lang w:val="en-US" w:eastAsia="zh-CN" w:bidi="ar"/>
                    </w:rPr>
                  </w:pPr>
                  <w:r>
                    <w:rPr>
                      <w:rFonts w:hint="eastAsia" w:cs="Times New Roman"/>
                      <w:color w:val="auto"/>
                      <w:spacing w:val="0"/>
                      <w:kern w:val="0"/>
                      <w:sz w:val="21"/>
                      <w:szCs w:val="21"/>
                      <w:lang w:val="en-US" w:eastAsia="zh-CN" w:bidi="ar"/>
                    </w:rPr>
                    <w:t>宝鸡市陇县</w:t>
                  </w:r>
                </w:p>
              </w:tc>
              <w:tc>
                <w:tcPr>
                  <w:tcW w:w="777" w:type="dxa"/>
                  <w:vMerge w:val="restart"/>
                  <w:noWrap w:val="0"/>
                  <w:vAlign w:val="center"/>
                </w:tcPr>
                <w:p w14:paraId="130C154C">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cs="Times New Roman"/>
                      <w:color w:val="auto"/>
                      <w:spacing w:val="0"/>
                      <w:kern w:val="0"/>
                      <w:sz w:val="21"/>
                      <w:szCs w:val="21"/>
                      <w:lang w:val="en-US" w:eastAsia="zh-CN" w:bidi="ar"/>
                    </w:rPr>
                  </w:pPr>
                  <w:r>
                    <w:rPr>
                      <w:rFonts w:hint="eastAsia"/>
                      <w:color w:val="auto"/>
                      <w:kern w:val="0"/>
                      <w:szCs w:val="21"/>
                      <w:lang w:val="en-US" w:eastAsia="zh-CN"/>
                    </w:rPr>
                    <w:t>水产种质资源保护区、重要湿地、水环境优先保护区、一般生态空间</w:t>
                  </w:r>
                </w:p>
              </w:tc>
              <w:tc>
                <w:tcPr>
                  <w:tcW w:w="733" w:type="dxa"/>
                  <w:shd w:val="clear" w:color="auto" w:fill="auto"/>
                  <w:noWrap w:val="0"/>
                  <w:vAlign w:val="center"/>
                </w:tcPr>
                <w:p w14:paraId="3FFEB2BC">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280" w:lineRule="exact"/>
                    <w:ind w:left="0" w:leftChars="0" w:firstLine="0" w:firstLineChars="0"/>
                    <w:jc w:val="both"/>
                    <w:textAlignment w:val="auto"/>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空间布局约束</w:t>
                  </w:r>
                </w:p>
              </w:tc>
              <w:tc>
                <w:tcPr>
                  <w:tcW w:w="4783" w:type="dxa"/>
                  <w:shd w:val="clear" w:color="auto" w:fill="auto"/>
                  <w:noWrap w:val="0"/>
                  <w:vAlign w:val="center"/>
                </w:tcPr>
                <w:p w14:paraId="761AA9F4">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280" w:lineRule="exact"/>
                    <w:ind w:leftChars="0"/>
                    <w:jc w:val="both"/>
                    <w:textAlignment w:val="auto"/>
                    <w:rPr>
                      <w:rFonts w:hint="eastAsia" w:eastAsia="宋体"/>
                      <w:color w:val="auto"/>
                      <w:kern w:val="0"/>
                      <w:szCs w:val="21"/>
                      <w:lang w:val="en-US" w:eastAsia="zh-CN"/>
                    </w:rPr>
                  </w:pPr>
                  <w:r>
                    <w:rPr>
                      <w:rFonts w:hint="eastAsia" w:eastAsia="宋体"/>
                      <w:color w:val="auto"/>
                      <w:kern w:val="0"/>
                      <w:szCs w:val="21"/>
                      <w:lang w:val="en-US" w:eastAsia="zh-CN"/>
                    </w:rPr>
                    <w:t>水产种质资源保护区：按照《水产种质资源保护区管理暂行办法》相关规定进行管控。1.不得损害水产种质资源及其生存环境。</w:t>
                  </w:r>
                  <w:r>
                    <w:rPr>
                      <w:rFonts w:hint="default" w:eastAsia="宋体"/>
                      <w:color w:val="auto"/>
                      <w:kern w:val="0"/>
                      <w:szCs w:val="21"/>
                      <w:lang w:val="en-US" w:eastAsia="zh-CN"/>
                    </w:rPr>
                    <w:t>2.</w:t>
                  </w:r>
                  <w:r>
                    <w:rPr>
                      <w:rFonts w:hint="eastAsia" w:eastAsia="宋体"/>
                      <w:color w:val="auto"/>
                      <w:kern w:val="0"/>
                      <w:szCs w:val="21"/>
                      <w:lang w:val="en-US" w:eastAsia="zh-CN"/>
                    </w:rPr>
                    <w:t>特别保护期内不得从事捕捞、爆破作业以及其他可能对保护区内生物资源和生态</w:t>
                  </w:r>
                  <w:r>
                    <w:rPr>
                      <w:rFonts w:hint="eastAsia"/>
                      <w:color w:val="auto"/>
                      <w:kern w:val="0"/>
                      <w:szCs w:val="21"/>
                      <w:lang w:val="en-US" w:eastAsia="zh-CN"/>
                    </w:rPr>
                    <w:t>环境</w:t>
                  </w:r>
                  <w:r>
                    <w:rPr>
                      <w:rFonts w:hint="eastAsia" w:eastAsia="宋体"/>
                      <w:color w:val="auto"/>
                      <w:kern w:val="0"/>
                      <w:szCs w:val="21"/>
                      <w:lang w:val="en-US" w:eastAsia="zh-CN"/>
                    </w:rPr>
                    <w:t>造成损害的活动。</w:t>
                  </w:r>
                  <w:r>
                    <w:rPr>
                      <w:rFonts w:hint="default" w:eastAsia="宋体"/>
                      <w:color w:val="auto"/>
                      <w:kern w:val="0"/>
                      <w:szCs w:val="21"/>
                      <w:lang w:val="en-US" w:eastAsia="zh-CN"/>
                    </w:rPr>
                    <w:t>3.</w:t>
                  </w:r>
                  <w:r>
                    <w:rPr>
                      <w:rFonts w:hint="eastAsia" w:eastAsia="宋体"/>
                      <w:color w:val="auto"/>
                      <w:kern w:val="0"/>
                      <w:szCs w:val="21"/>
                      <w:lang w:val="en-US" w:eastAsia="zh-CN"/>
                    </w:rPr>
                    <w:t xml:space="preserve">禁止在水产种质资源保护区内新建排污口。在水产种质资源保护区附近新建、改建、扩建排污口，应当保证保护区水体 </w:t>
                  </w:r>
                </w:p>
                <w:p w14:paraId="39B1F3B6">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280" w:lineRule="exact"/>
                    <w:ind w:leftChars="0"/>
                    <w:jc w:val="both"/>
                    <w:textAlignment w:val="auto"/>
                    <w:rPr>
                      <w:rFonts w:hint="eastAsia" w:eastAsia="宋体"/>
                      <w:color w:val="auto"/>
                      <w:kern w:val="0"/>
                      <w:szCs w:val="21"/>
                      <w:lang w:val="en-US" w:eastAsia="zh-CN"/>
                    </w:rPr>
                  </w:pPr>
                  <w:r>
                    <w:rPr>
                      <w:rFonts w:hint="eastAsia" w:eastAsia="宋体"/>
                      <w:color w:val="auto"/>
                      <w:kern w:val="0"/>
                      <w:szCs w:val="21"/>
                      <w:lang w:val="en-US" w:eastAsia="zh-CN"/>
                    </w:rPr>
                    <w:t>不受污染。</w:t>
                  </w:r>
                  <w:r>
                    <w:rPr>
                      <w:rFonts w:hint="default" w:eastAsia="宋体"/>
                      <w:color w:val="auto"/>
                      <w:kern w:val="0"/>
                      <w:szCs w:val="21"/>
                      <w:lang w:val="en-US" w:eastAsia="zh-CN"/>
                    </w:rPr>
                    <w:t>4.</w:t>
                  </w:r>
                  <w:r>
                    <w:rPr>
                      <w:rFonts w:hint="eastAsia" w:eastAsia="宋体"/>
                      <w:color w:val="auto"/>
                      <w:kern w:val="0"/>
                      <w:szCs w:val="21"/>
                      <w:lang w:val="en-US" w:eastAsia="zh-CN"/>
                    </w:rPr>
                    <w:t>禁止在水产种质资源保护区内从事围湖造田、围海造地或围填海工程。</w:t>
                  </w:r>
                  <w:r>
                    <w:rPr>
                      <w:rFonts w:hint="default" w:eastAsia="宋体"/>
                      <w:color w:val="auto"/>
                      <w:kern w:val="0"/>
                      <w:szCs w:val="21"/>
                      <w:lang w:val="en-US" w:eastAsia="zh-CN"/>
                    </w:rPr>
                    <w:t>5.</w:t>
                  </w:r>
                  <w:r>
                    <w:rPr>
                      <w:rFonts w:hint="eastAsia" w:eastAsia="宋体"/>
                      <w:color w:val="auto"/>
                      <w:kern w:val="0"/>
                      <w:szCs w:val="21"/>
                      <w:lang w:val="en-US" w:eastAsia="zh-CN"/>
                    </w:rPr>
                    <w:t xml:space="preserve">在水产种质资源保护区内从事修建水利工程、疏浚航道、建闸筑坝、勘探和开采矿产资源等工程建设的，或者在水产种质资源保护区外从事可能损害保护区功能的工程建设活动的，应当按照国家有关规定编制建设项目对水产种质资源保护区的影响专题论证报告，并将其纳入环境影响评价报告书。重要湿地：按照《中华人民共和国湿地保护法》《湿地保护管理规定》《陕西省湿地保护条例》等相关规定进行管 </w:t>
                  </w:r>
                </w:p>
                <w:p w14:paraId="35922767">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280" w:lineRule="exact"/>
                    <w:ind w:leftChars="0"/>
                    <w:jc w:val="both"/>
                    <w:textAlignment w:val="auto"/>
                    <w:rPr>
                      <w:rFonts w:hint="eastAsia" w:eastAsia="宋体"/>
                      <w:color w:val="auto"/>
                      <w:kern w:val="0"/>
                      <w:szCs w:val="21"/>
                      <w:lang w:val="en-US" w:eastAsia="zh-CN"/>
                    </w:rPr>
                  </w:pPr>
                  <w:r>
                    <w:rPr>
                      <w:rFonts w:hint="eastAsia" w:eastAsia="宋体"/>
                      <w:color w:val="auto"/>
                      <w:kern w:val="0"/>
                      <w:szCs w:val="21"/>
                      <w:lang w:val="en-US" w:eastAsia="zh-CN"/>
                    </w:rPr>
                    <w:t>控。</w:t>
                  </w:r>
                  <w:r>
                    <w:rPr>
                      <w:rFonts w:hint="default" w:eastAsia="宋体"/>
                      <w:color w:val="auto"/>
                      <w:kern w:val="0"/>
                      <w:szCs w:val="21"/>
                      <w:lang w:val="en-US" w:eastAsia="zh-CN"/>
                    </w:rPr>
                    <w:t>1.</w:t>
                  </w:r>
                  <w:r>
                    <w:rPr>
                      <w:rFonts w:hint="eastAsia" w:eastAsia="宋体"/>
                      <w:color w:val="auto"/>
                      <w:kern w:val="0"/>
                      <w:szCs w:val="21"/>
                      <w:lang w:val="en-US" w:eastAsia="zh-CN"/>
                    </w:rPr>
                    <w:t>禁止占用国家重要湿地，国家重大项目、防灾减灾项目、重要水利及保护设施项目、湿地保护项目等除外。</w:t>
                  </w:r>
                  <w:r>
                    <w:rPr>
                      <w:rFonts w:hint="default" w:eastAsia="宋体"/>
                      <w:color w:val="auto"/>
                      <w:kern w:val="0"/>
                      <w:szCs w:val="21"/>
                      <w:lang w:val="en-US" w:eastAsia="zh-CN"/>
                    </w:rPr>
                    <w:t>2.</w:t>
                  </w:r>
                  <w:r>
                    <w:rPr>
                      <w:rFonts w:hint="eastAsia" w:eastAsia="宋体"/>
                      <w:color w:val="auto"/>
                      <w:kern w:val="0"/>
                      <w:szCs w:val="21"/>
                      <w:lang w:val="en-US" w:eastAsia="zh-CN"/>
                    </w:rPr>
                    <w:t xml:space="preserve">禁止开（围）垦、烧荒、排干自然湿地，永久性截断自然湿地水源；禁止擅自填埋自然湿地；禁止擅自采砂、采矿、取土、放牧、取水、排污、挖塘；禁止排放不符合水污染物排放标准的工业废水、生活污水及其他污染湿地的废水、污水， </w:t>
                  </w:r>
                </w:p>
                <w:p w14:paraId="18D4D657">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280" w:lineRule="exact"/>
                    <w:ind w:leftChars="0"/>
                    <w:jc w:val="both"/>
                    <w:textAlignment w:val="auto"/>
                    <w:rPr>
                      <w:rFonts w:hint="eastAsia" w:eastAsia="宋体"/>
                      <w:color w:val="auto"/>
                      <w:kern w:val="0"/>
                      <w:szCs w:val="21"/>
                      <w:lang w:val="en-US" w:eastAsia="zh-CN"/>
                    </w:rPr>
                  </w:pPr>
                  <w:r>
                    <w:rPr>
                      <w:rFonts w:hint="eastAsia" w:eastAsia="宋体"/>
                      <w:color w:val="auto"/>
                      <w:kern w:val="0"/>
                      <w:szCs w:val="21"/>
                      <w:lang w:val="en-US" w:eastAsia="zh-CN"/>
                    </w:rPr>
                    <w:t>排放有毒有害气体，倾倒、堆放、丢弃、遗撒固体废物，投放可能危害水体、水生生物的化学物品；禁止过度放牧或者滥采野生植物，过度捕捞或者灭绝式捕捞，过度施肥、投药、投放饵料等污染湿地的种植养殖行为；禁止破坏鱼类等水生生物洄游通道或者野生动物栖息地，滥采滥捕野生动植物；禁止其他破坏湿地及其生态功能的行为。</w:t>
                  </w:r>
                  <w:r>
                    <w:rPr>
                      <w:rFonts w:hint="default" w:eastAsia="宋体"/>
                      <w:color w:val="auto"/>
                      <w:kern w:val="0"/>
                      <w:szCs w:val="21"/>
                      <w:lang w:val="en-US" w:eastAsia="zh-CN"/>
                    </w:rPr>
                    <w:t>3</w:t>
                  </w:r>
                  <w:r>
                    <w:rPr>
                      <w:rFonts w:hint="eastAsia" w:eastAsia="宋体"/>
                      <w:color w:val="auto"/>
                      <w:kern w:val="0"/>
                      <w:szCs w:val="21"/>
                      <w:lang w:val="en-US" w:eastAsia="zh-CN"/>
                    </w:rPr>
                    <w:t>、禁止在以水鸟为保护对象的自然保护地及其他重要栖息地从事捕鱼、挖捕底栖生物、捡拾鸟蛋、破坏鸟巢等危及水鸟生存、繁衍的活动。</w:t>
                  </w:r>
                  <w:r>
                    <w:rPr>
                      <w:rFonts w:hint="default" w:eastAsia="宋体"/>
                      <w:color w:val="auto"/>
                      <w:kern w:val="0"/>
                      <w:szCs w:val="21"/>
                      <w:lang w:val="en-US" w:eastAsia="zh-CN"/>
                    </w:rPr>
                    <w:t>4</w:t>
                  </w:r>
                  <w:r>
                    <w:rPr>
                      <w:rFonts w:hint="eastAsia" w:eastAsia="宋体"/>
                      <w:color w:val="auto"/>
                      <w:kern w:val="0"/>
                      <w:szCs w:val="21"/>
                      <w:lang w:val="en-US" w:eastAsia="zh-CN"/>
                    </w:rPr>
                    <w:t>．禁止向湿地引进和放生外来物种。</w:t>
                  </w:r>
                  <w:r>
                    <w:rPr>
                      <w:rFonts w:hint="default" w:eastAsia="宋体"/>
                      <w:color w:val="auto"/>
                      <w:kern w:val="0"/>
                      <w:szCs w:val="21"/>
                      <w:lang w:val="en-US" w:eastAsia="zh-CN"/>
                    </w:rPr>
                    <w:t>5</w:t>
                  </w:r>
                  <w:r>
                    <w:rPr>
                      <w:rFonts w:hint="eastAsia" w:eastAsia="宋体"/>
                      <w:color w:val="auto"/>
                      <w:kern w:val="0"/>
                      <w:szCs w:val="21"/>
                      <w:lang w:val="en-US" w:eastAsia="zh-CN"/>
                    </w:rPr>
                    <w:t>．禁止违法占用耕地等建设人工湿地。</w:t>
                  </w:r>
                  <w:r>
                    <w:rPr>
                      <w:rFonts w:hint="default" w:eastAsia="宋体"/>
                      <w:color w:val="auto"/>
                      <w:kern w:val="0"/>
                      <w:szCs w:val="21"/>
                      <w:lang w:val="en-US" w:eastAsia="zh-CN"/>
                    </w:rPr>
                    <w:t>6.</w:t>
                  </w:r>
                  <w:r>
                    <w:rPr>
                      <w:rFonts w:hint="eastAsia" w:eastAsia="宋体"/>
                      <w:color w:val="auto"/>
                      <w:kern w:val="0"/>
                      <w:szCs w:val="21"/>
                      <w:lang w:val="en-US" w:eastAsia="zh-CN"/>
                    </w:rPr>
                    <w:t>不得擅自移动或者破坏湿地保护标志。水环境优先保护区：</w:t>
                  </w:r>
                  <w:r>
                    <w:rPr>
                      <w:rFonts w:hint="default" w:eastAsia="宋体"/>
                      <w:color w:val="auto"/>
                      <w:kern w:val="0"/>
                      <w:szCs w:val="21"/>
                      <w:lang w:val="en-US" w:eastAsia="zh-CN"/>
                    </w:rPr>
                    <w:t>1.</w:t>
                  </w:r>
                  <w:r>
                    <w:rPr>
                      <w:rFonts w:hint="eastAsia" w:eastAsia="宋体"/>
                      <w:color w:val="auto"/>
                      <w:kern w:val="0"/>
                      <w:szCs w:val="21"/>
                      <w:lang w:val="en-US" w:eastAsia="zh-CN"/>
                    </w:rPr>
                    <w:t xml:space="preserve">强化江河源头和饮用水水源地保护。加强主要江河源头、重要水源涵养地的水环境保护，划定禁止开发范围。依法划定和保护饮用水水源保护区，加强水土流失和面源污染防治，严格管控入河排污口，严格河道采砂管理，维系江河湖库健康生命。一般生态空间：原则上按照限制开发区进行管理。功能属性单一、管控要求明确的一般生态空间，按照生态功能属性的既 </w:t>
                  </w:r>
                </w:p>
                <w:p w14:paraId="4DA60019">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280" w:lineRule="exact"/>
                    <w:ind w:leftChars="0"/>
                    <w:jc w:val="both"/>
                    <w:textAlignment w:val="auto"/>
                    <w:rPr>
                      <w:rFonts w:hint="eastAsia" w:cs="Times New Roman"/>
                      <w:color w:val="auto"/>
                      <w:kern w:val="0"/>
                      <w:szCs w:val="21"/>
                      <w:lang w:val="en-US" w:eastAsia="zh-CN"/>
                    </w:rPr>
                  </w:pPr>
                  <w:r>
                    <w:rPr>
                      <w:rFonts w:hint="eastAsia" w:eastAsia="宋体"/>
                      <w:color w:val="auto"/>
                      <w:kern w:val="0"/>
                      <w:szCs w:val="21"/>
                      <w:lang w:val="en-US" w:eastAsia="zh-CN"/>
                    </w:rPr>
                    <w:t>有规定实施管理；具有多重功能属性、且均有既有管理要求的一般生态空间，按照管控要求的严格程度，从严管理；尚未明确管理要求的一般生态空间，以保护为主，限制有损主导生态服务功能的开发建设活动。</w:t>
                  </w:r>
                </w:p>
              </w:tc>
              <w:tc>
                <w:tcPr>
                  <w:tcW w:w="867" w:type="dxa"/>
                  <w:vMerge w:val="restart"/>
                  <w:noWrap w:val="0"/>
                  <w:vAlign w:val="center"/>
                </w:tcPr>
                <w:p w14:paraId="6AD32C8E">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color w:val="auto"/>
                      <w:kern w:val="0"/>
                      <w:szCs w:val="21"/>
                      <w:lang w:val="en-US" w:eastAsia="zh-CN"/>
                    </w:rPr>
                  </w:pPr>
                  <w:r>
                    <w:rPr>
                      <w:rFonts w:hint="eastAsia"/>
                      <w:color w:val="auto"/>
                      <w:kern w:val="0"/>
                      <w:szCs w:val="21"/>
                      <w:lang w:val="en-US" w:eastAsia="zh-CN"/>
                    </w:rPr>
                    <w:t>77.74</w:t>
                  </w:r>
                </w:p>
              </w:tc>
              <w:tc>
                <w:tcPr>
                  <w:tcW w:w="3295" w:type="dxa"/>
                  <w:noWrap w:val="0"/>
                  <w:vAlign w:val="center"/>
                </w:tcPr>
                <w:p w14:paraId="5BE90CC9">
                  <w:pPr>
                    <w:numPr>
                      <w:ilvl w:val="0"/>
                      <w:numId w:val="0"/>
                    </w:numPr>
                    <w:autoSpaceDE w:val="0"/>
                    <w:autoSpaceDN w:val="0"/>
                    <w:adjustRightInd w:val="0"/>
                    <w:snapToGrid w:val="0"/>
                    <w:ind w:left="0" w:leftChars="0" w:firstLine="0" w:firstLineChars="0"/>
                    <w:jc w:val="both"/>
                    <w:rPr>
                      <w:rFonts w:hint="eastAsia" w:eastAsia="宋体"/>
                      <w:color w:val="auto"/>
                      <w:kern w:val="0"/>
                      <w:szCs w:val="21"/>
                      <w:lang w:val="en-US" w:eastAsia="zh-CN"/>
                    </w:rPr>
                  </w:pPr>
                  <w:r>
                    <w:rPr>
                      <w:rFonts w:hint="eastAsia" w:eastAsia="宋体"/>
                      <w:color w:val="auto"/>
                      <w:kern w:val="0"/>
                      <w:szCs w:val="21"/>
                      <w:lang w:val="en-US" w:eastAsia="zh-CN"/>
                    </w:rPr>
                    <w:t>水产种质资源保护区：</w:t>
                  </w:r>
                </w:p>
                <w:p w14:paraId="5C967A62">
                  <w:pPr>
                    <w:numPr>
                      <w:ilvl w:val="0"/>
                      <w:numId w:val="0"/>
                    </w:numPr>
                    <w:autoSpaceDE w:val="0"/>
                    <w:autoSpaceDN w:val="0"/>
                    <w:adjustRightInd w:val="0"/>
                    <w:snapToGrid w:val="0"/>
                    <w:ind w:left="0" w:leftChars="0" w:firstLine="0" w:firstLineChars="0"/>
                    <w:jc w:val="both"/>
                    <w:rPr>
                      <w:rFonts w:hint="default" w:eastAsia="宋体"/>
                      <w:color w:val="auto"/>
                      <w:kern w:val="0"/>
                      <w:szCs w:val="21"/>
                      <w:lang w:val="en-US" w:eastAsia="zh-CN"/>
                    </w:rPr>
                  </w:pPr>
                  <w:r>
                    <w:rPr>
                      <w:rFonts w:hint="eastAsia" w:eastAsia="宋体"/>
                      <w:color w:val="auto"/>
                      <w:kern w:val="0"/>
                      <w:szCs w:val="21"/>
                      <w:lang w:val="en-US" w:eastAsia="zh-CN"/>
                    </w:rPr>
                    <w:t>1.</w:t>
                  </w:r>
                  <w:r>
                    <w:rPr>
                      <w:rFonts w:hint="eastAsia"/>
                      <w:color w:val="auto"/>
                      <w:kern w:val="0"/>
                      <w:szCs w:val="21"/>
                      <w:lang w:val="en-US" w:eastAsia="zh-CN"/>
                    </w:rPr>
                    <w:t>经核对，</w:t>
                  </w:r>
                  <w:r>
                    <w:rPr>
                      <w:rFonts w:hint="eastAsia" w:eastAsia="宋体"/>
                      <w:color w:val="auto"/>
                      <w:kern w:val="0"/>
                      <w:szCs w:val="21"/>
                      <w:lang w:val="en-US" w:eastAsia="zh-CN"/>
                    </w:rPr>
                    <w:t>本</w:t>
                  </w:r>
                  <w:r>
                    <w:rPr>
                      <w:rFonts w:hint="eastAsia"/>
                      <w:color w:val="auto"/>
                      <w:kern w:val="0"/>
                      <w:szCs w:val="21"/>
                      <w:lang w:val="en-US" w:eastAsia="zh-CN"/>
                    </w:rPr>
                    <w:t>工程不涉及千河水产种质资源保护区，项目</w:t>
                  </w:r>
                  <w:r>
                    <w:rPr>
                      <w:rFonts w:hint="eastAsia" w:eastAsia="宋体"/>
                      <w:color w:val="auto"/>
                      <w:kern w:val="0"/>
                      <w:szCs w:val="21"/>
                      <w:lang w:val="en-US" w:eastAsia="zh-CN"/>
                    </w:rPr>
                    <w:t>工程量较小，施工期</w:t>
                  </w:r>
                  <w:r>
                    <w:rPr>
                      <w:rFonts w:hint="eastAsia"/>
                      <w:color w:val="auto"/>
                      <w:kern w:val="0"/>
                      <w:szCs w:val="21"/>
                      <w:lang w:val="en-US" w:eastAsia="zh-CN"/>
                    </w:rPr>
                    <w:t>短</w:t>
                  </w:r>
                  <w:r>
                    <w:rPr>
                      <w:rFonts w:hint="eastAsia" w:eastAsia="宋体"/>
                      <w:color w:val="auto"/>
                      <w:kern w:val="0"/>
                      <w:szCs w:val="21"/>
                      <w:lang w:val="en-US" w:eastAsia="zh-CN"/>
                    </w:rPr>
                    <w:t>，施工期采取环评提出的保护措施，不会损害水产种质资源及其生存环境。</w:t>
                  </w:r>
                </w:p>
                <w:p w14:paraId="69CFAF2D">
                  <w:pPr>
                    <w:numPr>
                      <w:ilvl w:val="0"/>
                      <w:numId w:val="0"/>
                    </w:numPr>
                    <w:autoSpaceDE w:val="0"/>
                    <w:autoSpaceDN w:val="0"/>
                    <w:adjustRightInd w:val="0"/>
                    <w:snapToGrid w:val="0"/>
                    <w:ind w:left="0" w:leftChars="0" w:firstLine="0" w:firstLineChars="0"/>
                    <w:jc w:val="both"/>
                    <w:rPr>
                      <w:rFonts w:hint="default" w:eastAsia="宋体"/>
                      <w:color w:val="auto"/>
                      <w:kern w:val="0"/>
                      <w:szCs w:val="21"/>
                      <w:lang w:val="en-US" w:eastAsia="zh-CN"/>
                    </w:rPr>
                  </w:pPr>
                  <w:r>
                    <w:rPr>
                      <w:rFonts w:hint="eastAsia" w:eastAsia="宋体"/>
                      <w:color w:val="auto"/>
                      <w:kern w:val="0"/>
                      <w:szCs w:val="21"/>
                      <w:lang w:val="en-US" w:eastAsia="zh-CN"/>
                    </w:rPr>
                    <w:t>2.本项目采取环评提出的保护措施后，不会对生态环境造成损害。</w:t>
                  </w:r>
                </w:p>
                <w:p w14:paraId="08F13294">
                  <w:pPr>
                    <w:numPr>
                      <w:ilvl w:val="0"/>
                      <w:numId w:val="0"/>
                    </w:numPr>
                    <w:autoSpaceDE w:val="0"/>
                    <w:autoSpaceDN w:val="0"/>
                    <w:adjustRightInd w:val="0"/>
                    <w:snapToGrid w:val="0"/>
                    <w:ind w:left="0" w:leftChars="0" w:firstLine="0" w:firstLineChars="0"/>
                    <w:jc w:val="both"/>
                    <w:rPr>
                      <w:rFonts w:hint="eastAsia"/>
                      <w:color w:val="auto"/>
                      <w:lang w:val="en-US" w:eastAsia="zh-CN"/>
                    </w:rPr>
                  </w:pPr>
                  <w:r>
                    <w:rPr>
                      <w:rFonts w:hint="eastAsia"/>
                      <w:color w:val="auto"/>
                      <w:lang w:val="en-US" w:eastAsia="zh-CN"/>
                    </w:rPr>
                    <w:t>3.本项目不新建排污口。</w:t>
                  </w:r>
                </w:p>
                <w:p w14:paraId="016F3E9D">
                  <w:pPr>
                    <w:pStyle w:val="3"/>
                    <w:keepNext/>
                    <w:keepLines/>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val="0"/>
                      <w:color w:val="auto"/>
                      <w:kern w:val="0"/>
                      <w:sz w:val="21"/>
                      <w:szCs w:val="21"/>
                      <w:lang w:val="en-US" w:eastAsia="zh-CN" w:bidi="ar-SA"/>
                    </w:rPr>
                  </w:pPr>
                  <w:r>
                    <w:rPr>
                      <w:rFonts w:hint="eastAsia" w:eastAsia="宋体" w:cs="Times New Roman"/>
                      <w:b w:val="0"/>
                      <w:color w:val="auto"/>
                      <w:kern w:val="0"/>
                      <w:sz w:val="21"/>
                      <w:szCs w:val="21"/>
                      <w:lang w:val="en-US" w:eastAsia="zh-CN" w:bidi="ar-SA"/>
                    </w:rPr>
                    <w:t>4</w:t>
                  </w:r>
                  <w:r>
                    <w:rPr>
                      <w:rFonts w:hint="eastAsia" w:ascii="Times New Roman" w:hAnsi="Times New Roman" w:eastAsia="宋体" w:cs="Times New Roman"/>
                      <w:b w:val="0"/>
                      <w:color w:val="auto"/>
                      <w:kern w:val="0"/>
                      <w:sz w:val="21"/>
                      <w:szCs w:val="21"/>
                      <w:lang w:val="en-US" w:eastAsia="zh-CN" w:bidi="ar-SA"/>
                    </w:rPr>
                    <w:t>.本项目不涉及。</w:t>
                  </w:r>
                </w:p>
                <w:p w14:paraId="513683C8">
                  <w:pPr>
                    <w:numPr>
                      <w:ilvl w:val="0"/>
                      <w:numId w:val="0"/>
                    </w:numPr>
                    <w:autoSpaceDE w:val="0"/>
                    <w:autoSpaceDN w:val="0"/>
                    <w:adjustRightInd w:val="0"/>
                    <w:snapToGrid w:val="0"/>
                    <w:ind w:left="0" w:leftChars="0" w:firstLine="0" w:firstLineChars="0"/>
                    <w:jc w:val="both"/>
                    <w:rPr>
                      <w:rFonts w:hint="eastAsia" w:eastAsia="宋体"/>
                      <w:color w:val="auto"/>
                      <w:kern w:val="0"/>
                      <w:szCs w:val="21"/>
                      <w:lang w:val="en-US" w:eastAsia="zh-CN"/>
                    </w:rPr>
                  </w:pPr>
                  <w:r>
                    <w:rPr>
                      <w:rFonts w:hint="eastAsia" w:eastAsia="宋体"/>
                      <w:color w:val="auto"/>
                      <w:kern w:val="0"/>
                      <w:szCs w:val="21"/>
                      <w:lang w:val="en-US" w:eastAsia="zh-CN"/>
                    </w:rPr>
                    <w:t>5.</w:t>
                  </w:r>
                  <w:r>
                    <w:rPr>
                      <w:rFonts w:hint="eastAsia"/>
                      <w:color w:val="auto"/>
                      <w:kern w:val="0"/>
                      <w:szCs w:val="21"/>
                      <w:lang w:val="en-US" w:eastAsia="zh-CN"/>
                    </w:rPr>
                    <w:t>经核对，</w:t>
                  </w:r>
                  <w:r>
                    <w:rPr>
                      <w:rFonts w:hint="eastAsia" w:eastAsia="宋体"/>
                      <w:color w:val="auto"/>
                      <w:kern w:val="0"/>
                      <w:szCs w:val="21"/>
                      <w:lang w:val="en-US" w:eastAsia="zh-CN"/>
                    </w:rPr>
                    <w:t>本</w:t>
                  </w:r>
                  <w:r>
                    <w:rPr>
                      <w:rFonts w:hint="eastAsia"/>
                      <w:color w:val="auto"/>
                      <w:kern w:val="0"/>
                      <w:szCs w:val="21"/>
                      <w:lang w:val="en-US" w:eastAsia="zh-CN"/>
                    </w:rPr>
                    <w:t>工程不在千河水产种质资源保护区范围内，</w:t>
                  </w:r>
                  <w:r>
                    <w:rPr>
                      <w:rFonts w:hint="eastAsia" w:eastAsia="宋体"/>
                      <w:color w:val="auto"/>
                      <w:kern w:val="0"/>
                      <w:szCs w:val="21"/>
                      <w:lang w:val="en-US" w:eastAsia="zh-CN"/>
                    </w:rPr>
                    <w:t>项目工程量较小，施工期</w:t>
                  </w:r>
                  <w:r>
                    <w:rPr>
                      <w:rFonts w:hint="eastAsia"/>
                      <w:color w:val="auto"/>
                      <w:kern w:val="0"/>
                      <w:szCs w:val="21"/>
                      <w:lang w:val="en-US" w:eastAsia="zh-CN"/>
                    </w:rPr>
                    <w:t>短</w:t>
                  </w:r>
                  <w:r>
                    <w:rPr>
                      <w:rFonts w:hint="eastAsia" w:eastAsia="宋体"/>
                      <w:color w:val="auto"/>
                      <w:kern w:val="0"/>
                      <w:szCs w:val="21"/>
                      <w:lang w:val="en-US" w:eastAsia="zh-CN"/>
                    </w:rPr>
                    <w:t>，施工期采取环评提出的保护措施，不会损害水产种质资源及其生存环境。</w:t>
                  </w:r>
                </w:p>
                <w:p w14:paraId="3FA9869D">
                  <w:pPr>
                    <w:numPr>
                      <w:ilvl w:val="0"/>
                      <w:numId w:val="0"/>
                    </w:numPr>
                    <w:autoSpaceDE w:val="0"/>
                    <w:autoSpaceDN w:val="0"/>
                    <w:adjustRightInd w:val="0"/>
                    <w:snapToGrid w:val="0"/>
                    <w:ind w:left="0" w:leftChars="0" w:firstLine="0" w:firstLineChars="0"/>
                    <w:jc w:val="both"/>
                    <w:rPr>
                      <w:rFonts w:hint="eastAsia" w:eastAsia="宋体"/>
                      <w:color w:val="auto"/>
                      <w:kern w:val="0"/>
                      <w:szCs w:val="21"/>
                      <w:lang w:val="en-US" w:eastAsia="zh-CN"/>
                    </w:rPr>
                  </w:pPr>
                  <w:r>
                    <w:rPr>
                      <w:rFonts w:hint="eastAsia" w:eastAsia="宋体"/>
                      <w:color w:val="auto"/>
                      <w:kern w:val="0"/>
                      <w:szCs w:val="21"/>
                      <w:lang w:val="en-US" w:eastAsia="zh-CN"/>
                    </w:rPr>
                    <w:t>重要湿地：</w:t>
                  </w:r>
                </w:p>
                <w:p w14:paraId="4FF17BBC">
                  <w:pPr>
                    <w:numPr>
                      <w:ilvl w:val="0"/>
                      <w:numId w:val="0"/>
                    </w:numPr>
                    <w:autoSpaceDE w:val="0"/>
                    <w:autoSpaceDN w:val="0"/>
                    <w:adjustRightInd w:val="0"/>
                    <w:snapToGrid w:val="0"/>
                    <w:ind w:leftChars="0"/>
                    <w:jc w:val="both"/>
                    <w:rPr>
                      <w:rFonts w:hint="eastAsia" w:cs="Times New Roman"/>
                      <w:color w:val="auto"/>
                      <w:kern w:val="0"/>
                      <w:szCs w:val="21"/>
                      <w:lang w:val="en-US" w:eastAsia="zh-CN"/>
                    </w:rPr>
                  </w:pPr>
                  <w:r>
                    <w:rPr>
                      <w:rFonts w:hint="eastAsia" w:cs="Times New Roman"/>
                      <w:color w:val="auto"/>
                      <w:kern w:val="0"/>
                      <w:szCs w:val="21"/>
                      <w:lang w:val="en-US" w:eastAsia="zh-CN"/>
                    </w:rPr>
                    <w:t>1.经核对，本项目不涉及千河湿地。</w:t>
                  </w:r>
                </w:p>
                <w:p w14:paraId="056D1948">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280" w:lineRule="exact"/>
                    <w:ind w:leftChars="0"/>
                    <w:jc w:val="both"/>
                    <w:textAlignment w:val="auto"/>
                    <w:rPr>
                      <w:rFonts w:hint="eastAsia"/>
                      <w:color w:val="auto"/>
                      <w:lang w:val="en-US" w:eastAsia="zh-CN"/>
                    </w:rPr>
                  </w:pPr>
                  <w:r>
                    <w:rPr>
                      <w:rFonts w:hint="eastAsia"/>
                      <w:color w:val="auto"/>
                      <w:lang w:val="en-US" w:eastAsia="zh-CN"/>
                    </w:rPr>
                    <w:t>2.本项目人工湿地净化工程对污水处理厂的尾水进行深度处理，处理后再排入千河和大杜阳河，项目建成后可减少排入水体的污染物，减轻对水体的污染。</w:t>
                  </w:r>
                </w:p>
                <w:p w14:paraId="6093EFA5">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280" w:lineRule="exact"/>
                    <w:ind w:leftChars="0"/>
                    <w:jc w:val="both"/>
                    <w:textAlignment w:val="auto"/>
                    <w:rPr>
                      <w:rFonts w:hint="eastAsia" w:eastAsia="宋体"/>
                      <w:color w:val="auto"/>
                      <w:kern w:val="0"/>
                      <w:szCs w:val="21"/>
                      <w:lang w:val="en-US" w:eastAsia="zh-CN"/>
                    </w:rPr>
                  </w:pPr>
                  <w:r>
                    <w:rPr>
                      <w:rFonts w:hint="eastAsia"/>
                      <w:color w:val="auto"/>
                      <w:lang w:val="en-US" w:eastAsia="zh-CN"/>
                    </w:rPr>
                    <w:t>3.本项目施工期加强对施工人员的宣传教育，</w:t>
                  </w:r>
                  <w:r>
                    <w:rPr>
                      <w:rFonts w:hint="eastAsia" w:eastAsia="宋体"/>
                      <w:color w:val="auto"/>
                      <w:kern w:val="0"/>
                      <w:szCs w:val="21"/>
                      <w:lang w:val="en-US" w:eastAsia="zh-CN"/>
                    </w:rPr>
                    <w:t>禁止捕鱼、挖捕底栖生物、捡拾鸟蛋、破坏鸟巢等危及水鸟生存、繁衍的活动。</w:t>
                  </w:r>
                </w:p>
                <w:p w14:paraId="614AAD4A">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280" w:lineRule="exact"/>
                    <w:ind w:leftChars="0"/>
                    <w:jc w:val="both"/>
                    <w:textAlignment w:val="auto"/>
                    <w:rPr>
                      <w:rFonts w:hint="eastAsia" w:eastAsia="宋体"/>
                      <w:color w:val="auto"/>
                      <w:kern w:val="0"/>
                      <w:szCs w:val="21"/>
                      <w:lang w:val="en-US" w:eastAsia="zh-CN"/>
                    </w:rPr>
                  </w:pPr>
                  <w:r>
                    <w:rPr>
                      <w:rFonts w:hint="eastAsia" w:eastAsia="宋体"/>
                      <w:color w:val="auto"/>
                      <w:kern w:val="0"/>
                      <w:szCs w:val="21"/>
                      <w:lang w:val="en-US" w:eastAsia="zh-CN"/>
                    </w:rPr>
                    <w:t>4.本项目不涉及。</w:t>
                  </w:r>
                </w:p>
                <w:p w14:paraId="546BB191">
                  <w:pPr>
                    <w:numPr>
                      <w:ilvl w:val="0"/>
                      <w:numId w:val="0"/>
                    </w:numPr>
                    <w:autoSpaceDE w:val="0"/>
                    <w:autoSpaceDN w:val="0"/>
                    <w:adjustRightInd w:val="0"/>
                    <w:snapToGrid w:val="0"/>
                    <w:ind w:left="0" w:leftChars="0" w:firstLine="0" w:firstLineChars="0"/>
                    <w:jc w:val="both"/>
                    <w:rPr>
                      <w:rFonts w:hint="eastAsia"/>
                      <w:color w:val="auto"/>
                      <w:lang w:val="en-US" w:eastAsia="zh-CN"/>
                    </w:rPr>
                  </w:pPr>
                  <w:r>
                    <w:rPr>
                      <w:rFonts w:hint="eastAsia"/>
                      <w:color w:val="auto"/>
                      <w:lang w:val="en-US" w:eastAsia="zh-CN"/>
                    </w:rPr>
                    <w:t>5.本项目陇县污水处理厂人工湿地占地类型为园地、其他林地、其他草地，陇县千河南岸新城污水处理厂人工湿地占地类型为天然牧草地、公用设施用地、公路用地 和乔木林地，不涉及耕地。</w:t>
                  </w:r>
                </w:p>
                <w:p w14:paraId="3E667A88">
                  <w:pPr>
                    <w:numPr>
                      <w:ilvl w:val="0"/>
                      <w:numId w:val="0"/>
                    </w:numPr>
                    <w:autoSpaceDE w:val="0"/>
                    <w:autoSpaceDN w:val="0"/>
                    <w:adjustRightInd w:val="0"/>
                    <w:snapToGrid w:val="0"/>
                    <w:ind w:left="0" w:leftChars="0" w:firstLine="0" w:firstLineChars="0"/>
                    <w:jc w:val="both"/>
                    <w:rPr>
                      <w:rFonts w:hint="default" w:eastAsia="宋体"/>
                      <w:color w:val="auto"/>
                      <w:lang w:val="en-US" w:eastAsia="zh-CN"/>
                    </w:rPr>
                  </w:pPr>
                  <w:r>
                    <w:rPr>
                      <w:rFonts w:hint="eastAsia" w:eastAsia="宋体"/>
                      <w:color w:val="auto"/>
                      <w:lang w:val="en-US" w:eastAsia="zh-CN"/>
                    </w:rPr>
                    <w:t>6.</w:t>
                  </w:r>
                  <w:r>
                    <w:rPr>
                      <w:rFonts w:hint="eastAsia"/>
                      <w:color w:val="auto"/>
                      <w:lang w:val="en-US" w:eastAsia="zh-CN"/>
                    </w:rPr>
                    <w:t>本项目施工期加强对施工人员的宣传教育，</w:t>
                  </w:r>
                  <w:r>
                    <w:rPr>
                      <w:rFonts w:hint="eastAsia" w:eastAsia="宋体"/>
                      <w:color w:val="auto"/>
                      <w:kern w:val="0"/>
                      <w:szCs w:val="21"/>
                      <w:lang w:val="en-US" w:eastAsia="zh-CN"/>
                    </w:rPr>
                    <w:t>不得擅自移动或者破坏湿地保护标志。</w:t>
                  </w:r>
                </w:p>
                <w:p w14:paraId="17D1C44C">
                  <w:pPr>
                    <w:numPr>
                      <w:ilvl w:val="0"/>
                      <w:numId w:val="0"/>
                    </w:numPr>
                    <w:autoSpaceDE w:val="0"/>
                    <w:autoSpaceDN w:val="0"/>
                    <w:adjustRightInd w:val="0"/>
                    <w:snapToGrid w:val="0"/>
                    <w:ind w:left="0" w:leftChars="0" w:firstLine="0" w:firstLineChars="0"/>
                    <w:jc w:val="both"/>
                    <w:rPr>
                      <w:rFonts w:hint="eastAsia" w:eastAsia="宋体"/>
                      <w:color w:val="auto"/>
                      <w:kern w:val="0"/>
                      <w:szCs w:val="21"/>
                      <w:lang w:val="en-US" w:eastAsia="zh-CN"/>
                    </w:rPr>
                  </w:pPr>
                  <w:r>
                    <w:rPr>
                      <w:rFonts w:hint="eastAsia" w:eastAsia="宋体"/>
                      <w:color w:val="auto"/>
                      <w:kern w:val="0"/>
                      <w:szCs w:val="21"/>
                      <w:lang w:val="en-US" w:eastAsia="zh-CN"/>
                    </w:rPr>
                    <w:t>水环境优先保护区：</w:t>
                  </w:r>
                </w:p>
                <w:p w14:paraId="4E01F5AC">
                  <w:pPr>
                    <w:numPr>
                      <w:ilvl w:val="0"/>
                      <w:numId w:val="0"/>
                    </w:numPr>
                    <w:autoSpaceDE w:val="0"/>
                    <w:autoSpaceDN w:val="0"/>
                    <w:adjustRightInd w:val="0"/>
                    <w:snapToGrid w:val="0"/>
                    <w:ind w:left="0" w:leftChars="0" w:firstLine="0" w:firstLineChars="0"/>
                    <w:jc w:val="both"/>
                    <w:rPr>
                      <w:rFonts w:hint="default"/>
                      <w:color w:val="auto"/>
                      <w:lang w:val="en-US" w:eastAsia="zh-CN"/>
                    </w:rPr>
                  </w:pPr>
                  <w:r>
                    <w:rPr>
                      <w:rFonts w:hint="eastAsia" w:eastAsia="宋体"/>
                      <w:color w:val="auto"/>
                      <w:kern w:val="0"/>
                      <w:szCs w:val="21"/>
                      <w:lang w:val="en-US" w:eastAsia="zh-CN"/>
                    </w:rPr>
                    <w:t>1.</w:t>
                  </w:r>
                  <w:r>
                    <w:rPr>
                      <w:rFonts w:hint="eastAsia"/>
                      <w:color w:val="auto"/>
                      <w:lang w:val="en-US" w:eastAsia="zh-CN"/>
                    </w:rPr>
                    <w:t>本项目人工湿地净化工程对污水处理厂的尾水进行深度处理，处理后再排入千河和大杜阳河，项目建成后可减少排入千河的污染物，有利于水环境保护。项目不新建入河排污口，不在河道采砂。</w:t>
                  </w:r>
                </w:p>
              </w:tc>
              <w:tc>
                <w:tcPr>
                  <w:tcW w:w="734" w:type="dxa"/>
                  <w:noWrap w:val="0"/>
                  <w:vAlign w:val="center"/>
                </w:tcPr>
                <w:p w14:paraId="6898D8BC">
                  <w:pPr>
                    <w:numPr>
                      <w:ilvl w:val="0"/>
                      <w:numId w:val="0"/>
                    </w:numPr>
                    <w:autoSpaceDE w:val="0"/>
                    <w:autoSpaceDN w:val="0"/>
                    <w:adjustRightInd w:val="0"/>
                    <w:snapToGrid w:val="0"/>
                    <w:ind w:left="0" w:leftChars="0" w:firstLine="0" w:firstLineChars="0"/>
                    <w:jc w:val="center"/>
                    <w:rPr>
                      <w:rFonts w:hint="eastAsia" w:cs="Times New Roman"/>
                      <w:color w:val="auto"/>
                      <w:kern w:val="0"/>
                      <w:szCs w:val="21"/>
                      <w:lang w:val="en-US" w:eastAsia="zh-CN"/>
                    </w:rPr>
                  </w:pPr>
                  <w:r>
                    <w:rPr>
                      <w:rFonts w:hint="eastAsia" w:cs="Times New Roman"/>
                      <w:color w:val="auto"/>
                      <w:kern w:val="0"/>
                      <w:szCs w:val="21"/>
                      <w:lang w:val="en-US" w:eastAsia="zh-CN"/>
                    </w:rPr>
                    <w:t>符合</w:t>
                  </w:r>
                </w:p>
              </w:tc>
            </w:tr>
            <w:tr w14:paraId="62FAB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1" w:type="dxa"/>
                  <w:vMerge w:val="continue"/>
                  <w:noWrap w:val="0"/>
                  <w:vAlign w:val="center"/>
                </w:tcPr>
                <w:p w14:paraId="06783EF9">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color w:val="auto"/>
                      <w:kern w:val="0"/>
                      <w:szCs w:val="21"/>
                      <w:lang w:val="en-US" w:eastAsia="zh-CN"/>
                    </w:rPr>
                  </w:pPr>
                </w:p>
              </w:tc>
              <w:tc>
                <w:tcPr>
                  <w:tcW w:w="650" w:type="dxa"/>
                  <w:vMerge w:val="continue"/>
                  <w:noWrap w:val="0"/>
                  <w:vAlign w:val="center"/>
                </w:tcPr>
                <w:p w14:paraId="74E1975E">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cs="Times New Roman"/>
                      <w:color w:val="auto"/>
                      <w:spacing w:val="0"/>
                      <w:kern w:val="0"/>
                      <w:sz w:val="21"/>
                      <w:szCs w:val="21"/>
                      <w:lang w:val="en-US" w:eastAsia="zh-CN" w:bidi="ar"/>
                    </w:rPr>
                  </w:pPr>
                </w:p>
              </w:tc>
              <w:tc>
                <w:tcPr>
                  <w:tcW w:w="777" w:type="dxa"/>
                  <w:vMerge w:val="continue"/>
                  <w:noWrap w:val="0"/>
                  <w:vAlign w:val="center"/>
                </w:tcPr>
                <w:p w14:paraId="37D19A48">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cs="Times New Roman"/>
                      <w:color w:val="auto"/>
                      <w:spacing w:val="0"/>
                      <w:kern w:val="0"/>
                      <w:sz w:val="21"/>
                      <w:szCs w:val="21"/>
                      <w:lang w:val="en-US" w:eastAsia="zh-CN" w:bidi="ar"/>
                    </w:rPr>
                  </w:pPr>
                </w:p>
              </w:tc>
              <w:tc>
                <w:tcPr>
                  <w:tcW w:w="733" w:type="dxa"/>
                  <w:shd w:val="clear" w:color="auto" w:fill="auto"/>
                  <w:noWrap w:val="0"/>
                  <w:vAlign w:val="center"/>
                </w:tcPr>
                <w:p w14:paraId="5DEDE281">
                  <w:pPr>
                    <w:autoSpaceDE w:val="0"/>
                    <w:autoSpaceDN w:val="0"/>
                    <w:adjustRightInd w:val="0"/>
                    <w:snapToGrid w:val="0"/>
                    <w:jc w:val="both"/>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污染物排放管控</w:t>
                  </w:r>
                </w:p>
              </w:tc>
              <w:tc>
                <w:tcPr>
                  <w:tcW w:w="4783" w:type="dxa"/>
                  <w:shd w:val="clear" w:color="auto" w:fill="auto"/>
                  <w:noWrap w:val="0"/>
                  <w:vAlign w:val="center"/>
                </w:tcPr>
                <w:p w14:paraId="1CAE5A1F">
                  <w:pPr>
                    <w:numPr>
                      <w:ilvl w:val="0"/>
                      <w:numId w:val="0"/>
                    </w:numPr>
                    <w:autoSpaceDE w:val="0"/>
                    <w:autoSpaceDN w:val="0"/>
                    <w:adjustRightInd w:val="0"/>
                    <w:snapToGrid w:val="0"/>
                    <w:ind w:left="0" w:leftChars="0" w:firstLine="0" w:firstLineChars="0"/>
                    <w:jc w:val="center"/>
                    <w:rPr>
                      <w:rFonts w:hint="default" w:cs="Times New Roman"/>
                      <w:color w:val="auto"/>
                      <w:kern w:val="0"/>
                      <w:szCs w:val="21"/>
                      <w:lang w:val="en-US" w:eastAsia="zh-CN"/>
                    </w:rPr>
                  </w:pPr>
                  <w:r>
                    <w:rPr>
                      <w:rFonts w:hint="eastAsia" w:cs="Times New Roman"/>
                      <w:color w:val="auto"/>
                      <w:kern w:val="0"/>
                      <w:szCs w:val="21"/>
                      <w:lang w:val="en-US" w:eastAsia="zh-CN"/>
                    </w:rPr>
                    <w:t>/</w:t>
                  </w:r>
                </w:p>
              </w:tc>
              <w:tc>
                <w:tcPr>
                  <w:tcW w:w="867" w:type="dxa"/>
                  <w:vMerge w:val="continue"/>
                  <w:noWrap w:val="0"/>
                  <w:vAlign w:val="center"/>
                </w:tcPr>
                <w:p w14:paraId="2557ACB4">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color w:val="auto"/>
                      <w:kern w:val="0"/>
                      <w:szCs w:val="21"/>
                      <w:lang w:val="en-US" w:eastAsia="zh-CN"/>
                    </w:rPr>
                  </w:pPr>
                </w:p>
              </w:tc>
              <w:tc>
                <w:tcPr>
                  <w:tcW w:w="3295" w:type="dxa"/>
                  <w:noWrap w:val="0"/>
                  <w:vAlign w:val="center"/>
                </w:tcPr>
                <w:p w14:paraId="781B53F2">
                  <w:pPr>
                    <w:numPr>
                      <w:ilvl w:val="0"/>
                      <w:numId w:val="0"/>
                    </w:numPr>
                    <w:autoSpaceDE w:val="0"/>
                    <w:autoSpaceDN w:val="0"/>
                    <w:adjustRightInd w:val="0"/>
                    <w:snapToGrid w:val="0"/>
                    <w:ind w:left="0" w:leftChars="0" w:firstLine="0" w:firstLineChars="0"/>
                    <w:jc w:val="center"/>
                    <w:rPr>
                      <w:rFonts w:hint="default" w:cs="Times New Roman"/>
                      <w:color w:val="auto"/>
                      <w:kern w:val="0"/>
                      <w:szCs w:val="21"/>
                      <w:lang w:val="en-US" w:eastAsia="zh-CN"/>
                    </w:rPr>
                  </w:pPr>
                  <w:r>
                    <w:rPr>
                      <w:rFonts w:hint="eastAsia" w:cs="Times New Roman"/>
                      <w:color w:val="auto"/>
                      <w:kern w:val="0"/>
                      <w:szCs w:val="21"/>
                      <w:lang w:val="en-US" w:eastAsia="zh-CN"/>
                    </w:rPr>
                    <w:t>/</w:t>
                  </w:r>
                </w:p>
              </w:tc>
              <w:tc>
                <w:tcPr>
                  <w:tcW w:w="734" w:type="dxa"/>
                  <w:noWrap w:val="0"/>
                  <w:vAlign w:val="center"/>
                </w:tcPr>
                <w:p w14:paraId="408E784F">
                  <w:pPr>
                    <w:numPr>
                      <w:ilvl w:val="0"/>
                      <w:numId w:val="0"/>
                    </w:numPr>
                    <w:autoSpaceDE w:val="0"/>
                    <w:autoSpaceDN w:val="0"/>
                    <w:adjustRightInd w:val="0"/>
                    <w:snapToGrid w:val="0"/>
                    <w:ind w:left="0" w:leftChars="0" w:firstLine="0" w:firstLineChars="0"/>
                    <w:jc w:val="center"/>
                    <w:rPr>
                      <w:rFonts w:hint="default" w:cs="Times New Roman"/>
                      <w:color w:val="auto"/>
                      <w:kern w:val="0"/>
                      <w:szCs w:val="21"/>
                      <w:lang w:val="en-US" w:eastAsia="zh-CN"/>
                    </w:rPr>
                  </w:pPr>
                  <w:r>
                    <w:rPr>
                      <w:rFonts w:hint="eastAsia" w:cs="Times New Roman"/>
                      <w:color w:val="auto"/>
                      <w:kern w:val="0"/>
                      <w:szCs w:val="21"/>
                      <w:lang w:val="en-US" w:eastAsia="zh-CN"/>
                    </w:rPr>
                    <w:t>/</w:t>
                  </w:r>
                </w:p>
              </w:tc>
            </w:tr>
            <w:tr w14:paraId="7BF86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1" w:type="dxa"/>
                  <w:vMerge w:val="continue"/>
                  <w:noWrap w:val="0"/>
                  <w:vAlign w:val="center"/>
                </w:tcPr>
                <w:p w14:paraId="3BAAAAAD">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color w:val="auto"/>
                      <w:kern w:val="0"/>
                      <w:szCs w:val="21"/>
                      <w:lang w:val="en-US" w:eastAsia="zh-CN"/>
                    </w:rPr>
                  </w:pPr>
                </w:p>
              </w:tc>
              <w:tc>
                <w:tcPr>
                  <w:tcW w:w="650" w:type="dxa"/>
                  <w:vMerge w:val="continue"/>
                  <w:noWrap w:val="0"/>
                  <w:vAlign w:val="center"/>
                </w:tcPr>
                <w:p w14:paraId="46847840">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cs="Times New Roman"/>
                      <w:color w:val="auto"/>
                      <w:spacing w:val="0"/>
                      <w:kern w:val="0"/>
                      <w:sz w:val="21"/>
                      <w:szCs w:val="21"/>
                      <w:lang w:val="en-US" w:eastAsia="zh-CN" w:bidi="ar"/>
                    </w:rPr>
                  </w:pPr>
                </w:p>
              </w:tc>
              <w:tc>
                <w:tcPr>
                  <w:tcW w:w="777" w:type="dxa"/>
                  <w:vMerge w:val="continue"/>
                  <w:noWrap w:val="0"/>
                  <w:vAlign w:val="center"/>
                </w:tcPr>
                <w:p w14:paraId="7F183F67">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cs="Times New Roman"/>
                      <w:color w:val="auto"/>
                      <w:spacing w:val="0"/>
                      <w:kern w:val="0"/>
                      <w:sz w:val="21"/>
                      <w:szCs w:val="21"/>
                      <w:lang w:val="en-US" w:eastAsia="zh-CN" w:bidi="ar"/>
                    </w:rPr>
                  </w:pPr>
                </w:p>
              </w:tc>
              <w:tc>
                <w:tcPr>
                  <w:tcW w:w="733" w:type="dxa"/>
                  <w:shd w:val="clear" w:color="auto" w:fill="auto"/>
                  <w:noWrap w:val="0"/>
                  <w:vAlign w:val="center"/>
                </w:tcPr>
                <w:p w14:paraId="4E762FA4">
                  <w:pPr>
                    <w:autoSpaceDE w:val="0"/>
                    <w:autoSpaceDN w:val="0"/>
                    <w:adjustRightInd w:val="0"/>
                    <w:snapToGrid w:val="0"/>
                    <w:jc w:val="both"/>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环境风险防控</w:t>
                  </w:r>
                </w:p>
              </w:tc>
              <w:tc>
                <w:tcPr>
                  <w:tcW w:w="4783" w:type="dxa"/>
                  <w:shd w:val="clear" w:color="auto" w:fill="auto"/>
                  <w:noWrap w:val="0"/>
                  <w:vAlign w:val="center"/>
                </w:tcPr>
                <w:p w14:paraId="1505AA99">
                  <w:pPr>
                    <w:numPr>
                      <w:ilvl w:val="0"/>
                      <w:numId w:val="0"/>
                    </w:numPr>
                    <w:autoSpaceDE w:val="0"/>
                    <w:autoSpaceDN w:val="0"/>
                    <w:adjustRightInd w:val="0"/>
                    <w:snapToGrid w:val="0"/>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w:t>
                  </w:r>
                </w:p>
              </w:tc>
              <w:tc>
                <w:tcPr>
                  <w:tcW w:w="867" w:type="dxa"/>
                  <w:vMerge w:val="continue"/>
                  <w:shd w:val="clear" w:color="auto" w:fill="auto"/>
                  <w:noWrap w:val="0"/>
                  <w:vAlign w:val="center"/>
                </w:tcPr>
                <w:p w14:paraId="7987C3A2">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Times New Roman" w:hAnsi="Times New Roman" w:eastAsia="宋体" w:cs="Times New Roman"/>
                      <w:color w:val="auto"/>
                      <w:kern w:val="0"/>
                      <w:sz w:val="21"/>
                      <w:szCs w:val="21"/>
                      <w:lang w:val="en-US" w:eastAsia="zh-CN" w:bidi="ar-SA"/>
                    </w:rPr>
                  </w:pPr>
                </w:p>
              </w:tc>
              <w:tc>
                <w:tcPr>
                  <w:tcW w:w="3295" w:type="dxa"/>
                  <w:shd w:val="clear" w:color="auto" w:fill="auto"/>
                  <w:noWrap w:val="0"/>
                  <w:vAlign w:val="center"/>
                </w:tcPr>
                <w:p w14:paraId="472BFD8A">
                  <w:pPr>
                    <w:numPr>
                      <w:ilvl w:val="0"/>
                      <w:numId w:val="0"/>
                    </w:numPr>
                    <w:autoSpaceDE w:val="0"/>
                    <w:autoSpaceDN w:val="0"/>
                    <w:adjustRightInd w:val="0"/>
                    <w:snapToGrid w:val="0"/>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w:t>
                  </w:r>
                </w:p>
              </w:tc>
              <w:tc>
                <w:tcPr>
                  <w:tcW w:w="734" w:type="dxa"/>
                  <w:shd w:val="clear" w:color="auto" w:fill="auto"/>
                  <w:noWrap w:val="0"/>
                  <w:vAlign w:val="center"/>
                </w:tcPr>
                <w:p w14:paraId="47A5E193">
                  <w:pPr>
                    <w:numPr>
                      <w:ilvl w:val="0"/>
                      <w:numId w:val="0"/>
                    </w:numPr>
                    <w:autoSpaceDE w:val="0"/>
                    <w:autoSpaceDN w:val="0"/>
                    <w:adjustRightInd w:val="0"/>
                    <w:snapToGrid w:val="0"/>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w:t>
                  </w:r>
                </w:p>
              </w:tc>
            </w:tr>
            <w:tr w14:paraId="10B11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1" w:type="dxa"/>
                  <w:vMerge w:val="continue"/>
                  <w:noWrap w:val="0"/>
                  <w:vAlign w:val="center"/>
                </w:tcPr>
                <w:p w14:paraId="6F4DB6DD">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color w:val="auto"/>
                      <w:kern w:val="0"/>
                      <w:szCs w:val="21"/>
                      <w:lang w:val="en-US" w:eastAsia="zh-CN"/>
                    </w:rPr>
                  </w:pPr>
                </w:p>
              </w:tc>
              <w:tc>
                <w:tcPr>
                  <w:tcW w:w="650" w:type="dxa"/>
                  <w:vMerge w:val="continue"/>
                  <w:noWrap w:val="0"/>
                  <w:vAlign w:val="center"/>
                </w:tcPr>
                <w:p w14:paraId="07E6E966">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cs="Times New Roman"/>
                      <w:color w:val="auto"/>
                      <w:spacing w:val="0"/>
                      <w:kern w:val="0"/>
                      <w:sz w:val="21"/>
                      <w:szCs w:val="21"/>
                      <w:lang w:val="en-US" w:eastAsia="zh-CN" w:bidi="ar"/>
                    </w:rPr>
                  </w:pPr>
                </w:p>
              </w:tc>
              <w:tc>
                <w:tcPr>
                  <w:tcW w:w="777" w:type="dxa"/>
                  <w:vMerge w:val="continue"/>
                  <w:noWrap w:val="0"/>
                  <w:vAlign w:val="center"/>
                </w:tcPr>
                <w:p w14:paraId="66F925F0">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cs="Times New Roman"/>
                      <w:color w:val="auto"/>
                      <w:spacing w:val="0"/>
                      <w:kern w:val="0"/>
                      <w:sz w:val="21"/>
                      <w:szCs w:val="21"/>
                      <w:lang w:val="en-US" w:eastAsia="zh-CN" w:bidi="ar"/>
                    </w:rPr>
                  </w:pPr>
                </w:p>
              </w:tc>
              <w:tc>
                <w:tcPr>
                  <w:tcW w:w="733" w:type="dxa"/>
                  <w:shd w:val="clear" w:color="auto" w:fill="auto"/>
                  <w:noWrap w:val="0"/>
                  <w:vAlign w:val="center"/>
                </w:tcPr>
                <w:p w14:paraId="369EAFEF">
                  <w:pPr>
                    <w:autoSpaceDE w:val="0"/>
                    <w:autoSpaceDN w:val="0"/>
                    <w:adjustRightInd w:val="0"/>
                    <w:snapToGrid w:val="0"/>
                    <w:jc w:val="both"/>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资源开发效率要求</w:t>
                  </w:r>
                </w:p>
              </w:tc>
              <w:tc>
                <w:tcPr>
                  <w:tcW w:w="4783" w:type="dxa"/>
                  <w:shd w:val="clear" w:color="auto" w:fill="auto"/>
                  <w:noWrap w:val="0"/>
                  <w:vAlign w:val="center"/>
                </w:tcPr>
                <w:p w14:paraId="5496CE3F">
                  <w:pPr>
                    <w:numPr>
                      <w:ilvl w:val="0"/>
                      <w:numId w:val="0"/>
                    </w:numPr>
                    <w:autoSpaceDE w:val="0"/>
                    <w:autoSpaceDN w:val="0"/>
                    <w:adjustRightInd w:val="0"/>
                    <w:snapToGrid w:val="0"/>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w:t>
                  </w:r>
                </w:p>
              </w:tc>
              <w:tc>
                <w:tcPr>
                  <w:tcW w:w="867" w:type="dxa"/>
                  <w:vMerge w:val="continue"/>
                  <w:shd w:val="clear" w:color="auto" w:fill="auto"/>
                  <w:noWrap w:val="0"/>
                  <w:vAlign w:val="center"/>
                </w:tcPr>
                <w:p w14:paraId="1965036A">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Times New Roman" w:hAnsi="Times New Roman" w:eastAsia="宋体" w:cs="Times New Roman"/>
                      <w:color w:val="auto"/>
                      <w:kern w:val="0"/>
                      <w:sz w:val="21"/>
                      <w:szCs w:val="21"/>
                      <w:lang w:val="en-US" w:eastAsia="zh-CN" w:bidi="ar-SA"/>
                    </w:rPr>
                  </w:pPr>
                </w:p>
              </w:tc>
              <w:tc>
                <w:tcPr>
                  <w:tcW w:w="3295" w:type="dxa"/>
                  <w:shd w:val="clear" w:color="auto" w:fill="auto"/>
                  <w:noWrap w:val="0"/>
                  <w:vAlign w:val="center"/>
                </w:tcPr>
                <w:p w14:paraId="0368F5E8">
                  <w:pPr>
                    <w:numPr>
                      <w:ilvl w:val="0"/>
                      <w:numId w:val="0"/>
                    </w:numPr>
                    <w:autoSpaceDE w:val="0"/>
                    <w:autoSpaceDN w:val="0"/>
                    <w:adjustRightInd w:val="0"/>
                    <w:snapToGrid w:val="0"/>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w:t>
                  </w:r>
                </w:p>
              </w:tc>
              <w:tc>
                <w:tcPr>
                  <w:tcW w:w="734" w:type="dxa"/>
                  <w:shd w:val="clear" w:color="auto" w:fill="auto"/>
                  <w:noWrap w:val="0"/>
                  <w:vAlign w:val="center"/>
                </w:tcPr>
                <w:p w14:paraId="1C2E2C4D">
                  <w:pPr>
                    <w:numPr>
                      <w:ilvl w:val="0"/>
                      <w:numId w:val="0"/>
                    </w:numPr>
                    <w:autoSpaceDE w:val="0"/>
                    <w:autoSpaceDN w:val="0"/>
                    <w:adjustRightInd w:val="0"/>
                    <w:snapToGrid w:val="0"/>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w:t>
                  </w:r>
                </w:p>
              </w:tc>
            </w:tr>
          </w:tbl>
          <w:p w14:paraId="6725DC3E">
            <w:pPr>
              <w:spacing w:line="240" w:lineRule="auto"/>
              <w:ind w:right="-38" w:rightChars="-18" w:firstLine="480"/>
              <w:jc w:val="center"/>
              <w:rPr>
                <w:rFonts w:hint="default" w:ascii="Times New Roman" w:hAnsi="Times New Roman" w:eastAsia="宋体" w:cs="Times New Roman"/>
                <w:b/>
                <w:bCs/>
                <w:color w:val="auto"/>
                <w:sz w:val="21"/>
                <w:szCs w:val="21"/>
                <w:lang w:val="en-US" w:eastAsia="zh-CN"/>
              </w:rPr>
            </w:pPr>
          </w:p>
          <w:p w14:paraId="60B77934">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（3）一说明</w:t>
            </w:r>
          </w:p>
          <w:p w14:paraId="767E4C0A">
            <w:pPr>
              <w:spacing w:line="360" w:lineRule="auto"/>
              <w:ind w:firstLine="480" w:firstLineChars="200"/>
              <w:rPr>
                <w:color w:val="auto"/>
                <w:lang w:bidi="ar"/>
              </w:rPr>
            </w:pPr>
            <w:r>
              <w:rPr>
                <w:rFonts w:hint="eastAsia" w:ascii="Times New Roman" w:hAnsi="Times New Roman" w:eastAsia="宋体" w:cs="Times New Roman"/>
                <w:color w:val="auto"/>
                <w:sz w:val="24"/>
                <w:szCs w:val="24"/>
                <w:highlight w:val="none"/>
                <w:lang w:val="en-US" w:eastAsia="zh-CN"/>
              </w:rPr>
              <w:t>根据一图一表分析可知，项目</w:t>
            </w:r>
            <w:r>
              <w:rPr>
                <w:rFonts w:hint="eastAsia" w:cs="Times New Roman"/>
                <w:color w:val="auto"/>
                <w:sz w:val="24"/>
                <w:szCs w:val="24"/>
                <w:highlight w:val="none"/>
                <w:lang w:val="en-US" w:eastAsia="zh-CN"/>
              </w:rPr>
              <w:t>位于</w:t>
            </w:r>
            <w:r>
              <w:rPr>
                <w:rFonts w:hint="default" w:ascii="Times New Roman" w:hAnsi="Times New Roman" w:eastAsia="宋体" w:cs="Times New Roman"/>
                <w:color w:val="auto"/>
                <w:sz w:val="24"/>
                <w:szCs w:val="24"/>
                <w:highlight w:val="none"/>
                <w:lang w:val="en-US" w:eastAsia="zh-CN"/>
              </w:rPr>
              <w:t>生态环境分区</w:t>
            </w:r>
            <w:r>
              <w:rPr>
                <w:rFonts w:hint="eastAsia" w:ascii="Times New Roman" w:hAnsi="Times New Roman" w:eastAsia="宋体" w:cs="Times New Roman"/>
                <w:color w:val="auto"/>
                <w:sz w:val="24"/>
                <w:szCs w:val="24"/>
                <w:highlight w:val="none"/>
                <w:lang w:val="en-US" w:eastAsia="zh-CN"/>
              </w:rPr>
              <w:t>中的</w:t>
            </w:r>
            <w:r>
              <w:rPr>
                <w:rFonts w:hint="eastAsia" w:cs="Times New Roman"/>
                <w:color w:val="auto"/>
                <w:sz w:val="24"/>
                <w:szCs w:val="24"/>
                <w:highlight w:val="none"/>
                <w:lang w:val="en-US" w:eastAsia="zh-CN"/>
              </w:rPr>
              <w:t>重点</w:t>
            </w:r>
            <w:r>
              <w:rPr>
                <w:rFonts w:hint="eastAsia" w:ascii="Times New Roman" w:hAnsi="Times New Roman" w:eastAsia="宋体" w:cs="Times New Roman"/>
                <w:color w:val="auto"/>
                <w:sz w:val="24"/>
                <w:szCs w:val="24"/>
                <w:highlight w:val="none"/>
                <w:lang w:val="en-US" w:eastAsia="zh-CN"/>
              </w:rPr>
              <w:t>管控单元</w:t>
            </w:r>
            <w:r>
              <w:rPr>
                <w:rFonts w:hint="eastAsia" w:cs="Times New Roman"/>
                <w:color w:val="auto"/>
                <w:sz w:val="24"/>
                <w:szCs w:val="24"/>
                <w:highlight w:val="none"/>
                <w:lang w:val="en-US" w:eastAsia="zh-CN"/>
              </w:rPr>
              <w:t>和优先管控单元</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对照表1-</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中的管控要求，</w:t>
            </w:r>
            <w:r>
              <w:rPr>
                <w:rFonts w:hint="eastAsia" w:ascii="Times New Roman" w:hAnsi="Times New Roman" w:eastAsia="宋体" w:cs="Times New Roman"/>
                <w:color w:val="auto"/>
                <w:sz w:val="24"/>
                <w:szCs w:val="24"/>
                <w:highlight w:val="none"/>
                <w:lang w:val="en-US" w:eastAsia="zh-CN"/>
              </w:rPr>
              <w:t>项目落实环评提出的各项要求后，对周围生态环境影响较小，</w:t>
            </w:r>
            <w:r>
              <w:rPr>
                <w:rFonts w:hint="default" w:ascii="Times New Roman" w:hAnsi="Times New Roman" w:eastAsia="宋体" w:cs="Times New Roman"/>
                <w:color w:val="auto"/>
                <w:sz w:val="24"/>
                <w:szCs w:val="24"/>
                <w:highlight w:val="none"/>
                <w:lang w:val="en-US" w:eastAsia="zh-CN"/>
              </w:rPr>
              <w:t>项目建设符合</w:t>
            </w:r>
            <w:r>
              <w:rPr>
                <w:rFonts w:hint="eastAsia" w:cs="Times New Roman"/>
                <w:color w:val="auto"/>
                <w:sz w:val="24"/>
                <w:szCs w:val="24"/>
                <w:highlight w:val="none"/>
                <w:lang w:val="en-US" w:eastAsia="zh-CN"/>
              </w:rPr>
              <w:t>陕西省</w:t>
            </w:r>
            <w:r>
              <w:rPr>
                <w:rFonts w:hint="default" w:ascii="Times New Roman" w:hAnsi="Times New Roman" w:eastAsia="宋体" w:cs="Times New Roman"/>
                <w:color w:val="auto"/>
                <w:sz w:val="24"/>
                <w:szCs w:val="24"/>
                <w:highlight w:val="none"/>
                <w:lang w:val="en-US" w:eastAsia="zh-CN"/>
              </w:rPr>
              <w:t>生态环境分区管控的要求。</w:t>
            </w:r>
          </w:p>
        </w:tc>
      </w:tr>
    </w:tbl>
    <w:p w14:paraId="2CD95517">
      <w:pPr>
        <w:spacing w:line="360" w:lineRule="auto"/>
        <w:outlineLvl w:val="0"/>
        <w:rPr>
          <w:rFonts w:eastAsia="黑体"/>
          <w:color w:val="auto"/>
          <w:sz w:val="30"/>
        </w:rPr>
        <w:sectPr>
          <w:pgSz w:w="16838" w:h="11906" w:orient="landscape"/>
          <w:pgMar w:top="1531" w:right="1701" w:bottom="1531" w:left="1701"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16"/>
        <w:tblW w:w="897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17"/>
        <w:gridCol w:w="7956"/>
      </w:tblGrid>
      <w:tr w14:paraId="5AA4DF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29" w:hRule="atLeast"/>
          <w:jc w:val="center"/>
        </w:trPr>
        <w:tc>
          <w:tcPr>
            <w:tcW w:w="1017" w:type="dxa"/>
            <w:noWrap w:val="0"/>
            <w:vAlign w:val="center"/>
          </w:tcPr>
          <w:p w14:paraId="0BCA83C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color w:val="auto"/>
                <w:kern w:val="0"/>
                <w:sz w:val="24"/>
                <w:szCs w:val="24"/>
              </w:rPr>
            </w:pPr>
            <w:r>
              <w:rPr>
                <w:rFonts w:hint="default" w:ascii="Times New Roman" w:hAnsi="Times New Roman" w:eastAsia="宋体" w:cs="Times New Roman"/>
                <w:color w:val="auto"/>
                <w:kern w:val="0"/>
                <w:sz w:val="24"/>
                <w:szCs w:val="24"/>
              </w:rPr>
              <w:t>其他符合性分析</w:t>
            </w:r>
          </w:p>
        </w:tc>
        <w:tc>
          <w:tcPr>
            <w:tcW w:w="7956" w:type="dxa"/>
            <w:noWrap w:val="0"/>
            <w:vAlign w:val="center"/>
          </w:tcPr>
          <w:p w14:paraId="1A3303B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szCs w:val="24"/>
              </w:rPr>
            </w:pPr>
            <w:r>
              <w:rPr>
                <w:rFonts w:hint="eastAsia" w:cs="Times New Roman"/>
                <w:b/>
                <w:bCs/>
                <w:color w:val="auto"/>
                <w:sz w:val="24"/>
                <w:szCs w:val="24"/>
                <w:lang w:val="en-US" w:eastAsia="zh-CN"/>
              </w:rPr>
              <w:t>3、</w:t>
            </w:r>
            <w:r>
              <w:rPr>
                <w:rFonts w:hint="eastAsia" w:ascii="Times New Roman" w:hAnsi="Times New Roman" w:cs="Times New Roman"/>
                <w:b/>
                <w:bCs/>
                <w:color w:val="auto"/>
                <w:sz w:val="24"/>
                <w:szCs w:val="24"/>
                <w:lang w:eastAsia="zh-CN"/>
              </w:rPr>
              <w:t>与相关生态环境保护法律法规政策、</w:t>
            </w:r>
            <w:r>
              <w:rPr>
                <w:rFonts w:hint="eastAsia" w:ascii="Times New Roman" w:hAnsi="Times New Roman" w:cs="Times New Roman"/>
                <w:b/>
                <w:bCs/>
                <w:color w:val="auto"/>
                <w:sz w:val="24"/>
                <w:szCs w:val="24"/>
                <w:lang w:val="en-US" w:eastAsia="zh-CN"/>
              </w:rPr>
              <w:t>规划</w:t>
            </w:r>
            <w:r>
              <w:rPr>
                <w:rFonts w:hint="eastAsia" w:ascii="Times New Roman" w:hAnsi="Times New Roman" w:cs="Times New Roman"/>
                <w:b/>
                <w:bCs/>
                <w:color w:val="auto"/>
                <w:sz w:val="24"/>
                <w:szCs w:val="24"/>
                <w:lang w:eastAsia="zh-CN"/>
              </w:rPr>
              <w:t>的符合性分析</w:t>
            </w:r>
          </w:p>
          <w:p w14:paraId="72D07E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eastAsia="zh-CN"/>
              </w:rPr>
              <w:t>本</w:t>
            </w:r>
            <w:r>
              <w:rPr>
                <w:rFonts w:hint="eastAsia" w:ascii="Times New Roman" w:hAnsi="Times New Roman" w:cs="Times New Roman"/>
                <w:color w:val="auto"/>
                <w:sz w:val="24"/>
                <w:szCs w:val="24"/>
                <w:lang w:val="en-US" w:eastAsia="zh-CN"/>
              </w:rPr>
              <w:t>工程</w:t>
            </w:r>
            <w:r>
              <w:rPr>
                <w:rFonts w:hint="eastAsia" w:ascii="Times New Roman" w:hAnsi="Times New Roman" w:cs="Times New Roman"/>
                <w:color w:val="auto"/>
                <w:sz w:val="24"/>
                <w:szCs w:val="24"/>
                <w:lang w:eastAsia="zh-CN"/>
              </w:rPr>
              <w:t>与相关生态环境保护法律法规政策、</w:t>
            </w:r>
            <w:r>
              <w:rPr>
                <w:rFonts w:hint="eastAsia" w:ascii="Times New Roman" w:hAnsi="Times New Roman" w:cs="Times New Roman"/>
                <w:color w:val="auto"/>
                <w:sz w:val="24"/>
                <w:szCs w:val="24"/>
                <w:lang w:val="en-US" w:eastAsia="zh-CN"/>
              </w:rPr>
              <w:t>规划</w:t>
            </w:r>
            <w:r>
              <w:rPr>
                <w:rFonts w:hint="eastAsia" w:ascii="Times New Roman" w:hAnsi="Times New Roman" w:cs="Times New Roman"/>
                <w:color w:val="auto"/>
                <w:sz w:val="24"/>
                <w:szCs w:val="24"/>
                <w:lang w:eastAsia="zh-CN"/>
              </w:rPr>
              <w:t>的符合性分析见表</w:t>
            </w:r>
            <w:r>
              <w:rPr>
                <w:rFonts w:hint="eastAsia" w:ascii="Times New Roman" w:hAnsi="Times New Roman" w:cs="Times New Roman"/>
                <w:color w:val="auto"/>
                <w:sz w:val="24"/>
                <w:szCs w:val="24"/>
                <w:lang w:val="en-US" w:eastAsia="zh-CN"/>
              </w:rPr>
              <w:t>1-</w:t>
            </w:r>
            <w:r>
              <w:rPr>
                <w:rFonts w:hint="eastAsia" w:cs="Times New Roman"/>
                <w:color w:val="auto"/>
                <w:sz w:val="24"/>
                <w:szCs w:val="24"/>
                <w:lang w:val="en-US" w:eastAsia="zh-CN"/>
              </w:rPr>
              <w:t>3</w:t>
            </w:r>
            <w:r>
              <w:rPr>
                <w:rFonts w:hint="eastAsia" w:ascii="Times New Roman" w:hAnsi="Times New Roman" w:cs="Times New Roman"/>
                <w:color w:val="auto"/>
                <w:sz w:val="24"/>
                <w:szCs w:val="24"/>
                <w:lang w:val="en-US" w:eastAsia="zh-CN"/>
              </w:rPr>
              <w:t>。</w:t>
            </w:r>
          </w:p>
          <w:p w14:paraId="3EDFFE73">
            <w:pPr>
              <w:pStyle w:val="2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eastAsia="zh-CN"/>
              </w:rPr>
              <w:t>表</w:t>
            </w:r>
            <w:r>
              <w:rPr>
                <w:rFonts w:hint="eastAsia" w:ascii="Times New Roman" w:hAnsi="Times New Roman" w:cs="Times New Roman"/>
                <w:b/>
                <w:bCs/>
                <w:color w:val="auto"/>
                <w:sz w:val="21"/>
                <w:szCs w:val="21"/>
                <w:lang w:val="en-US" w:eastAsia="zh-CN"/>
              </w:rPr>
              <w:t>1-3  与相关生态环境保护法律法规政策、规划的符合性分析</w:t>
            </w:r>
          </w:p>
          <w:tbl>
            <w:tblPr>
              <w:tblStyle w:val="16"/>
              <w:tblW w:w="781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51"/>
              <w:gridCol w:w="3602"/>
              <w:gridCol w:w="1995"/>
              <w:gridCol w:w="870"/>
            </w:tblGrid>
            <w:tr w14:paraId="13EB732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864" w:type="pct"/>
                  <w:noWrap w:val="0"/>
                  <w:vAlign w:val="center"/>
                </w:tcPr>
                <w:p w14:paraId="2A6000F7">
                  <w:pPr>
                    <w:pStyle w:val="25"/>
                    <w:widowControl w:val="0"/>
                    <w:spacing w:after="0" w:line="240" w:lineRule="auto"/>
                    <w:jc w:val="center"/>
                    <w:rPr>
                      <w:rFonts w:hint="eastAsia"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名称</w:t>
                  </w:r>
                </w:p>
              </w:tc>
              <w:tc>
                <w:tcPr>
                  <w:tcW w:w="2303" w:type="pct"/>
                  <w:noWrap w:val="0"/>
                  <w:vAlign w:val="center"/>
                </w:tcPr>
                <w:p w14:paraId="481D5901">
                  <w:pPr>
                    <w:pStyle w:val="25"/>
                    <w:widowControl w:val="0"/>
                    <w:spacing w:after="0" w:line="240" w:lineRule="auto"/>
                    <w:jc w:val="center"/>
                    <w:rPr>
                      <w:rFonts w:ascii="Times New Roman" w:hAnsi="Times New Roman" w:eastAsia="宋体"/>
                      <w:b/>
                      <w:bCs/>
                      <w:color w:val="auto"/>
                      <w:sz w:val="21"/>
                      <w:szCs w:val="21"/>
                      <w:lang w:eastAsia="zh-CN"/>
                    </w:rPr>
                  </w:pPr>
                  <w:r>
                    <w:rPr>
                      <w:rFonts w:hint="eastAsia" w:ascii="Times New Roman" w:hAnsi="Times New Roman" w:eastAsia="宋体" w:cs="Times New Roman"/>
                      <w:b/>
                      <w:bCs/>
                      <w:color w:val="auto"/>
                      <w:kern w:val="0"/>
                      <w:sz w:val="21"/>
                      <w:szCs w:val="21"/>
                      <w:lang w:val="en-US" w:eastAsia="zh-CN" w:bidi="ar-SA"/>
                    </w:rPr>
                    <w:t>法律政策相关要求</w:t>
                  </w:r>
                </w:p>
              </w:tc>
              <w:tc>
                <w:tcPr>
                  <w:tcW w:w="1275" w:type="pct"/>
                  <w:noWrap w:val="0"/>
                  <w:vAlign w:val="center"/>
                </w:tcPr>
                <w:p w14:paraId="04EDF959">
                  <w:pPr>
                    <w:pStyle w:val="25"/>
                    <w:widowControl w:val="0"/>
                    <w:spacing w:after="0" w:line="240" w:lineRule="auto"/>
                    <w:jc w:val="center"/>
                    <w:rPr>
                      <w:rFonts w:ascii="Times New Roman" w:hAnsi="Times New Roman" w:eastAsia="宋体"/>
                      <w:b/>
                      <w:bCs/>
                      <w:color w:val="auto"/>
                      <w:sz w:val="21"/>
                      <w:szCs w:val="21"/>
                      <w:lang w:eastAsia="zh-CN"/>
                    </w:rPr>
                  </w:pPr>
                  <w:r>
                    <w:rPr>
                      <w:rFonts w:ascii="Times New Roman" w:hAnsi="Times New Roman" w:eastAsia="宋体"/>
                      <w:b/>
                      <w:bCs/>
                      <w:color w:val="auto"/>
                      <w:sz w:val="21"/>
                      <w:szCs w:val="21"/>
                      <w:lang w:eastAsia="zh-CN"/>
                    </w:rPr>
                    <w:t>本项目情况</w:t>
                  </w:r>
                </w:p>
              </w:tc>
              <w:tc>
                <w:tcPr>
                  <w:tcW w:w="556" w:type="pct"/>
                  <w:noWrap w:val="0"/>
                  <w:vAlign w:val="center"/>
                </w:tcPr>
                <w:p w14:paraId="41F87DBB">
                  <w:pPr>
                    <w:pStyle w:val="25"/>
                    <w:widowControl w:val="0"/>
                    <w:spacing w:after="0" w:line="240" w:lineRule="auto"/>
                    <w:jc w:val="center"/>
                    <w:rPr>
                      <w:rFonts w:ascii="Times New Roman" w:hAnsi="Times New Roman" w:eastAsia="宋体"/>
                      <w:b/>
                      <w:bCs/>
                      <w:color w:val="auto"/>
                      <w:sz w:val="21"/>
                      <w:szCs w:val="21"/>
                      <w:lang w:eastAsia="zh-CN"/>
                    </w:rPr>
                  </w:pPr>
                  <w:r>
                    <w:rPr>
                      <w:rFonts w:ascii="Times New Roman" w:hAnsi="Times New Roman" w:eastAsia="宋体"/>
                      <w:b/>
                      <w:bCs/>
                      <w:color w:val="auto"/>
                      <w:sz w:val="21"/>
                      <w:szCs w:val="21"/>
                      <w:lang w:eastAsia="zh-CN"/>
                    </w:rPr>
                    <w:t>符合性</w:t>
                  </w:r>
                </w:p>
              </w:tc>
            </w:tr>
            <w:tr w14:paraId="47B1FC6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864" w:type="pct"/>
                  <w:tcBorders>
                    <w:top w:val="single" w:color="auto" w:sz="4" w:space="0"/>
                    <w:bottom w:val="single" w:color="auto" w:sz="4" w:space="0"/>
                  </w:tcBorders>
                  <w:noWrap w:val="0"/>
                  <w:vAlign w:val="center"/>
                </w:tcPr>
                <w:p w14:paraId="5E0431FB">
                  <w:pPr>
                    <w:autoSpaceDE w:val="0"/>
                    <w:autoSpaceDN w:val="0"/>
                    <w:adjustRightInd w:val="0"/>
                    <w:spacing w:line="240" w:lineRule="auto"/>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《中华人民共和国水污染防治法》</w:t>
                  </w:r>
                </w:p>
              </w:tc>
              <w:tc>
                <w:tcPr>
                  <w:tcW w:w="2303" w:type="pct"/>
                  <w:tcBorders>
                    <w:bottom w:val="single" w:color="auto" w:sz="4" w:space="0"/>
                  </w:tcBorders>
                  <w:noWrap w:val="0"/>
                  <w:vAlign w:val="center"/>
                </w:tcPr>
                <w:p w14:paraId="45875B29">
                  <w:pPr>
                    <w:autoSpaceDE w:val="0"/>
                    <w:autoSpaceDN w:val="0"/>
                    <w:adjustRightInd w:val="0"/>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第三十三条</w:t>
                  </w:r>
                  <w:r>
                    <w:rPr>
                      <w:rFonts w:hint="eastAsia" w:ascii="Times New Roman" w:hAnsi="Times New Roman" w:eastAsia="宋体" w:cs="Times New Roman"/>
                      <w:color w:val="auto"/>
                      <w:kern w:val="0"/>
                      <w:sz w:val="21"/>
                      <w:szCs w:val="21"/>
                      <w:lang w:val="en-US" w:eastAsia="zh-CN"/>
                    </w:rPr>
                    <w:t xml:space="preserve"> </w:t>
                  </w:r>
                  <w:r>
                    <w:rPr>
                      <w:rFonts w:hint="default" w:ascii="Times New Roman" w:hAnsi="Times New Roman" w:eastAsia="宋体" w:cs="Times New Roman"/>
                      <w:color w:val="auto"/>
                      <w:kern w:val="0"/>
                      <w:sz w:val="21"/>
                      <w:szCs w:val="21"/>
                      <w:lang w:val="en-US" w:eastAsia="zh-CN"/>
                    </w:rPr>
                    <w:t>禁止向水体排放油类、酸液、碱液或者剧毒废液。禁止在水体清洗装贮过油类或者有毒污染物的车辆和容器。</w:t>
                  </w:r>
                </w:p>
                <w:p w14:paraId="5265FEE3">
                  <w:pPr>
                    <w:autoSpaceDE w:val="0"/>
                    <w:autoSpaceDN w:val="0"/>
                    <w:adjustRightInd w:val="0"/>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第三十七条</w:t>
                  </w:r>
                  <w:r>
                    <w:rPr>
                      <w:rFonts w:hint="eastAsia" w:ascii="Times New Roman" w:hAnsi="Times New Roman" w:eastAsia="宋体" w:cs="Times New Roman"/>
                      <w:color w:val="auto"/>
                      <w:kern w:val="0"/>
                      <w:sz w:val="21"/>
                      <w:szCs w:val="21"/>
                      <w:lang w:val="en-US" w:eastAsia="zh-CN"/>
                    </w:rPr>
                    <w:t xml:space="preserve"> </w:t>
                  </w:r>
                  <w:r>
                    <w:rPr>
                      <w:rFonts w:hint="default" w:ascii="Times New Roman" w:hAnsi="Times New Roman" w:eastAsia="宋体" w:cs="Times New Roman"/>
                      <w:color w:val="auto"/>
                      <w:kern w:val="0"/>
                      <w:sz w:val="21"/>
                      <w:szCs w:val="21"/>
                      <w:lang w:val="en-US" w:eastAsia="zh-CN"/>
                    </w:rPr>
                    <w:t>禁止向水体排放、倾倒工业废渣、城镇垃圾和其他废弃物。</w:t>
                  </w:r>
                </w:p>
                <w:p w14:paraId="63C84921">
                  <w:pPr>
                    <w:autoSpaceDE w:val="0"/>
                    <w:autoSpaceDN w:val="0"/>
                    <w:adjustRightInd w:val="0"/>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第三十八条</w:t>
                  </w:r>
                  <w:r>
                    <w:rPr>
                      <w:rFonts w:hint="eastAsia" w:ascii="Times New Roman" w:hAnsi="Times New Roman" w:eastAsia="宋体" w:cs="Times New Roman"/>
                      <w:color w:val="auto"/>
                      <w:kern w:val="0"/>
                      <w:sz w:val="21"/>
                      <w:szCs w:val="21"/>
                      <w:lang w:val="en-US" w:eastAsia="zh-CN"/>
                    </w:rPr>
                    <w:t xml:space="preserve"> </w:t>
                  </w:r>
                  <w:r>
                    <w:rPr>
                      <w:rFonts w:hint="default" w:ascii="Times New Roman" w:hAnsi="Times New Roman" w:eastAsia="宋体" w:cs="Times New Roman"/>
                      <w:color w:val="auto"/>
                      <w:kern w:val="0"/>
                      <w:sz w:val="21"/>
                      <w:szCs w:val="21"/>
                      <w:lang w:val="en-US" w:eastAsia="zh-CN"/>
                    </w:rPr>
                    <w:t>禁止在江河、湖泊、运河、渠道、水库最高水位线以下的滩地和岸坡堆放、存贮固体废弃物和其他污染物</w:t>
                  </w:r>
                </w:p>
              </w:tc>
              <w:tc>
                <w:tcPr>
                  <w:tcW w:w="1275" w:type="pct"/>
                  <w:tcBorders>
                    <w:bottom w:val="single" w:color="auto" w:sz="4" w:space="0"/>
                  </w:tcBorders>
                  <w:noWrap w:val="0"/>
                  <w:vAlign w:val="center"/>
                </w:tcPr>
                <w:p w14:paraId="322CBC2D">
                  <w:pPr>
                    <w:autoSpaceDE w:val="0"/>
                    <w:autoSpaceDN w:val="0"/>
                    <w:adjustRightInd w:val="0"/>
                    <w:spacing w:line="240" w:lineRule="auto"/>
                    <w:jc w:val="center"/>
                    <w:rPr>
                      <w:rFonts w:ascii="Times New Roman" w:hAnsi="Times New Roman" w:eastAsia="宋体"/>
                      <w:color w:val="auto"/>
                      <w:sz w:val="21"/>
                      <w:szCs w:val="21"/>
                      <w:lang w:eastAsia="zh-CN"/>
                    </w:rPr>
                  </w:pPr>
                  <w:r>
                    <w:rPr>
                      <w:rFonts w:hint="eastAsia"/>
                      <w:color w:val="auto"/>
                      <w:sz w:val="21"/>
                      <w:szCs w:val="21"/>
                      <w:lang w:val="en-US" w:eastAsia="zh-CN"/>
                    </w:rPr>
                    <w:t>项目</w:t>
                  </w:r>
                  <w:r>
                    <w:rPr>
                      <w:rFonts w:hint="eastAsia" w:ascii="Times New Roman" w:hAnsi="Times New Roman" w:eastAsia="宋体"/>
                      <w:color w:val="auto"/>
                      <w:sz w:val="21"/>
                      <w:szCs w:val="21"/>
                      <w:lang w:eastAsia="zh-CN"/>
                    </w:rPr>
                    <w:t>施工期禁止向河道内</w:t>
                  </w:r>
                  <w:r>
                    <w:rPr>
                      <w:rFonts w:hint="default" w:ascii="Times New Roman" w:hAnsi="Times New Roman" w:eastAsia="宋体" w:cs="Times New Roman"/>
                      <w:color w:val="auto"/>
                      <w:kern w:val="0"/>
                      <w:sz w:val="21"/>
                      <w:szCs w:val="21"/>
                      <w:lang w:val="en-US" w:eastAsia="zh-CN"/>
                    </w:rPr>
                    <w:t>弃置、堆放</w:t>
                  </w:r>
                  <w:r>
                    <w:rPr>
                      <w:rFonts w:hint="eastAsia" w:ascii="Times New Roman" w:hAnsi="Times New Roman" w:eastAsia="宋体" w:cs="Times New Roman"/>
                      <w:color w:val="auto"/>
                      <w:kern w:val="0"/>
                      <w:sz w:val="21"/>
                      <w:szCs w:val="21"/>
                      <w:lang w:val="en-US" w:eastAsia="zh-CN"/>
                    </w:rPr>
                    <w:t>各类固体废物</w:t>
                  </w:r>
                </w:p>
              </w:tc>
              <w:tc>
                <w:tcPr>
                  <w:tcW w:w="556" w:type="pct"/>
                  <w:tcBorders>
                    <w:bottom w:val="single" w:color="auto" w:sz="4" w:space="0"/>
                  </w:tcBorders>
                  <w:noWrap w:val="0"/>
                  <w:vAlign w:val="center"/>
                </w:tcPr>
                <w:p w14:paraId="40542B49">
                  <w:pPr>
                    <w:pStyle w:val="25"/>
                    <w:widowControl w:val="0"/>
                    <w:spacing w:after="0" w:line="240" w:lineRule="auto"/>
                    <w:jc w:val="center"/>
                    <w:rPr>
                      <w:rFonts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符合</w:t>
                  </w:r>
                </w:p>
              </w:tc>
            </w:tr>
            <w:tr w14:paraId="439CB63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5" w:hRule="atLeast"/>
                <w:jc w:val="center"/>
              </w:trPr>
              <w:tc>
                <w:tcPr>
                  <w:tcW w:w="864" w:type="pct"/>
                  <w:tcBorders>
                    <w:top w:val="single" w:color="auto" w:sz="4" w:space="0"/>
                    <w:bottom w:val="single" w:color="auto" w:sz="4" w:space="0"/>
                  </w:tcBorders>
                  <w:noWrap w:val="0"/>
                  <w:vAlign w:val="center"/>
                </w:tcPr>
                <w:p w14:paraId="15DCBFE0">
                  <w:pPr>
                    <w:autoSpaceDE w:val="0"/>
                    <w:autoSpaceDN w:val="0"/>
                    <w:adjustRightInd w:val="0"/>
                    <w:spacing w:line="240" w:lineRule="auto"/>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《中华人民共和国水法》</w:t>
                  </w:r>
                </w:p>
              </w:tc>
              <w:tc>
                <w:tcPr>
                  <w:tcW w:w="2303" w:type="pct"/>
                  <w:tcBorders>
                    <w:top w:val="single" w:color="auto" w:sz="4" w:space="0"/>
                    <w:bottom w:val="single" w:color="auto" w:sz="4" w:space="0"/>
                  </w:tcBorders>
                  <w:noWrap w:val="0"/>
                  <w:vAlign w:val="center"/>
                </w:tcPr>
                <w:p w14:paraId="4E3CA62B">
                  <w:pPr>
                    <w:autoSpaceDE w:val="0"/>
                    <w:autoSpaceDN w:val="0"/>
                    <w:adjustRightInd w:val="0"/>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第三十七条 禁止在江河、湖泊、水库、运河、渠道内弃置、堆放阻碍行洪的物体和种植阻碍行洪的林木及高秆作物。禁止在河道管理范围内建设妨碍行洪的建筑物、构筑物以及从事影响河势稳定、危害河岸堤防安全和其他妨碍河道行洪的活动。</w:t>
                  </w:r>
                </w:p>
              </w:tc>
              <w:tc>
                <w:tcPr>
                  <w:tcW w:w="1275" w:type="pct"/>
                  <w:tcBorders>
                    <w:top w:val="single" w:color="auto" w:sz="4" w:space="0"/>
                    <w:bottom w:val="single" w:color="auto" w:sz="4" w:space="0"/>
                  </w:tcBorders>
                  <w:noWrap w:val="0"/>
                  <w:vAlign w:val="center"/>
                </w:tcPr>
                <w:p w14:paraId="73E9BC06">
                  <w:pPr>
                    <w:autoSpaceDE w:val="0"/>
                    <w:autoSpaceDN w:val="0"/>
                    <w:adjustRightInd w:val="0"/>
                    <w:spacing w:line="240" w:lineRule="auto"/>
                    <w:jc w:val="center"/>
                    <w:rPr>
                      <w:rFonts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本项目</w:t>
                  </w:r>
                  <w:r>
                    <w:rPr>
                      <w:rFonts w:hint="eastAsia"/>
                      <w:color w:val="auto"/>
                      <w:sz w:val="21"/>
                      <w:szCs w:val="21"/>
                      <w:lang w:val="en-US" w:eastAsia="zh-CN"/>
                    </w:rPr>
                    <w:t>人工湿地在河道范围外，护岸和护坡</w:t>
                  </w:r>
                  <w:r>
                    <w:rPr>
                      <w:rFonts w:hint="eastAsia" w:ascii="Times New Roman" w:hAnsi="Times New Roman" w:eastAsia="宋体"/>
                      <w:color w:val="auto"/>
                      <w:sz w:val="21"/>
                      <w:szCs w:val="21"/>
                      <w:lang w:eastAsia="zh-CN"/>
                    </w:rPr>
                    <w:t>利用现状岸坎合理布设，</w:t>
                  </w:r>
                  <w:r>
                    <w:rPr>
                      <w:rFonts w:hint="eastAsia" w:ascii="Times New Roman" w:hAnsi="Times New Roman" w:eastAsia="宋体" w:cs="Times New Roman"/>
                      <w:color w:val="auto"/>
                      <w:kern w:val="0"/>
                      <w:sz w:val="21"/>
                      <w:szCs w:val="21"/>
                      <w:lang w:val="en-US" w:eastAsia="zh-CN"/>
                    </w:rPr>
                    <w:t>工程的实施可有效防止洪涝灾害，提高</w:t>
                  </w:r>
                  <w:r>
                    <w:rPr>
                      <w:rFonts w:hint="eastAsia" w:cs="Times New Roman"/>
                      <w:color w:val="auto"/>
                      <w:kern w:val="0"/>
                      <w:sz w:val="21"/>
                      <w:szCs w:val="21"/>
                      <w:lang w:val="en-US" w:eastAsia="zh-CN"/>
                    </w:rPr>
                    <w:t>千</w:t>
                  </w:r>
                  <w:r>
                    <w:rPr>
                      <w:rFonts w:hint="eastAsia" w:ascii="Times New Roman" w:hAnsi="Times New Roman" w:eastAsia="宋体" w:cs="Times New Roman"/>
                      <w:color w:val="auto"/>
                      <w:kern w:val="0"/>
                      <w:sz w:val="21"/>
                      <w:szCs w:val="21"/>
                      <w:lang w:val="en-US" w:eastAsia="zh-CN"/>
                    </w:rPr>
                    <w:t>河防洪能力</w:t>
                  </w:r>
                </w:p>
              </w:tc>
              <w:tc>
                <w:tcPr>
                  <w:tcW w:w="556" w:type="pct"/>
                  <w:tcBorders>
                    <w:top w:val="single" w:color="auto" w:sz="4" w:space="0"/>
                    <w:bottom w:val="single" w:color="auto" w:sz="4" w:space="0"/>
                  </w:tcBorders>
                  <w:noWrap w:val="0"/>
                  <w:vAlign w:val="center"/>
                </w:tcPr>
                <w:p w14:paraId="3BE57ABE">
                  <w:pPr>
                    <w:pStyle w:val="25"/>
                    <w:widowControl w:val="0"/>
                    <w:spacing w:after="0" w:line="240" w:lineRule="auto"/>
                    <w:jc w:val="center"/>
                    <w:rPr>
                      <w:rFonts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符合</w:t>
                  </w:r>
                </w:p>
              </w:tc>
            </w:tr>
            <w:tr w14:paraId="3517B84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3" w:hRule="atLeast"/>
                <w:jc w:val="center"/>
              </w:trPr>
              <w:tc>
                <w:tcPr>
                  <w:tcW w:w="864" w:type="pct"/>
                  <w:tcBorders>
                    <w:top w:val="single" w:color="auto" w:sz="4" w:space="0"/>
                    <w:bottom w:val="single" w:color="auto" w:sz="4" w:space="0"/>
                  </w:tcBorders>
                  <w:noWrap w:val="0"/>
                  <w:vAlign w:val="center"/>
                </w:tcPr>
                <w:p w14:paraId="2BC68119">
                  <w:pPr>
                    <w:autoSpaceDE w:val="0"/>
                    <w:autoSpaceDN w:val="0"/>
                    <w:adjustRightInd w:val="0"/>
                    <w:spacing w:line="240" w:lineRule="auto"/>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《中华人民共和国防洪法》</w:t>
                  </w:r>
                </w:p>
              </w:tc>
              <w:tc>
                <w:tcPr>
                  <w:tcW w:w="2303" w:type="pct"/>
                  <w:tcBorders>
                    <w:top w:val="single" w:color="auto" w:sz="4" w:space="0"/>
                    <w:bottom w:val="single" w:color="auto" w:sz="4" w:space="0"/>
                  </w:tcBorders>
                  <w:noWrap w:val="0"/>
                  <w:vAlign w:val="center"/>
                </w:tcPr>
                <w:p w14:paraId="5AEDCAAE">
                  <w:pPr>
                    <w:autoSpaceDE w:val="0"/>
                    <w:autoSpaceDN w:val="0"/>
                    <w:adjustRightInd w:val="0"/>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第十七条 在江河、湖泊上建设防洪工程和其他水工程、水电站等，应当符合防洪规划的要求</w:t>
                  </w:r>
                  <w:r>
                    <w:rPr>
                      <w:rFonts w:hint="eastAsia" w:ascii="Times New Roman" w:hAnsi="Times New Roman" w:eastAsia="宋体" w:cs="Times New Roman"/>
                      <w:color w:val="auto"/>
                      <w:kern w:val="0"/>
                      <w:sz w:val="21"/>
                      <w:szCs w:val="21"/>
                      <w:lang w:val="en-US" w:eastAsia="zh-CN"/>
                    </w:rPr>
                    <w:t>。</w:t>
                  </w:r>
                </w:p>
                <w:p w14:paraId="1F345FF2">
                  <w:pPr>
                    <w:autoSpaceDE w:val="0"/>
                    <w:autoSpaceDN w:val="0"/>
                    <w:adjustRightInd w:val="0"/>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第十九条 整治河道和修建控制引导河水流向、保护堤岸等工程，应当兼顾上下游、左右岸的关系，按照规划治导线实施，不得任意改变河水流向</w:t>
                  </w:r>
                </w:p>
              </w:tc>
              <w:tc>
                <w:tcPr>
                  <w:tcW w:w="1275" w:type="pct"/>
                  <w:tcBorders>
                    <w:top w:val="single" w:color="auto" w:sz="4" w:space="0"/>
                    <w:bottom w:val="single" w:color="auto" w:sz="4" w:space="0"/>
                  </w:tcBorders>
                  <w:noWrap w:val="0"/>
                  <w:vAlign w:val="center"/>
                </w:tcPr>
                <w:p w14:paraId="1287E037">
                  <w:pPr>
                    <w:autoSpaceDE w:val="0"/>
                    <w:autoSpaceDN w:val="0"/>
                    <w:adjustRightInd w:val="0"/>
                    <w:spacing w:line="240" w:lineRule="auto"/>
                    <w:jc w:val="center"/>
                    <w:rPr>
                      <w:rFonts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本</w:t>
                  </w:r>
                  <w:r>
                    <w:rPr>
                      <w:rFonts w:hint="eastAsia" w:ascii="Times New Roman" w:hAnsi="Times New Roman" w:eastAsia="宋体"/>
                      <w:color w:val="auto"/>
                      <w:sz w:val="21"/>
                      <w:szCs w:val="21"/>
                      <w:lang w:val="en-US" w:eastAsia="zh-CN"/>
                    </w:rPr>
                    <w:t>工程</w:t>
                  </w:r>
                  <w:r>
                    <w:rPr>
                      <w:rFonts w:hint="eastAsia" w:ascii="Times New Roman" w:hAnsi="Times New Roman" w:eastAsia="宋体"/>
                      <w:color w:val="auto"/>
                      <w:sz w:val="21"/>
                      <w:szCs w:val="21"/>
                      <w:lang w:eastAsia="zh-CN"/>
                    </w:rPr>
                    <w:t>符合防洪规划，</w:t>
                  </w:r>
                  <w:r>
                    <w:rPr>
                      <w:rFonts w:hint="eastAsia"/>
                      <w:color w:val="auto"/>
                      <w:sz w:val="21"/>
                      <w:szCs w:val="21"/>
                      <w:lang w:val="en-US" w:eastAsia="zh-CN"/>
                    </w:rPr>
                    <w:t>护岸</w:t>
                  </w:r>
                  <w:r>
                    <w:rPr>
                      <w:rFonts w:hint="eastAsia" w:ascii="Times New Roman" w:hAnsi="Times New Roman" w:eastAsia="宋体"/>
                      <w:color w:val="auto"/>
                      <w:sz w:val="21"/>
                      <w:szCs w:val="21"/>
                      <w:lang w:eastAsia="zh-CN"/>
                    </w:rPr>
                    <w:t>工程</w:t>
                  </w:r>
                  <w:r>
                    <w:rPr>
                      <w:rFonts w:hint="default" w:ascii="Times New Roman" w:hAnsi="Times New Roman" w:eastAsia="宋体" w:cs="Times New Roman"/>
                      <w:color w:val="auto"/>
                      <w:kern w:val="0"/>
                      <w:sz w:val="21"/>
                      <w:szCs w:val="21"/>
                      <w:lang w:val="en-US" w:eastAsia="zh-CN"/>
                    </w:rPr>
                    <w:t>兼顾</w:t>
                  </w:r>
                  <w:r>
                    <w:rPr>
                      <w:rFonts w:hint="eastAsia" w:ascii="Times New Roman" w:hAnsi="Times New Roman" w:eastAsia="宋体" w:cs="Times New Roman"/>
                      <w:color w:val="auto"/>
                      <w:kern w:val="0"/>
                      <w:sz w:val="21"/>
                      <w:szCs w:val="21"/>
                      <w:lang w:val="en-US" w:eastAsia="zh-CN"/>
                    </w:rPr>
                    <w:t>了</w:t>
                  </w:r>
                  <w:r>
                    <w:rPr>
                      <w:rFonts w:hint="default" w:ascii="Times New Roman" w:hAnsi="Times New Roman" w:eastAsia="宋体" w:cs="Times New Roman"/>
                      <w:color w:val="auto"/>
                      <w:kern w:val="0"/>
                      <w:sz w:val="21"/>
                      <w:szCs w:val="21"/>
                      <w:lang w:val="en-US" w:eastAsia="zh-CN"/>
                    </w:rPr>
                    <w:t>上下游、左右岸的关系</w:t>
                  </w:r>
                  <w:r>
                    <w:rPr>
                      <w:rFonts w:hint="eastAsia" w:ascii="Times New Roman" w:hAnsi="Times New Roman" w:eastAsia="宋体" w:cs="Times New Roman"/>
                      <w:color w:val="auto"/>
                      <w:kern w:val="0"/>
                      <w:sz w:val="21"/>
                      <w:szCs w:val="21"/>
                      <w:lang w:val="en-US" w:eastAsia="zh-CN"/>
                    </w:rPr>
                    <w:t>，</w:t>
                  </w:r>
                  <w:r>
                    <w:rPr>
                      <w:rFonts w:hint="eastAsia" w:ascii="Times New Roman" w:hAnsi="Times New Roman" w:eastAsia="宋体"/>
                      <w:color w:val="auto"/>
                      <w:sz w:val="21"/>
                      <w:szCs w:val="21"/>
                      <w:lang w:eastAsia="zh-CN"/>
                    </w:rPr>
                    <w:t>与河水流向相适应，不改变河水流向</w:t>
                  </w:r>
                </w:p>
              </w:tc>
              <w:tc>
                <w:tcPr>
                  <w:tcW w:w="556" w:type="pct"/>
                  <w:tcBorders>
                    <w:top w:val="single" w:color="auto" w:sz="4" w:space="0"/>
                    <w:bottom w:val="single" w:color="auto" w:sz="4" w:space="0"/>
                  </w:tcBorders>
                  <w:noWrap w:val="0"/>
                  <w:vAlign w:val="center"/>
                </w:tcPr>
                <w:p w14:paraId="2D8F41D2">
                  <w:pPr>
                    <w:pStyle w:val="25"/>
                    <w:widowControl w:val="0"/>
                    <w:spacing w:after="0" w:line="240" w:lineRule="auto"/>
                    <w:jc w:val="center"/>
                    <w:rPr>
                      <w:rFonts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符合</w:t>
                  </w:r>
                </w:p>
              </w:tc>
            </w:tr>
            <w:tr w14:paraId="63F74BE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3" w:hRule="atLeast"/>
                <w:jc w:val="center"/>
              </w:trPr>
              <w:tc>
                <w:tcPr>
                  <w:tcW w:w="864" w:type="pct"/>
                  <w:vMerge w:val="restart"/>
                  <w:tcBorders>
                    <w:top w:val="single" w:color="auto" w:sz="4" w:space="0"/>
                  </w:tcBorders>
                  <w:noWrap w:val="0"/>
                  <w:vAlign w:val="center"/>
                </w:tcPr>
                <w:p w14:paraId="41343527">
                  <w:pPr>
                    <w:numPr>
                      <w:ilvl w:val="0"/>
                      <w:numId w:val="0"/>
                    </w:numPr>
                    <w:jc w:val="center"/>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olor w:val="auto"/>
                      <w:sz w:val="21"/>
                      <w:szCs w:val="21"/>
                      <w:vertAlign w:val="baseline"/>
                      <w:lang w:val="en-US" w:eastAsia="zh-CN"/>
                    </w:rPr>
                    <w:t>《中华人民共和国河道管理条例》</w:t>
                  </w:r>
                </w:p>
              </w:tc>
              <w:tc>
                <w:tcPr>
                  <w:tcW w:w="2303" w:type="pct"/>
                  <w:tcBorders>
                    <w:top w:val="single" w:color="auto" w:sz="4" w:space="0"/>
                    <w:bottom w:val="single" w:color="auto" w:sz="4" w:space="0"/>
                  </w:tcBorders>
                  <w:noWrap w:val="0"/>
                  <w:vAlign w:val="center"/>
                </w:tcPr>
                <w:p w14:paraId="0A6F9A54">
                  <w:pPr>
                    <w:autoSpaceDE w:val="0"/>
                    <w:autoSpaceDN w:val="0"/>
                    <w:adjustRightInd w:val="0"/>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第</w:t>
                  </w:r>
                  <w:r>
                    <w:rPr>
                      <w:rFonts w:hint="eastAsia" w:ascii="Times New Roman" w:hAnsi="Times New Roman" w:eastAsia="宋体" w:cs="Times New Roman"/>
                      <w:color w:val="auto"/>
                      <w:kern w:val="0"/>
                      <w:sz w:val="21"/>
                      <w:szCs w:val="21"/>
                      <w:lang w:val="en-US" w:eastAsia="zh-CN"/>
                    </w:rPr>
                    <w:t>二十四</w:t>
                  </w:r>
                  <w:r>
                    <w:rPr>
                      <w:rFonts w:hint="default" w:ascii="Times New Roman" w:hAnsi="Times New Roman" w:eastAsia="宋体" w:cs="Times New Roman"/>
                      <w:color w:val="auto"/>
                      <w:kern w:val="0"/>
                      <w:sz w:val="21"/>
                      <w:szCs w:val="21"/>
                      <w:lang w:val="en-US" w:eastAsia="zh-CN"/>
                    </w:rPr>
                    <w:t>条</w:t>
                  </w:r>
                  <w:r>
                    <w:rPr>
                      <w:rFonts w:hint="eastAsia" w:ascii="Times New Roman" w:hAnsi="Times New Roman" w:eastAsia="宋体" w:cs="Times New Roman"/>
                      <w:color w:val="auto"/>
                      <w:kern w:val="0"/>
                      <w:sz w:val="21"/>
                      <w:szCs w:val="21"/>
                      <w:lang w:val="en-US" w:eastAsia="zh-CN"/>
                    </w:rPr>
                    <w:t xml:space="preserve"> </w:t>
                  </w:r>
                  <w:r>
                    <w:rPr>
                      <w:rFonts w:hint="default" w:ascii="Times New Roman" w:hAnsi="Times New Roman" w:eastAsia="宋体"/>
                      <w:color w:val="auto"/>
                      <w:sz w:val="21"/>
                      <w:szCs w:val="21"/>
                      <w:vertAlign w:val="baseline"/>
                      <w:lang w:val="en-US" w:eastAsia="zh-CN"/>
                    </w:rPr>
                    <w:t>在河道管理范围内，禁止修建围堤、阻水渠道、阻水道路；种植</w:t>
                  </w:r>
                  <w:r>
                    <w:rPr>
                      <w:rFonts w:hint="eastAsia"/>
                      <w:color w:val="auto"/>
                      <w:sz w:val="21"/>
                      <w:szCs w:val="21"/>
                      <w:vertAlign w:val="baseline"/>
                      <w:lang w:val="en-US" w:eastAsia="zh-CN"/>
                    </w:rPr>
                    <w:t>高秆</w:t>
                  </w:r>
                  <w:r>
                    <w:rPr>
                      <w:rFonts w:hint="default" w:ascii="Times New Roman" w:hAnsi="Times New Roman" w:eastAsia="宋体"/>
                      <w:color w:val="auto"/>
                      <w:sz w:val="21"/>
                      <w:szCs w:val="21"/>
                      <w:vertAlign w:val="baseline"/>
                      <w:lang w:val="en-US" w:eastAsia="zh-CN"/>
                    </w:rPr>
                    <w:t>农作物、芦苇、杞柳、荻柴和树木（堤防防护林除外），设置拦河渔具；弃置矿渣、石渣、煤灰、泥土、垃圾等。</w:t>
                  </w:r>
                </w:p>
              </w:tc>
              <w:tc>
                <w:tcPr>
                  <w:tcW w:w="1275" w:type="pct"/>
                  <w:tcBorders>
                    <w:top w:val="single" w:color="auto" w:sz="4" w:space="0"/>
                    <w:bottom w:val="single" w:color="auto" w:sz="4" w:space="0"/>
                  </w:tcBorders>
                  <w:shd w:val="clear" w:color="auto" w:fill="auto"/>
                  <w:noWrap w:val="0"/>
                  <w:vAlign w:val="center"/>
                </w:tcPr>
                <w:p w14:paraId="2335D2FB">
                  <w:pPr>
                    <w:numPr>
                      <w:ilvl w:val="0"/>
                      <w:numId w:val="0"/>
                    </w:numPr>
                    <w:ind w:left="0" w:leftChars="0" w:firstLine="0" w:firstLineChars="0"/>
                    <w:jc w:val="center"/>
                    <w:rPr>
                      <w:rFonts w:hint="eastAsia"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olor w:val="auto"/>
                      <w:sz w:val="21"/>
                      <w:szCs w:val="21"/>
                      <w:vertAlign w:val="baseline"/>
                      <w:lang w:val="en-US" w:eastAsia="zh-CN"/>
                    </w:rPr>
                    <w:t>本项目</w:t>
                  </w:r>
                  <w:r>
                    <w:rPr>
                      <w:rFonts w:hint="eastAsia" w:ascii="Times New Roman" w:hAnsi="Times New Roman" w:eastAsia="宋体"/>
                      <w:color w:val="auto"/>
                      <w:sz w:val="21"/>
                      <w:szCs w:val="21"/>
                      <w:vertAlign w:val="baseline"/>
                      <w:lang w:val="en-US" w:eastAsia="zh-CN"/>
                    </w:rPr>
                    <w:t>护岸挡墙</w:t>
                  </w:r>
                  <w:r>
                    <w:rPr>
                      <w:rFonts w:hint="eastAsia"/>
                      <w:color w:val="auto"/>
                      <w:sz w:val="21"/>
                      <w:szCs w:val="21"/>
                      <w:vertAlign w:val="baseline"/>
                      <w:lang w:val="en-US" w:eastAsia="zh-CN"/>
                    </w:rPr>
                    <w:t>与护坡</w:t>
                  </w:r>
                  <w:r>
                    <w:rPr>
                      <w:rFonts w:hint="default" w:ascii="Times New Roman" w:hAnsi="Times New Roman" w:eastAsia="宋体"/>
                      <w:color w:val="auto"/>
                      <w:sz w:val="21"/>
                      <w:szCs w:val="21"/>
                      <w:vertAlign w:val="baseline"/>
                      <w:lang w:val="en-US" w:eastAsia="zh-CN"/>
                    </w:rPr>
                    <w:t>沿现状河道岸、坎线布置，</w:t>
                  </w:r>
                  <w:r>
                    <w:rPr>
                      <w:rFonts w:hint="eastAsia"/>
                      <w:color w:val="auto"/>
                      <w:sz w:val="21"/>
                      <w:szCs w:val="21"/>
                      <w:vertAlign w:val="baseline"/>
                      <w:lang w:val="en-US" w:eastAsia="zh-CN"/>
                    </w:rPr>
                    <w:t>施工期</w:t>
                  </w:r>
                  <w:r>
                    <w:rPr>
                      <w:rFonts w:hint="default" w:ascii="Times New Roman" w:hAnsi="Times New Roman" w:eastAsia="宋体"/>
                      <w:color w:val="auto"/>
                      <w:sz w:val="21"/>
                      <w:szCs w:val="21"/>
                      <w:vertAlign w:val="baseline"/>
                      <w:lang w:val="en-US" w:eastAsia="zh-CN"/>
                    </w:rPr>
                    <w:t>禁止在河道管理范围内弃置砂石。</w:t>
                  </w:r>
                </w:p>
              </w:tc>
              <w:tc>
                <w:tcPr>
                  <w:tcW w:w="556" w:type="pct"/>
                  <w:tcBorders>
                    <w:top w:val="single" w:color="auto" w:sz="4" w:space="0"/>
                    <w:bottom w:val="single" w:color="auto" w:sz="4" w:space="0"/>
                  </w:tcBorders>
                  <w:noWrap w:val="0"/>
                  <w:vAlign w:val="center"/>
                </w:tcPr>
                <w:p w14:paraId="679A72F0">
                  <w:pPr>
                    <w:pStyle w:val="25"/>
                    <w:widowControl w:val="0"/>
                    <w:spacing w:after="0" w:line="240" w:lineRule="auto"/>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符合</w:t>
                  </w:r>
                </w:p>
              </w:tc>
            </w:tr>
            <w:tr w14:paraId="0CFDE62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3" w:hRule="atLeast"/>
                <w:jc w:val="center"/>
              </w:trPr>
              <w:tc>
                <w:tcPr>
                  <w:tcW w:w="864" w:type="pct"/>
                  <w:vMerge w:val="continue"/>
                  <w:tcBorders>
                    <w:bottom w:val="single" w:color="auto" w:sz="4" w:space="0"/>
                  </w:tcBorders>
                  <w:noWrap w:val="0"/>
                  <w:vAlign w:val="center"/>
                </w:tcPr>
                <w:p w14:paraId="75CD0AB5">
                  <w:pPr>
                    <w:autoSpaceDE w:val="0"/>
                    <w:autoSpaceDN w:val="0"/>
                    <w:adjustRightInd w:val="0"/>
                    <w:spacing w:line="240" w:lineRule="auto"/>
                    <w:jc w:val="center"/>
                    <w:rPr>
                      <w:rFonts w:hint="default" w:ascii="Times New Roman" w:hAnsi="Times New Roman" w:eastAsia="宋体"/>
                      <w:color w:val="auto"/>
                      <w:sz w:val="21"/>
                      <w:szCs w:val="21"/>
                      <w:vertAlign w:val="baseline"/>
                      <w:lang w:val="en-US" w:eastAsia="zh-CN"/>
                    </w:rPr>
                  </w:pPr>
                </w:p>
              </w:tc>
              <w:tc>
                <w:tcPr>
                  <w:tcW w:w="2303" w:type="pct"/>
                  <w:tcBorders>
                    <w:top w:val="single" w:color="auto" w:sz="4" w:space="0"/>
                    <w:bottom w:val="single" w:color="auto" w:sz="4" w:space="0"/>
                  </w:tcBorders>
                  <w:noWrap w:val="0"/>
                  <w:vAlign w:val="center"/>
                </w:tcPr>
                <w:p w14:paraId="2D21C6B5">
                  <w:pPr>
                    <w:autoSpaceDE w:val="0"/>
                    <w:autoSpaceDN w:val="0"/>
                    <w:adjustRightInd w:val="0"/>
                    <w:spacing w:line="240" w:lineRule="auto"/>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olor w:val="auto"/>
                      <w:sz w:val="21"/>
                      <w:szCs w:val="21"/>
                      <w:vertAlign w:val="baseline"/>
                      <w:lang w:val="en-US" w:eastAsia="zh-CN"/>
                    </w:rPr>
                    <w:t xml:space="preserve">第二十五条 </w:t>
                  </w:r>
                  <w:r>
                    <w:rPr>
                      <w:rFonts w:hint="default" w:ascii="Times New Roman" w:hAnsi="Times New Roman" w:eastAsia="宋体"/>
                      <w:color w:val="auto"/>
                      <w:sz w:val="21"/>
                      <w:szCs w:val="21"/>
                      <w:vertAlign w:val="baseline"/>
                      <w:lang w:val="en-US" w:eastAsia="zh-CN"/>
                    </w:rPr>
                    <w:t>在河道管理范围内弃置砂石或者淤泥，在河道滩地存放物料、修建、建筑设施必须报经河道主管机关批准，涉及其他部门的，由河道主管机关会同有关部门批准。</w:t>
                  </w:r>
                </w:p>
              </w:tc>
              <w:tc>
                <w:tcPr>
                  <w:tcW w:w="1275" w:type="pct"/>
                  <w:tcBorders>
                    <w:top w:val="single" w:color="auto" w:sz="4" w:space="0"/>
                    <w:bottom w:val="single" w:color="auto" w:sz="4" w:space="0"/>
                  </w:tcBorders>
                  <w:shd w:val="clear" w:color="auto" w:fill="auto"/>
                  <w:noWrap w:val="0"/>
                  <w:vAlign w:val="center"/>
                </w:tcPr>
                <w:p w14:paraId="0B7D2536">
                  <w:pPr>
                    <w:numPr>
                      <w:ilvl w:val="0"/>
                      <w:numId w:val="0"/>
                    </w:numPr>
                    <w:ind w:left="0" w:leftChars="0" w:firstLine="0" w:firstLineChars="0"/>
                    <w:jc w:val="center"/>
                    <w:rPr>
                      <w:rFonts w:hint="eastAsia"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olor w:val="auto"/>
                      <w:sz w:val="21"/>
                      <w:szCs w:val="21"/>
                      <w:vertAlign w:val="baseline"/>
                      <w:lang w:val="en-US" w:eastAsia="zh-CN"/>
                    </w:rPr>
                    <w:t>施工期禁止在河道管理范围内弃置砂石。</w:t>
                  </w:r>
                </w:p>
              </w:tc>
              <w:tc>
                <w:tcPr>
                  <w:tcW w:w="556" w:type="pct"/>
                  <w:tcBorders>
                    <w:top w:val="single" w:color="auto" w:sz="4" w:space="0"/>
                    <w:bottom w:val="single" w:color="auto" w:sz="4" w:space="0"/>
                  </w:tcBorders>
                  <w:noWrap w:val="0"/>
                  <w:vAlign w:val="center"/>
                </w:tcPr>
                <w:p w14:paraId="3F2F41D7">
                  <w:pPr>
                    <w:pStyle w:val="25"/>
                    <w:widowControl w:val="0"/>
                    <w:spacing w:after="0" w:line="240" w:lineRule="auto"/>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符合</w:t>
                  </w:r>
                </w:p>
              </w:tc>
            </w:tr>
            <w:tr w14:paraId="4EFE027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1" w:hRule="atLeast"/>
                <w:jc w:val="center"/>
              </w:trPr>
              <w:tc>
                <w:tcPr>
                  <w:tcW w:w="864" w:type="pct"/>
                  <w:tcBorders>
                    <w:top w:val="single" w:color="auto" w:sz="4" w:space="0"/>
                    <w:bottom w:val="single" w:color="auto" w:sz="4" w:space="0"/>
                  </w:tcBorders>
                  <w:noWrap w:val="0"/>
                  <w:vAlign w:val="center"/>
                </w:tcPr>
                <w:p w14:paraId="724294E4">
                  <w:pPr>
                    <w:autoSpaceDE w:val="0"/>
                    <w:autoSpaceDN w:val="0"/>
                    <w:adjustRightInd w:val="0"/>
                    <w:spacing w:line="240" w:lineRule="auto"/>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《陕西省河道管理条例》</w:t>
                  </w:r>
                </w:p>
              </w:tc>
              <w:tc>
                <w:tcPr>
                  <w:tcW w:w="2303" w:type="pct"/>
                  <w:tcBorders>
                    <w:top w:val="single" w:color="auto" w:sz="4" w:space="0"/>
                    <w:bottom w:val="single" w:color="auto" w:sz="4" w:space="0"/>
                  </w:tcBorders>
                  <w:noWrap w:val="0"/>
                  <w:vAlign w:val="center"/>
                </w:tcPr>
                <w:p w14:paraId="070041EF">
                  <w:pPr>
                    <w:autoSpaceDE w:val="0"/>
                    <w:autoSpaceDN w:val="0"/>
                    <w:adjustRightInd w:val="0"/>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第二十一条在河道管理范围内禁止下</w:t>
                  </w:r>
                  <w:r>
                    <w:rPr>
                      <w:rFonts w:hint="eastAsia" w:cs="Times New Roman"/>
                      <w:color w:val="auto"/>
                      <w:kern w:val="0"/>
                      <w:sz w:val="21"/>
                      <w:szCs w:val="21"/>
                      <w:lang w:val="en-US" w:eastAsia="zh-CN"/>
                    </w:rPr>
                    <w:t>列行</w:t>
                  </w:r>
                  <w:r>
                    <w:rPr>
                      <w:rFonts w:hint="default" w:ascii="Times New Roman" w:hAnsi="Times New Roman" w:eastAsia="宋体" w:cs="Times New Roman"/>
                      <w:color w:val="auto"/>
                      <w:kern w:val="0"/>
                      <w:sz w:val="21"/>
                      <w:szCs w:val="21"/>
                      <w:lang w:val="en-US" w:eastAsia="zh-CN"/>
                    </w:rPr>
                    <w:t>为：</w:t>
                  </w:r>
                  <w:r>
                    <w:rPr>
                      <w:rFonts w:hint="eastAsia" w:ascii="Times New Roman" w:hAnsi="Times New Roman" w:eastAsia="宋体" w:cs="Times New Roman"/>
                      <w:color w:val="auto"/>
                      <w:kern w:val="0"/>
                      <w:sz w:val="21"/>
                      <w:szCs w:val="21"/>
                      <w:lang w:val="en-US" w:eastAsia="zh-CN"/>
                    </w:rPr>
                    <w:t>（一）</w:t>
                  </w:r>
                  <w:r>
                    <w:rPr>
                      <w:rFonts w:hint="default" w:ascii="Times New Roman" w:hAnsi="Times New Roman" w:eastAsia="宋体" w:cs="Times New Roman"/>
                      <w:color w:val="auto"/>
                      <w:kern w:val="0"/>
                      <w:sz w:val="21"/>
                      <w:szCs w:val="21"/>
                      <w:lang w:val="en-US" w:eastAsia="zh-CN"/>
                    </w:rPr>
                    <w:t>修建违章丁坝、顺坝、围堤、生产堤、高路、高渠、房屋；</w:t>
                  </w:r>
                  <w:r>
                    <w:rPr>
                      <w:rFonts w:hint="eastAsia" w:ascii="Times New Roman" w:hAnsi="Times New Roman" w:eastAsia="宋体" w:cs="Times New Roman"/>
                      <w:color w:val="auto"/>
                      <w:kern w:val="0"/>
                      <w:sz w:val="21"/>
                      <w:szCs w:val="21"/>
                      <w:lang w:val="en-US" w:eastAsia="zh-CN"/>
                    </w:rPr>
                    <w:t>（二）</w:t>
                  </w:r>
                  <w:r>
                    <w:rPr>
                      <w:rFonts w:hint="default" w:ascii="Times New Roman" w:hAnsi="Times New Roman" w:eastAsia="宋体" w:cs="Times New Roman"/>
                      <w:color w:val="auto"/>
                      <w:kern w:val="0"/>
                      <w:sz w:val="21"/>
                      <w:szCs w:val="21"/>
                      <w:lang w:val="en-US" w:eastAsia="zh-CN"/>
                    </w:rPr>
                    <w:t>存放物料，倾倒垃圾、矿渣、煤灰、废弃土石料和其他废弃物；</w:t>
                  </w:r>
                  <w:r>
                    <w:rPr>
                      <w:rFonts w:hint="eastAsia" w:ascii="Times New Roman" w:hAnsi="Times New Roman" w:eastAsia="宋体" w:cs="Times New Roman"/>
                      <w:color w:val="auto"/>
                      <w:kern w:val="0"/>
                      <w:sz w:val="21"/>
                      <w:szCs w:val="21"/>
                      <w:lang w:val="en-US" w:eastAsia="zh-CN"/>
                    </w:rPr>
                    <w:t>（三）</w:t>
                  </w:r>
                  <w:r>
                    <w:rPr>
                      <w:rFonts w:hint="default" w:ascii="Times New Roman" w:hAnsi="Times New Roman" w:eastAsia="宋体" w:cs="Times New Roman"/>
                      <w:color w:val="auto"/>
                      <w:kern w:val="0"/>
                      <w:sz w:val="21"/>
                      <w:szCs w:val="21"/>
                      <w:lang w:val="en-US" w:eastAsia="zh-CN"/>
                    </w:rPr>
                    <w:t>围河造田、种植阻水林木和高秆作物</w:t>
                  </w:r>
                </w:p>
              </w:tc>
              <w:tc>
                <w:tcPr>
                  <w:tcW w:w="1275" w:type="pct"/>
                  <w:tcBorders>
                    <w:top w:val="single" w:color="auto" w:sz="4" w:space="0"/>
                    <w:bottom w:val="single" w:color="auto" w:sz="4" w:space="0"/>
                  </w:tcBorders>
                  <w:noWrap w:val="0"/>
                  <w:vAlign w:val="center"/>
                </w:tcPr>
                <w:p w14:paraId="31C9747D">
                  <w:pPr>
                    <w:autoSpaceDE w:val="0"/>
                    <w:autoSpaceDN w:val="0"/>
                    <w:adjustRightInd w:val="0"/>
                    <w:spacing w:line="240" w:lineRule="auto"/>
                    <w:jc w:val="center"/>
                    <w:rPr>
                      <w:rFonts w:hint="eastAsia" w:ascii="Times New Roman" w:hAnsi="Times New Roman" w:eastAsia="宋体" w:cs="Times New Roman"/>
                      <w:i w:val="0"/>
                      <w:caps w:val="0"/>
                      <w:color w:val="auto"/>
                      <w:spacing w:val="0"/>
                      <w:kern w:val="0"/>
                      <w:sz w:val="21"/>
                      <w:szCs w:val="21"/>
                      <w:highlight w:val="none"/>
                      <w:shd w:val="clear" w:color="auto" w:fill="FFFFFF"/>
                      <w:lang w:val="en-US" w:eastAsia="zh-CN" w:bidi="ar-SA"/>
                    </w:rPr>
                  </w:pPr>
                  <w:r>
                    <w:rPr>
                      <w:rFonts w:hint="eastAsia" w:ascii="Times New Roman" w:hAnsi="Times New Roman" w:eastAsia="宋体" w:cs="Times New Roman"/>
                      <w:i w:val="0"/>
                      <w:caps w:val="0"/>
                      <w:color w:val="auto"/>
                      <w:spacing w:val="0"/>
                      <w:kern w:val="0"/>
                      <w:sz w:val="21"/>
                      <w:szCs w:val="21"/>
                      <w:highlight w:val="none"/>
                      <w:shd w:val="clear" w:color="auto" w:fill="FFFFFF"/>
                      <w:lang w:val="en-US" w:eastAsia="zh-CN" w:bidi="ar-SA"/>
                    </w:rPr>
                    <w:t>本工程不属于条例中禁止行为</w:t>
                  </w:r>
                </w:p>
              </w:tc>
              <w:tc>
                <w:tcPr>
                  <w:tcW w:w="556" w:type="pct"/>
                  <w:tcBorders>
                    <w:top w:val="single" w:color="auto" w:sz="4" w:space="0"/>
                    <w:bottom w:val="single" w:color="auto" w:sz="4" w:space="0"/>
                  </w:tcBorders>
                  <w:noWrap w:val="0"/>
                  <w:vAlign w:val="center"/>
                </w:tcPr>
                <w:p w14:paraId="673217A9">
                  <w:pPr>
                    <w:pStyle w:val="25"/>
                    <w:widowControl w:val="0"/>
                    <w:spacing w:after="0" w:line="240" w:lineRule="auto"/>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符合</w:t>
                  </w:r>
                </w:p>
              </w:tc>
            </w:tr>
            <w:tr w14:paraId="55F06E6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31" w:hRule="atLeast"/>
                <w:jc w:val="center"/>
              </w:trPr>
              <w:tc>
                <w:tcPr>
                  <w:tcW w:w="864" w:type="pct"/>
                  <w:tcBorders>
                    <w:top w:val="single" w:color="auto" w:sz="4" w:space="0"/>
                    <w:bottom w:val="single" w:color="auto" w:sz="4" w:space="0"/>
                  </w:tcBorders>
                  <w:shd w:val="clear" w:color="auto" w:fill="auto"/>
                  <w:noWrap w:val="0"/>
                  <w:vAlign w:val="center"/>
                </w:tcPr>
                <w:p w14:paraId="3412B343">
                  <w:pPr>
                    <w:numPr>
                      <w:ilvl w:val="0"/>
                      <w:numId w:val="0"/>
                    </w:numPr>
                    <w:ind w:left="0" w:leftChars="0" w:firstLine="0" w:firstLineChars="0"/>
                    <w:jc w:val="center"/>
                    <w:rPr>
                      <w:rFonts w:hint="eastAsia"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olor w:val="auto"/>
                      <w:sz w:val="21"/>
                      <w:szCs w:val="21"/>
                      <w:vertAlign w:val="baseline"/>
                      <w:lang w:val="en-US" w:eastAsia="zh-CN"/>
                    </w:rPr>
                    <w:t>《陕西省湿地保护条例》</w:t>
                  </w:r>
                </w:p>
              </w:tc>
              <w:tc>
                <w:tcPr>
                  <w:tcW w:w="2303" w:type="pct"/>
                  <w:tcBorders>
                    <w:top w:val="single" w:color="auto" w:sz="4" w:space="0"/>
                    <w:bottom w:val="single" w:color="auto" w:sz="4" w:space="0"/>
                  </w:tcBorders>
                  <w:shd w:val="clear" w:color="auto" w:fill="auto"/>
                  <w:noWrap w:val="0"/>
                  <w:vAlign w:val="center"/>
                </w:tcPr>
                <w:p w14:paraId="53547595">
                  <w:pPr>
                    <w:numPr>
                      <w:ilvl w:val="0"/>
                      <w:numId w:val="0"/>
                    </w:numPr>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olor w:val="auto"/>
                      <w:sz w:val="21"/>
                      <w:szCs w:val="21"/>
                      <w:vertAlign w:val="baseline"/>
                      <w:lang w:val="en-US" w:eastAsia="zh-CN"/>
                    </w:rPr>
                    <w:t>第二十一条</w:t>
                  </w:r>
                  <w:r>
                    <w:rPr>
                      <w:rFonts w:hint="eastAsia" w:ascii="Times New Roman" w:hAnsi="Times New Roman" w:eastAsia="宋体"/>
                      <w:color w:val="auto"/>
                      <w:sz w:val="21"/>
                      <w:szCs w:val="21"/>
                      <w:vertAlign w:val="baseline"/>
                      <w:lang w:val="en-US" w:eastAsia="zh-CN"/>
                    </w:rPr>
                    <w:t xml:space="preserve"> </w:t>
                  </w:r>
                  <w:r>
                    <w:rPr>
                      <w:rFonts w:hint="default" w:ascii="Times New Roman" w:hAnsi="Times New Roman" w:eastAsia="宋体"/>
                      <w:color w:val="auto"/>
                      <w:sz w:val="21"/>
                      <w:szCs w:val="21"/>
                      <w:vertAlign w:val="baseline"/>
                      <w:lang w:val="en-US" w:eastAsia="zh-CN"/>
                    </w:rPr>
                    <w:t>在河道管理范围内新建、改建、扩建水库、水电站、防洪工程、抽水站、岸线管控工程、河道整治和河湖生态修复等水利工程的，按照水法、防洪法、河道管理条例等有关法律法规的规定执行，并兼顾湿地保护需要，降低对湿地生态功能的影响。</w:t>
                  </w:r>
                </w:p>
              </w:tc>
              <w:tc>
                <w:tcPr>
                  <w:tcW w:w="1275" w:type="pct"/>
                  <w:tcBorders>
                    <w:top w:val="single" w:color="auto" w:sz="4" w:space="0"/>
                    <w:bottom w:val="single" w:color="auto" w:sz="4" w:space="0"/>
                  </w:tcBorders>
                  <w:shd w:val="clear" w:color="auto" w:fill="auto"/>
                  <w:noWrap w:val="0"/>
                  <w:vAlign w:val="center"/>
                </w:tcPr>
                <w:p w14:paraId="78B42396">
                  <w:pPr>
                    <w:numPr>
                      <w:ilvl w:val="0"/>
                      <w:numId w:val="0"/>
                    </w:numPr>
                    <w:jc w:val="center"/>
                    <w:rPr>
                      <w:rFonts w:hint="eastAsia"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olor w:val="auto"/>
                      <w:sz w:val="21"/>
                      <w:szCs w:val="21"/>
                      <w:vertAlign w:val="baseline"/>
                      <w:lang w:val="en-US" w:eastAsia="zh-CN"/>
                    </w:rPr>
                    <w:t>本项目为防洪工程，项目建设符合水法、防洪法、河道管理条例等要求。</w:t>
                  </w:r>
                </w:p>
              </w:tc>
              <w:tc>
                <w:tcPr>
                  <w:tcW w:w="556" w:type="pct"/>
                  <w:tcBorders>
                    <w:top w:val="single" w:color="auto" w:sz="4" w:space="0"/>
                    <w:bottom w:val="single" w:color="auto" w:sz="4" w:space="0"/>
                  </w:tcBorders>
                  <w:shd w:val="clear" w:color="auto" w:fill="auto"/>
                  <w:noWrap w:val="0"/>
                  <w:vAlign w:val="center"/>
                </w:tcPr>
                <w:p w14:paraId="68FC44A4">
                  <w:pPr>
                    <w:numPr>
                      <w:ilvl w:val="0"/>
                      <w:numId w:val="0"/>
                    </w:numPr>
                    <w:ind w:left="0" w:leftChars="0" w:firstLine="0" w:firstLineChars="0"/>
                    <w:jc w:val="center"/>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olor w:val="auto"/>
                      <w:sz w:val="21"/>
                      <w:szCs w:val="21"/>
                      <w:vertAlign w:val="baseline"/>
                      <w:lang w:val="en-US" w:eastAsia="zh-CN"/>
                    </w:rPr>
                    <w:t>符合</w:t>
                  </w:r>
                </w:p>
              </w:tc>
            </w:tr>
            <w:tr w14:paraId="401DC13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6" w:hRule="atLeast"/>
                <w:jc w:val="center"/>
              </w:trPr>
              <w:tc>
                <w:tcPr>
                  <w:tcW w:w="864" w:type="pct"/>
                  <w:vMerge w:val="restart"/>
                  <w:tcBorders>
                    <w:top w:val="single" w:color="auto" w:sz="4" w:space="0"/>
                  </w:tcBorders>
                  <w:noWrap w:val="0"/>
                  <w:vAlign w:val="center"/>
                </w:tcPr>
                <w:p w14:paraId="7379AAB9">
                  <w:pPr>
                    <w:autoSpaceDE w:val="0"/>
                    <w:autoSpaceDN w:val="0"/>
                    <w:adjustRightInd w:val="0"/>
                    <w:spacing w:line="240" w:lineRule="auto"/>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《水利建设项目（河湖整治与防洪除涝工程）环境影响评价文件审批原则（试行）》（环办环评〔2018〕2号）</w:t>
                  </w:r>
                </w:p>
              </w:tc>
              <w:tc>
                <w:tcPr>
                  <w:tcW w:w="2303" w:type="pct"/>
                  <w:tcBorders>
                    <w:top w:val="single" w:color="auto" w:sz="4" w:space="0"/>
                  </w:tcBorders>
                  <w:noWrap w:val="0"/>
                  <w:vAlign w:val="center"/>
                </w:tcPr>
                <w:p w14:paraId="12E33054">
                  <w:pPr>
                    <w:autoSpaceDE w:val="0"/>
                    <w:autoSpaceDN w:val="0"/>
                    <w:adjustRightInd w:val="0"/>
                    <w:spacing w:line="240" w:lineRule="auto"/>
                    <w:jc w:val="center"/>
                    <w:rPr>
                      <w:rFonts w:hint="default" w:ascii="Times New Roman" w:hAnsi="Times New Roman" w:eastAsia="宋体" w:cs="Times New Roman"/>
                      <w:color w:val="auto"/>
                      <w:kern w:val="0"/>
                      <w:sz w:val="21"/>
                      <w:szCs w:val="21"/>
                      <w:lang w:val="en-US" w:eastAsia="zh-CN"/>
                    </w:rPr>
                  </w:pPr>
                  <w:r>
                    <w:rPr>
                      <w:spacing w:val="9"/>
                      <w:sz w:val="20"/>
                      <w:szCs w:val="20"/>
                    </w:rPr>
                    <w:t>本原则适用于河湖整治和防洪除涝工程环境影响评价文件的审批，工程建设内容包括疏</w:t>
                  </w:r>
                  <w:r>
                    <w:rPr>
                      <w:spacing w:val="6"/>
                      <w:sz w:val="20"/>
                      <w:szCs w:val="20"/>
                    </w:rPr>
                    <w:t>浚、堤防建设、闸坝闸站建设、岸线治理、水</w:t>
                  </w:r>
                  <w:r>
                    <w:rPr>
                      <w:spacing w:val="8"/>
                      <w:sz w:val="20"/>
                      <w:szCs w:val="20"/>
                    </w:rPr>
                    <w:t>系连通、蓄（滞）洪区建设、排涝治理等。</w:t>
                  </w:r>
                </w:p>
              </w:tc>
              <w:tc>
                <w:tcPr>
                  <w:tcW w:w="1275" w:type="pct"/>
                  <w:tcBorders>
                    <w:top w:val="single" w:color="auto" w:sz="4" w:space="0"/>
                  </w:tcBorders>
                  <w:noWrap w:val="0"/>
                  <w:vAlign w:val="center"/>
                </w:tcPr>
                <w:p w14:paraId="36BC8C4E">
                  <w:pPr>
                    <w:autoSpaceDE w:val="0"/>
                    <w:autoSpaceDN w:val="0"/>
                    <w:adjustRightInd w:val="0"/>
                    <w:spacing w:line="240" w:lineRule="auto"/>
                    <w:jc w:val="center"/>
                    <w:rPr>
                      <w:rFonts w:hint="eastAsia" w:ascii="Times New Roman" w:hAnsi="Times New Roman" w:eastAsia="宋体"/>
                      <w:color w:val="auto"/>
                      <w:sz w:val="21"/>
                      <w:szCs w:val="21"/>
                      <w:lang w:eastAsia="zh-CN"/>
                    </w:rPr>
                  </w:pPr>
                  <w:r>
                    <w:rPr>
                      <w:spacing w:val="9"/>
                      <w:sz w:val="20"/>
                      <w:szCs w:val="20"/>
                    </w:rPr>
                    <w:t>本项目属于</w:t>
                  </w:r>
                  <w:r>
                    <w:rPr>
                      <w:rFonts w:hint="eastAsia"/>
                      <w:spacing w:val="9"/>
                      <w:sz w:val="20"/>
                      <w:szCs w:val="20"/>
                      <w:lang w:eastAsia="zh-CN"/>
                    </w:rPr>
                    <w:t>″</w:t>
                  </w:r>
                  <w:r>
                    <w:rPr>
                      <w:spacing w:val="9"/>
                      <w:sz w:val="20"/>
                      <w:szCs w:val="20"/>
                    </w:rPr>
                    <w:t>防洪除涝工</w:t>
                  </w:r>
                  <w:r>
                    <w:rPr>
                      <w:spacing w:val="2"/>
                      <w:sz w:val="20"/>
                      <w:szCs w:val="20"/>
                    </w:rPr>
                    <w:t>程</w:t>
                  </w:r>
                  <w:r>
                    <w:rPr>
                      <w:rFonts w:hint="eastAsia"/>
                      <w:spacing w:val="9"/>
                      <w:sz w:val="20"/>
                      <w:szCs w:val="20"/>
                      <w:lang w:eastAsia="zh-CN"/>
                    </w:rPr>
                    <w:t>″</w:t>
                  </w:r>
                  <w:r>
                    <w:rPr>
                      <w:spacing w:val="-70"/>
                      <w:sz w:val="20"/>
                      <w:szCs w:val="20"/>
                    </w:rPr>
                    <w:t xml:space="preserve"> </w:t>
                  </w:r>
                  <w:r>
                    <w:rPr>
                      <w:spacing w:val="2"/>
                      <w:sz w:val="20"/>
                      <w:szCs w:val="20"/>
                    </w:rPr>
                    <w:t>且属于小型工程，适用</w:t>
                  </w:r>
                  <w:r>
                    <w:rPr>
                      <w:spacing w:val="7"/>
                      <w:sz w:val="20"/>
                      <w:szCs w:val="20"/>
                    </w:rPr>
                    <w:t>于该审批要求。</w:t>
                  </w:r>
                </w:p>
              </w:tc>
              <w:tc>
                <w:tcPr>
                  <w:tcW w:w="556" w:type="pct"/>
                  <w:tcBorders>
                    <w:top w:val="single" w:color="auto" w:sz="4" w:space="0"/>
                    <w:bottom w:val="single" w:color="auto" w:sz="4" w:space="0"/>
                  </w:tcBorders>
                  <w:noWrap w:val="0"/>
                  <w:vAlign w:val="center"/>
                </w:tcPr>
                <w:p w14:paraId="67BD8BA6">
                  <w:pPr>
                    <w:pStyle w:val="25"/>
                    <w:widowControl w:val="0"/>
                    <w:spacing w:after="0" w:line="240" w:lineRule="auto"/>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符合</w:t>
                  </w:r>
                </w:p>
              </w:tc>
            </w:tr>
            <w:tr w14:paraId="25DEAAE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6" w:hRule="atLeast"/>
                <w:jc w:val="center"/>
              </w:trPr>
              <w:tc>
                <w:tcPr>
                  <w:tcW w:w="864" w:type="pct"/>
                  <w:vMerge w:val="continue"/>
                  <w:noWrap w:val="0"/>
                  <w:vAlign w:val="center"/>
                </w:tcPr>
                <w:p w14:paraId="2D3ADC14">
                  <w:pPr>
                    <w:autoSpaceDE w:val="0"/>
                    <w:autoSpaceDN w:val="0"/>
                    <w:adjustRightInd w:val="0"/>
                    <w:spacing w:line="240" w:lineRule="auto"/>
                    <w:jc w:val="center"/>
                    <w:rPr>
                      <w:rFonts w:hint="eastAsia" w:ascii="Times New Roman" w:hAnsi="Times New Roman" w:eastAsia="宋体" w:cs="Times New Roman"/>
                      <w:color w:val="auto"/>
                      <w:kern w:val="0"/>
                      <w:sz w:val="21"/>
                      <w:szCs w:val="21"/>
                      <w:lang w:val="en-US" w:eastAsia="zh-CN"/>
                    </w:rPr>
                  </w:pPr>
                </w:p>
              </w:tc>
              <w:tc>
                <w:tcPr>
                  <w:tcW w:w="2303" w:type="pct"/>
                  <w:tcBorders>
                    <w:top w:val="single" w:color="auto" w:sz="4" w:space="0"/>
                  </w:tcBorders>
                  <w:shd w:val="clear" w:color="auto" w:fill="auto"/>
                  <w:noWrap w:val="0"/>
                  <w:vAlign w:val="center"/>
                </w:tcPr>
                <w:p w14:paraId="41178EE6">
                  <w:pPr>
                    <w:autoSpaceDE w:val="0"/>
                    <w:autoSpaceDN w:val="0"/>
                    <w:adjustRightInd w:val="0"/>
                    <w:spacing w:line="240" w:lineRule="auto"/>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 xml:space="preserve">第三条 </w:t>
                  </w:r>
                  <w:r>
                    <w:rPr>
                      <w:rFonts w:hint="default" w:ascii="Times New Roman" w:hAnsi="Times New Roman" w:eastAsia="宋体" w:cs="Times New Roman"/>
                      <w:color w:val="auto"/>
                      <w:kern w:val="0"/>
                      <w:sz w:val="21"/>
                      <w:szCs w:val="21"/>
                      <w:lang w:val="en-US" w:eastAsia="zh-CN"/>
                    </w:rPr>
                    <w:t>工程选址选线、施工布置原则上不占用自然保护区、风景名胜区、世界文化和自然遗产地以及其他生态保护红线等环境敏感区中法律法规禁止占用的区域，并与饮用水水源保护区的保护要求相协调。法律法规、政策另有规定的从其规定</w:t>
                  </w:r>
                </w:p>
              </w:tc>
              <w:tc>
                <w:tcPr>
                  <w:tcW w:w="1275" w:type="pct"/>
                  <w:tcBorders>
                    <w:top w:val="single" w:color="auto" w:sz="4" w:space="0"/>
                  </w:tcBorders>
                  <w:shd w:val="clear" w:color="auto" w:fill="auto"/>
                  <w:noWrap w:val="0"/>
                  <w:vAlign w:val="center"/>
                </w:tcPr>
                <w:p w14:paraId="42AB35D1">
                  <w:pPr>
                    <w:autoSpaceDE w:val="0"/>
                    <w:autoSpaceDN w:val="0"/>
                    <w:adjustRightInd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szCs w:val="21"/>
                      <w:lang w:eastAsia="zh-CN"/>
                    </w:rPr>
                    <w:t>本</w:t>
                  </w:r>
                  <w:r>
                    <w:rPr>
                      <w:rFonts w:hint="eastAsia" w:ascii="Times New Roman" w:hAnsi="Times New Roman" w:eastAsia="宋体"/>
                      <w:color w:val="auto"/>
                      <w:sz w:val="21"/>
                      <w:szCs w:val="21"/>
                      <w:lang w:val="en-US" w:eastAsia="zh-CN"/>
                    </w:rPr>
                    <w:t>工程</w:t>
                  </w:r>
                  <w:r>
                    <w:rPr>
                      <w:rFonts w:hint="eastAsia" w:ascii="Times New Roman" w:hAnsi="Times New Roman" w:eastAsia="宋体"/>
                      <w:color w:val="auto"/>
                      <w:sz w:val="21"/>
                      <w:szCs w:val="21"/>
                      <w:lang w:eastAsia="zh-CN"/>
                    </w:rPr>
                    <w:t>选址选线、施工布置不</w:t>
                  </w:r>
                  <w:r>
                    <w:rPr>
                      <w:rFonts w:hint="eastAsia" w:ascii="Times New Roman" w:hAnsi="Times New Roman" w:eastAsia="宋体"/>
                      <w:color w:val="auto"/>
                      <w:sz w:val="21"/>
                      <w:szCs w:val="21"/>
                      <w:lang w:val="en-US" w:eastAsia="zh-CN"/>
                    </w:rPr>
                    <w:t>占用</w:t>
                  </w:r>
                  <w:r>
                    <w:rPr>
                      <w:rFonts w:hint="default" w:ascii="Times New Roman" w:hAnsi="Times New Roman" w:eastAsia="宋体" w:cs="Times New Roman"/>
                      <w:color w:val="auto"/>
                      <w:kern w:val="0"/>
                      <w:sz w:val="21"/>
                      <w:szCs w:val="21"/>
                      <w:lang w:val="en-US" w:eastAsia="zh-CN"/>
                    </w:rPr>
                    <w:t>自然保护区、风景名胜区</w:t>
                  </w:r>
                  <w:r>
                    <w:rPr>
                      <w:rFonts w:hint="eastAsia" w:ascii="Times New Roman" w:hAnsi="Times New Roman" w:eastAsia="宋体" w:cs="Times New Roman"/>
                      <w:color w:val="auto"/>
                      <w:kern w:val="0"/>
                      <w:sz w:val="21"/>
                      <w:szCs w:val="21"/>
                      <w:lang w:val="en-US" w:eastAsia="zh-CN"/>
                    </w:rPr>
                    <w:t>、水源保护区等环境敏感区</w:t>
                  </w:r>
                </w:p>
              </w:tc>
              <w:tc>
                <w:tcPr>
                  <w:tcW w:w="556" w:type="pct"/>
                  <w:tcBorders>
                    <w:top w:val="single" w:color="auto" w:sz="4" w:space="0"/>
                    <w:bottom w:val="single" w:color="auto" w:sz="4" w:space="0"/>
                  </w:tcBorders>
                  <w:shd w:val="clear" w:color="auto" w:fill="auto"/>
                  <w:noWrap w:val="0"/>
                  <w:vAlign w:val="center"/>
                </w:tcPr>
                <w:p w14:paraId="486904F7">
                  <w:pPr>
                    <w:pStyle w:val="25"/>
                    <w:widowControl w:val="0"/>
                    <w:spacing w:after="0" w:line="240" w:lineRule="auto"/>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olor w:val="auto"/>
                      <w:sz w:val="21"/>
                      <w:szCs w:val="21"/>
                      <w:lang w:eastAsia="zh-CN"/>
                    </w:rPr>
                    <w:t>符合</w:t>
                  </w:r>
                </w:p>
              </w:tc>
            </w:tr>
            <w:tr w14:paraId="0D5FD23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67" w:hRule="atLeast"/>
                <w:jc w:val="center"/>
              </w:trPr>
              <w:tc>
                <w:tcPr>
                  <w:tcW w:w="864" w:type="pct"/>
                  <w:vMerge w:val="continue"/>
                  <w:noWrap w:val="0"/>
                  <w:vAlign w:val="center"/>
                </w:tcPr>
                <w:p w14:paraId="719EFDD7">
                  <w:pPr>
                    <w:autoSpaceDE w:val="0"/>
                    <w:autoSpaceDN w:val="0"/>
                    <w:adjustRightInd w:val="0"/>
                    <w:spacing w:line="240" w:lineRule="auto"/>
                    <w:jc w:val="center"/>
                    <w:rPr>
                      <w:rFonts w:hint="eastAsia" w:ascii="Times New Roman" w:hAnsi="Times New Roman" w:eastAsia="宋体" w:cs="Times New Roman"/>
                      <w:color w:val="auto"/>
                      <w:kern w:val="0"/>
                      <w:sz w:val="21"/>
                      <w:szCs w:val="21"/>
                      <w:lang w:val="en-US" w:eastAsia="zh-CN"/>
                    </w:rPr>
                  </w:pPr>
                </w:p>
              </w:tc>
              <w:tc>
                <w:tcPr>
                  <w:tcW w:w="2303" w:type="pct"/>
                  <w:noWrap w:val="0"/>
                  <w:vAlign w:val="center"/>
                </w:tcPr>
                <w:p w14:paraId="69E7B40E">
                  <w:pPr>
                    <w:autoSpaceDE w:val="0"/>
                    <w:autoSpaceDN w:val="0"/>
                    <w:adjustRightInd w:val="0"/>
                    <w:spacing w:line="240" w:lineRule="auto"/>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 xml:space="preserve">第七条 </w:t>
                  </w:r>
                  <w:r>
                    <w:rPr>
                      <w:rFonts w:hint="default" w:ascii="Times New Roman" w:hAnsi="Times New Roman" w:eastAsia="宋体" w:cs="Times New Roman"/>
                      <w:color w:val="auto"/>
                      <w:sz w:val="21"/>
                      <w:szCs w:val="21"/>
                      <w:lang w:bidi="ar"/>
                    </w:rPr>
                    <w:t>项目施工组织方案具有环境合理性，对料场、弃土（渣）场等</w:t>
                  </w:r>
                  <w:r>
                    <w:rPr>
                      <w:rFonts w:hint="default" w:ascii="Times New Roman" w:hAnsi="Times New Roman" w:cs="Times New Roman"/>
                      <w:color w:val="auto"/>
                      <w:sz w:val="21"/>
                      <w:szCs w:val="21"/>
                      <w:lang w:eastAsia="zh-CN" w:bidi="ar"/>
                    </w:rPr>
                    <w:t>临时施工场地</w:t>
                  </w:r>
                  <w:r>
                    <w:rPr>
                      <w:rFonts w:hint="default" w:ascii="Times New Roman" w:hAnsi="Times New Roman" w:eastAsia="宋体" w:cs="Times New Roman"/>
                      <w:color w:val="auto"/>
                      <w:sz w:val="21"/>
                      <w:szCs w:val="21"/>
                      <w:lang w:bidi="ar"/>
                    </w:rPr>
                    <w:t>提出了水土流失防治和生态修复等措施。</w:t>
                  </w:r>
                  <w:r>
                    <w:rPr>
                      <w:rFonts w:hint="default" w:ascii="Times New Roman" w:hAnsi="Times New Roman" w:eastAsia="宋体" w:cs="Times New Roman"/>
                      <w:color w:val="auto"/>
                      <w:kern w:val="0"/>
                      <w:sz w:val="21"/>
                      <w:szCs w:val="21"/>
                      <w:lang w:val="en-US" w:eastAsia="zh-CN"/>
                    </w:rPr>
                    <w:t>根据环境保护相关标准和要求，对施工期各类废（污）水、扬尘、废气、噪声、固体废物等提出了防治或处置措施。其中，涉水施工涉及饮用水水源保护区或取水口并可能对水质造成不利影响的，提出了避让、施工方案优化、污染物控制等措施；涉水施工对鱼类等水生生物及其重要</w:t>
                  </w:r>
                  <w:r>
                    <w:rPr>
                      <w:rFonts w:hint="eastAsia" w:ascii="Times New Roman" w:hAnsi="Times New Roman" w:eastAsia="宋体" w:cs="Times New Roman"/>
                      <w:color w:val="auto"/>
                      <w:kern w:val="0"/>
                      <w:sz w:val="21"/>
                      <w:szCs w:val="21"/>
                      <w:lang w:val="en-US" w:eastAsia="zh-CN"/>
                    </w:rPr>
                    <w:t>生态环境</w:t>
                  </w:r>
                  <w:r>
                    <w:rPr>
                      <w:rFonts w:hint="default" w:ascii="Times New Roman" w:hAnsi="Times New Roman" w:eastAsia="宋体" w:cs="Times New Roman"/>
                      <w:color w:val="auto"/>
                      <w:kern w:val="0"/>
                      <w:sz w:val="21"/>
                      <w:szCs w:val="21"/>
                      <w:lang w:val="en-US" w:eastAsia="zh-CN"/>
                    </w:rPr>
                    <w:t>造成不利影响的，提出避让、施工方案优化、控制施工噪声等措施；针对清淤、疏浚等产生的淤泥，提出符合相关规定的处置或综合利用方案</w:t>
                  </w:r>
                </w:p>
              </w:tc>
              <w:tc>
                <w:tcPr>
                  <w:tcW w:w="1275" w:type="pct"/>
                  <w:noWrap w:val="0"/>
                  <w:vAlign w:val="center"/>
                </w:tcPr>
                <w:p w14:paraId="18367024">
                  <w:pPr>
                    <w:autoSpaceDE w:val="0"/>
                    <w:autoSpaceDN w:val="0"/>
                    <w:adjustRightInd w:val="0"/>
                    <w:spacing w:line="240" w:lineRule="auto"/>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本</w:t>
                  </w:r>
                  <w:r>
                    <w:rPr>
                      <w:rFonts w:hint="eastAsia"/>
                      <w:color w:val="auto"/>
                      <w:sz w:val="21"/>
                      <w:szCs w:val="21"/>
                      <w:lang w:val="en-US" w:eastAsia="zh-CN"/>
                    </w:rPr>
                    <w:t>项目</w:t>
                  </w:r>
                  <w:r>
                    <w:rPr>
                      <w:rFonts w:hint="eastAsia" w:ascii="Times New Roman" w:hAnsi="Times New Roman" w:eastAsia="宋体"/>
                      <w:color w:val="auto"/>
                      <w:sz w:val="21"/>
                      <w:szCs w:val="21"/>
                      <w:lang w:eastAsia="zh-CN"/>
                    </w:rPr>
                    <w:t>施工期各类废（污）水、扬尘、废气、噪声、固体废物等均</w:t>
                  </w:r>
                  <w:r>
                    <w:rPr>
                      <w:rFonts w:hint="eastAsia"/>
                      <w:color w:val="auto"/>
                      <w:sz w:val="21"/>
                      <w:szCs w:val="21"/>
                      <w:lang w:val="en-US" w:eastAsia="zh-CN"/>
                    </w:rPr>
                    <w:t>采用</w:t>
                  </w:r>
                  <w:r>
                    <w:rPr>
                      <w:rFonts w:hint="eastAsia" w:ascii="Times New Roman" w:hAnsi="Times New Roman" w:eastAsia="宋体"/>
                      <w:color w:val="auto"/>
                      <w:sz w:val="21"/>
                      <w:szCs w:val="21"/>
                      <w:lang w:eastAsia="zh-CN"/>
                    </w:rPr>
                    <w:t>了防治或处置措施。工程施工不涉及饮用水水源保护区或取水口；不</w:t>
                  </w:r>
                  <w:r>
                    <w:rPr>
                      <w:rFonts w:hint="eastAsia" w:ascii="Times New Roman" w:hAnsi="Times New Roman" w:eastAsia="宋体"/>
                      <w:color w:val="auto"/>
                      <w:sz w:val="21"/>
                      <w:szCs w:val="21"/>
                      <w:lang w:val="en-US" w:eastAsia="zh-CN"/>
                    </w:rPr>
                    <w:t>会</w:t>
                  </w:r>
                  <w:r>
                    <w:rPr>
                      <w:rFonts w:hint="eastAsia" w:ascii="Times New Roman" w:hAnsi="Times New Roman" w:eastAsia="宋体"/>
                      <w:color w:val="auto"/>
                      <w:sz w:val="21"/>
                      <w:szCs w:val="21"/>
                      <w:lang w:eastAsia="zh-CN"/>
                    </w:rPr>
                    <w:t>对鱼类等水生生物及其重要生态环境造成不利影响；</w:t>
                  </w:r>
                  <w:r>
                    <w:rPr>
                      <w:rFonts w:hint="eastAsia" w:ascii="Times New Roman" w:hAnsi="Times New Roman" w:eastAsia="宋体"/>
                      <w:color w:val="auto"/>
                      <w:sz w:val="21"/>
                      <w:szCs w:val="21"/>
                      <w:lang w:val="en-US" w:eastAsia="zh-CN"/>
                    </w:rPr>
                    <w:t>也</w:t>
                  </w:r>
                  <w:r>
                    <w:rPr>
                      <w:rFonts w:hint="eastAsia" w:ascii="Times New Roman" w:hAnsi="Times New Roman" w:eastAsia="宋体"/>
                      <w:color w:val="auto"/>
                      <w:sz w:val="21"/>
                      <w:szCs w:val="21"/>
                      <w:lang w:eastAsia="zh-CN"/>
                    </w:rPr>
                    <w:t>不涉及清淤工程</w:t>
                  </w:r>
                </w:p>
              </w:tc>
              <w:tc>
                <w:tcPr>
                  <w:tcW w:w="556" w:type="pct"/>
                  <w:tcBorders>
                    <w:top w:val="single" w:color="auto" w:sz="4" w:space="0"/>
                    <w:bottom w:val="single" w:color="auto" w:sz="4" w:space="0"/>
                  </w:tcBorders>
                  <w:noWrap w:val="0"/>
                  <w:vAlign w:val="center"/>
                </w:tcPr>
                <w:p w14:paraId="7B864222">
                  <w:pPr>
                    <w:pStyle w:val="25"/>
                    <w:widowControl w:val="0"/>
                    <w:spacing w:after="0" w:line="240" w:lineRule="auto"/>
                    <w:jc w:val="center"/>
                    <w:rPr>
                      <w:rFonts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符合</w:t>
                  </w:r>
                </w:p>
              </w:tc>
            </w:tr>
            <w:tr w14:paraId="4D3964B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762" w:hRule="atLeast"/>
                <w:jc w:val="center"/>
              </w:trPr>
              <w:tc>
                <w:tcPr>
                  <w:tcW w:w="864" w:type="pct"/>
                  <w:shd w:val="clear" w:color="auto" w:fill="auto"/>
                  <w:noWrap w:val="0"/>
                  <w:vAlign w:val="center"/>
                </w:tcPr>
                <w:p w14:paraId="5743B5BF">
                  <w:pPr>
                    <w:numPr>
                      <w:ilvl w:val="0"/>
                      <w:numId w:val="0"/>
                    </w:numPr>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olor w:val="auto"/>
                      <w:sz w:val="21"/>
                      <w:szCs w:val="21"/>
                      <w:vertAlign w:val="baseline"/>
                      <w:lang w:val="en-US" w:eastAsia="zh-CN"/>
                    </w:rPr>
                    <w:t>《陕西省</w:t>
                  </w:r>
                  <w:r>
                    <w:rPr>
                      <w:rFonts w:hint="eastAsia"/>
                      <w:color w:val="auto"/>
                      <w:sz w:val="21"/>
                      <w:szCs w:val="21"/>
                      <w:vertAlign w:val="baseline"/>
                      <w:lang w:val="en-US" w:eastAsia="zh-CN"/>
                    </w:rPr>
                    <w:t>″</w:t>
                  </w:r>
                  <w:r>
                    <w:rPr>
                      <w:rFonts w:hint="default" w:ascii="Times New Roman" w:hAnsi="Times New Roman" w:eastAsia="宋体"/>
                      <w:color w:val="auto"/>
                      <w:sz w:val="21"/>
                      <w:szCs w:val="21"/>
                      <w:vertAlign w:val="baseline"/>
                      <w:lang w:val="en-US" w:eastAsia="zh-CN"/>
                    </w:rPr>
                    <w:t>十四五</w:t>
                  </w:r>
                  <w:r>
                    <w:rPr>
                      <w:rFonts w:hint="eastAsia"/>
                      <w:color w:val="auto"/>
                      <w:sz w:val="21"/>
                      <w:szCs w:val="21"/>
                      <w:vertAlign w:val="baseline"/>
                      <w:lang w:val="en-US" w:eastAsia="zh-CN"/>
                    </w:rPr>
                    <w:t>″</w:t>
                  </w:r>
                  <w:r>
                    <w:rPr>
                      <w:rFonts w:hint="default" w:ascii="Times New Roman" w:hAnsi="Times New Roman" w:eastAsia="宋体"/>
                      <w:color w:val="auto"/>
                      <w:sz w:val="21"/>
                      <w:szCs w:val="21"/>
                      <w:vertAlign w:val="baseline"/>
                      <w:lang w:val="en-US" w:eastAsia="zh-CN"/>
                    </w:rPr>
                    <w:t>生态环境保护规划》</w:t>
                  </w:r>
                </w:p>
              </w:tc>
              <w:tc>
                <w:tcPr>
                  <w:tcW w:w="2303" w:type="pct"/>
                  <w:shd w:val="clear" w:color="auto" w:fill="auto"/>
                  <w:noWrap w:val="0"/>
                  <w:vAlign w:val="center"/>
                </w:tcPr>
                <w:p w14:paraId="385F60A7">
                  <w:pPr>
                    <w:numPr>
                      <w:ilvl w:val="0"/>
                      <w:numId w:val="0"/>
                    </w:numPr>
                    <w:jc w:val="center"/>
                    <w:rPr>
                      <w:rFonts w:hint="default" w:ascii="Times New Roman" w:hAnsi="Times New Roman" w:eastAsia="宋体" w:cs="Times New Roman"/>
                      <w:color w:val="auto"/>
                      <w:kern w:val="2"/>
                      <w:sz w:val="21"/>
                      <w:szCs w:val="21"/>
                      <w:vertAlign w:val="baseline"/>
                      <w:lang w:val="en-US" w:eastAsia="zh-CN" w:bidi="ar-SA"/>
                    </w:rPr>
                  </w:pPr>
                  <w:r>
                    <w:rPr>
                      <w:spacing w:val="12"/>
                      <w:sz w:val="20"/>
                      <w:szCs w:val="20"/>
                    </w:rPr>
                    <w:t>加强扬尘精细化管控。建立扬尘污染源</w:t>
                  </w:r>
                  <w:r>
                    <w:rPr>
                      <w:spacing w:val="15"/>
                      <w:sz w:val="20"/>
                      <w:szCs w:val="20"/>
                    </w:rPr>
                    <w:t>清单，实现扬尘污染源动态管理，构建</w:t>
                  </w:r>
                  <w:r>
                    <w:rPr>
                      <w:rFonts w:hint="eastAsia" w:eastAsia="宋体" w:cs="Times New Roman"/>
                      <w:spacing w:val="6"/>
                      <w:sz w:val="20"/>
                      <w:szCs w:val="20"/>
                      <w:lang w:eastAsia="zh-CN"/>
                    </w:rPr>
                    <w:t>″</w:t>
                  </w:r>
                  <w:r>
                    <w:rPr>
                      <w:spacing w:val="6"/>
                      <w:sz w:val="20"/>
                      <w:szCs w:val="20"/>
                    </w:rPr>
                    <w:t>过程全覆盖、管理全方位、责任全链条</w:t>
                  </w:r>
                  <w:r>
                    <w:rPr>
                      <w:rFonts w:hint="eastAsia" w:eastAsia="宋体" w:cs="Times New Roman"/>
                      <w:spacing w:val="6"/>
                      <w:sz w:val="20"/>
                      <w:szCs w:val="20"/>
                      <w:lang w:eastAsia="zh-CN"/>
                    </w:rPr>
                    <w:t>″</w:t>
                  </w:r>
                  <w:r>
                    <w:rPr>
                      <w:spacing w:val="16"/>
                      <w:sz w:val="20"/>
                      <w:szCs w:val="20"/>
                    </w:rPr>
                    <w:t>的扬尘防治体系。全面推行绿色施工，</w:t>
                  </w:r>
                  <w:r>
                    <w:rPr>
                      <w:spacing w:val="11"/>
                      <w:sz w:val="20"/>
                      <w:szCs w:val="20"/>
                    </w:rPr>
                    <w:t>将绿色施工纳入企业资质和信用评价。</w:t>
                  </w:r>
                </w:p>
              </w:tc>
              <w:tc>
                <w:tcPr>
                  <w:tcW w:w="1275" w:type="pct"/>
                  <w:shd w:val="clear" w:color="auto" w:fill="auto"/>
                  <w:noWrap w:val="0"/>
                  <w:vAlign w:val="center"/>
                </w:tcPr>
                <w:p w14:paraId="4EA994DA">
                  <w:pPr>
                    <w:numPr>
                      <w:ilvl w:val="0"/>
                      <w:numId w:val="0"/>
                    </w:numPr>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spacing w:val="35"/>
                      <w:sz w:val="20"/>
                      <w:szCs w:val="20"/>
                    </w:rPr>
                    <w:t>本项目施工过</w:t>
                  </w:r>
                  <w:r>
                    <w:rPr>
                      <w:spacing w:val="36"/>
                      <w:sz w:val="20"/>
                      <w:szCs w:val="20"/>
                    </w:rPr>
                    <w:t>程中严格按照要求施工加强</w:t>
                  </w:r>
                  <w:r>
                    <w:rPr>
                      <w:spacing w:val="6"/>
                      <w:sz w:val="20"/>
                      <w:szCs w:val="20"/>
                    </w:rPr>
                    <w:t>扬尘管控。</w:t>
                  </w:r>
                </w:p>
              </w:tc>
              <w:tc>
                <w:tcPr>
                  <w:tcW w:w="556" w:type="pct"/>
                  <w:tcBorders>
                    <w:top w:val="single" w:color="auto" w:sz="4" w:space="0"/>
                    <w:bottom w:val="single" w:color="auto" w:sz="4" w:space="0"/>
                  </w:tcBorders>
                  <w:shd w:val="clear" w:color="auto" w:fill="auto"/>
                  <w:noWrap w:val="0"/>
                  <w:vAlign w:val="center"/>
                </w:tcPr>
                <w:p w14:paraId="00FEAB92">
                  <w:pPr>
                    <w:numPr>
                      <w:ilvl w:val="0"/>
                      <w:numId w:val="0"/>
                    </w:numPr>
                    <w:ind w:left="0" w:leftChars="0" w:firstLine="0" w:firstLineChars="0"/>
                    <w:jc w:val="center"/>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olor w:val="auto"/>
                      <w:sz w:val="21"/>
                      <w:szCs w:val="21"/>
                      <w:vertAlign w:val="baseline"/>
                      <w:lang w:val="en-US" w:eastAsia="zh-CN"/>
                    </w:rPr>
                    <w:t>符合</w:t>
                  </w:r>
                </w:p>
              </w:tc>
            </w:tr>
            <w:tr w14:paraId="6BC23CF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07" w:hRule="atLeast"/>
                <w:jc w:val="center"/>
              </w:trPr>
              <w:tc>
                <w:tcPr>
                  <w:tcW w:w="864" w:type="pct"/>
                  <w:shd w:val="clear" w:color="auto" w:fill="auto"/>
                  <w:noWrap w:val="0"/>
                  <w:vAlign w:val="center"/>
                </w:tcPr>
                <w:p w14:paraId="29FD2B36">
                  <w:pPr>
                    <w:numPr>
                      <w:ilvl w:val="0"/>
                      <w:numId w:val="0"/>
                    </w:numPr>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《陕西省</w:t>
                  </w:r>
                  <w:r>
                    <w:rPr>
                      <w:rFonts w:hint="eastAsia"/>
                      <w:color w:val="auto"/>
                      <w:sz w:val="21"/>
                      <w:szCs w:val="21"/>
                      <w:vertAlign w:val="baseline"/>
                      <w:lang w:val="en-US" w:eastAsia="zh-CN"/>
                    </w:rPr>
                    <w:t>″</w:t>
                  </w:r>
                  <w:r>
                    <w:rPr>
                      <w:rFonts w:hint="default" w:ascii="Times New Roman" w:hAnsi="Times New Roman" w:eastAsia="宋体"/>
                      <w:color w:val="auto"/>
                      <w:sz w:val="21"/>
                      <w:szCs w:val="21"/>
                      <w:vertAlign w:val="baseline"/>
                      <w:lang w:val="en-US" w:eastAsia="zh-CN"/>
                    </w:rPr>
                    <w:t>十四五</w:t>
                  </w:r>
                  <w:r>
                    <w:rPr>
                      <w:rFonts w:hint="eastAsia"/>
                      <w:color w:val="auto"/>
                      <w:sz w:val="21"/>
                      <w:szCs w:val="21"/>
                      <w:vertAlign w:val="baseline"/>
                      <w:lang w:val="en-US" w:eastAsia="zh-CN"/>
                    </w:rPr>
                    <w:t>″</w:t>
                  </w:r>
                  <w:r>
                    <w:rPr>
                      <w:rFonts w:hint="default" w:ascii="Times New Roman" w:hAnsi="Times New Roman" w:eastAsia="宋体"/>
                      <w:color w:val="auto"/>
                      <w:sz w:val="21"/>
                      <w:szCs w:val="21"/>
                      <w:vertAlign w:val="baseline"/>
                      <w:lang w:val="en-US" w:eastAsia="zh-CN"/>
                    </w:rPr>
                    <w:t>水</w:t>
                  </w:r>
                </w:p>
                <w:p w14:paraId="3A6FE71A">
                  <w:pPr>
                    <w:autoSpaceDE w:val="0"/>
                    <w:autoSpaceDN w:val="0"/>
                    <w:adjustRightInd w:val="0"/>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olor w:val="auto"/>
                      <w:sz w:val="21"/>
                      <w:szCs w:val="21"/>
                      <w:vertAlign w:val="baseline"/>
                      <w:lang w:val="en-US" w:eastAsia="zh-CN"/>
                    </w:rPr>
                    <w:t>利发展规划》</w:t>
                  </w:r>
                </w:p>
              </w:tc>
              <w:tc>
                <w:tcPr>
                  <w:tcW w:w="2303" w:type="pct"/>
                  <w:shd w:val="clear" w:color="auto" w:fill="auto"/>
                  <w:noWrap w:val="0"/>
                  <w:vAlign w:val="center"/>
                </w:tcPr>
                <w:p w14:paraId="00B32791">
                  <w:pPr>
                    <w:numPr>
                      <w:ilvl w:val="0"/>
                      <w:numId w:val="0"/>
                    </w:numPr>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olor w:val="auto"/>
                      <w:sz w:val="21"/>
                      <w:szCs w:val="21"/>
                      <w:vertAlign w:val="baseline"/>
                      <w:lang w:val="en-US" w:eastAsia="zh-CN"/>
                    </w:rPr>
                    <w:t>规划中提出</w:t>
                  </w:r>
                  <w:r>
                    <w:rPr>
                      <w:rFonts w:hint="eastAsia"/>
                      <w:color w:val="auto"/>
                      <w:sz w:val="21"/>
                      <w:szCs w:val="21"/>
                      <w:vertAlign w:val="baseline"/>
                      <w:lang w:val="en-US" w:eastAsia="zh-CN"/>
                    </w:rPr>
                    <w:t>″</w:t>
                  </w:r>
                  <w:r>
                    <w:rPr>
                      <w:rFonts w:hint="default" w:ascii="Times New Roman" w:hAnsi="Times New Roman" w:eastAsia="宋体"/>
                      <w:color w:val="auto"/>
                      <w:sz w:val="21"/>
                      <w:szCs w:val="21"/>
                      <w:vertAlign w:val="baseline"/>
                      <w:lang w:val="en-US" w:eastAsia="zh-CN"/>
                    </w:rPr>
                    <w:t>十四五</w:t>
                  </w:r>
                  <w:r>
                    <w:rPr>
                      <w:rFonts w:hint="eastAsia"/>
                      <w:color w:val="auto"/>
                      <w:sz w:val="21"/>
                      <w:szCs w:val="21"/>
                      <w:vertAlign w:val="baseline"/>
                      <w:lang w:val="en-US" w:eastAsia="zh-CN"/>
                    </w:rPr>
                    <w:t>″</w:t>
                  </w:r>
                  <w:r>
                    <w:rPr>
                      <w:rFonts w:hint="default" w:ascii="Times New Roman" w:hAnsi="Times New Roman" w:eastAsia="宋体"/>
                      <w:color w:val="auto"/>
                      <w:sz w:val="21"/>
                      <w:szCs w:val="21"/>
                      <w:vertAlign w:val="baseline"/>
                      <w:lang w:val="en-US" w:eastAsia="zh-CN"/>
                    </w:rPr>
                    <w:t>期间，陕西水利发展将以满足人民群众对防洪保安全、优质水资源、健康水生态、宜居水环境、先进水文化的迫切需求为目标，持续推进主要江河堤防和控制性工程、中小河流治理、病险水库除险加固、山洪灾害防治、蓄滞洪区建设，江河堤防工程达标率提高到75%，沿河城镇防洪能力达到设防标准。建设东庄、龙安等防洪水库及无定河、延河、渭河、汉江等河流防洪体系，实现洪旱无虞。完善河流及城市防洪体系。加快黄河干流禹门口至潼关段综合治理，推进渭河、汉江、无定河、延河等主要支流以及中小河流防洪治理。</w:t>
                  </w:r>
                </w:p>
              </w:tc>
              <w:tc>
                <w:tcPr>
                  <w:tcW w:w="1275" w:type="pct"/>
                  <w:shd w:val="clear" w:color="auto" w:fill="auto"/>
                  <w:noWrap w:val="0"/>
                  <w:vAlign w:val="center"/>
                </w:tcPr>
                <w:p w14:paraId="4BBEEF46">
                  <w:pPr>
                    <w:numPr>
                      <w:ilvl w:val="0"/>
                      <w:numId w:val="0"/>
                    </w:numPr>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olor w:val="auto"/>
                      <w:sz w:val="21"/>
                      <w:szCs w:val="21"/>
                      <w:vertAlign w:val="baseline"/>
                      <w:lang w:val="en-US" w:eastAsia="zh-CN"/>
                    </w:rPr>
                    <w:t>本项目</w:t>
                  </w:r>
                  <w:r>
                    <w:rPr>
                      <w:rFonts w:hint="eastAsia"/>
                      <w:color w:val="auto"/>
                      <w:sz w:val="21"/>
                      <w:szCs w:val="21"/>
                      <w:vertAlign w:val="baseline"/>
                      <w:lang w:val="en-US" w:eastAsia="zh-CN"/>
                    </w:rPr>
                    <w:t>建设内容中的护坡和挡墙</w:t>
                  </w:r>
                  <w:r>
                    <w:rPr>
                      <w:rFonts w:hint="default" w:ascii="Times New Roman" w:hAnsi="Times New Roman" w:eastAsia="宋体"/>
                      <w:color w:val="auto"/>
                      <w:sz w:val="21"/>
                      <w:szCs w:val="21"/>
                      <w:vertAlign w:val="baseline"/>
                      <w:lang w:val="en-US" w:eastAsia="zh-CN"/>
                    </w:rPr>
                    <w:t>属于</w:t>
                  </w:r>
                  <w:r>
                    <w:rPr>
                      <w:rFonts w:hint="eastAsia"/>
                      <w:color w:val="auto"/>
                      <w:sz w:val="21"/>
                      <w:szCs w:val="21"/>
                      <w:vertAlign w:val="baseline"/>
                      <w:lang w:val="en-US" w:eastAsia="zh-CN"/>
                    </w:rPr>
                    <w:t>江河堤防工程</w:t>
                  </w:r>
                  <w:r>
                    <w:rPr>
                      <w:rFonts w:hint="default" w:ascii="Times New Roman" w:hAnsi="Times New Roman" w:eastAsia="宋体"/>
                      <w:color w:val="auto"/>
                      <w:sz w:val="21"/>
                      <w:szCs w:val="21"/>
                      <w:vertAlign w:val="baseline"/>
                      <w:lang w:val="en-US" w:eastAsia="zh-CN"/>
                    </w:rPr>
                    <w:t>，建成后提高了河道行洪能力，符合《陕西省</w:t>
                  </w:r>
                  <w:r>
                    <w:rPr>
                      <w:rFonts w:hint="eastAsia"/>
                      <w:color w:val="auto"/>
                      <w:sz w:val="21"/>
                      <w:szCs w:val="21"/>
                      <w:vertAlign w:val="baseline"/>
                      <w:lang w:val="en-US" w:eastAsia="zh-CN"/>
                    </w:rPr>
                    <w:t>″</w:t>
                  </w:r>
                  <w:r>
                    <w:rPr>
                      <w:rFonts w:hint="default" w:ascii="Times New Roman" w:hAnsi="Times New Roman" w:eastAsia="宋体"/>
                      <w:color w:val="auto"/>
                      <w:sz w:val="21"/>
                      <w:szCs w:val="21"/>
                      <w:vertAlign w:val="baseline"/>
                      <w:lang w:val="en-US" w:eastAsia="zh-CN"/>
                    </w:rPr>
                    <w:t>十四五</w:t>
                  </w:r>
                  <w:r>
                    <w:rPr>
                      <w:rFonts w:hint="eastAsia"/>
                      <w:color w:val="auto"/>
                      <w:sz w:val="21"/>
                      <w:szCs w:val="21"/>
                      <w:vertAlign w:val="baseline"/>
                      <w:lang w:val="en-US" w:eastAsia="zh-CN"/>
                    </w:rPr>
                    <w:t>″</w:t>
                  </w:r>
                  <w:r>
                    <w:rPr>
                      <w:rFonts w:hint="default" w:ascii="Times New Roman" w:hAnsi="Times New Roman" w:eastAsia="宋体"/>
                      <w:color w:val="auto"/>
                      <w:sz w:val="21"/>
                      <w:szCs w:val="21"/>
                      <w:vertAlign w:val="baseline"/>
                      <w:lang w:val="en-US" w:eastAsia="zh-CN"/>
                    </w:rPr>
                    <w:t>水利发展规划》。</w:t>
                  </w:r>
                </w:p>
              </w:tc>
              <w:tc>
                <w:tcPr>
                  <w:tcW w:w="556" w:type="pct"/>
                  <w:tcBorders>
                    <w:top w:val="single" w:color="auto" w:sz="4" w:space="0"/>
                    <w:bottom w:val="single" w:color="auto" w:sz="4" w:space="0"/>
                  </w:tcBorders>
                  <w:shd w:val="clear" w:color="auto" w:fill="auto"/>
                  <w:noWrap w:val="0"/>
                  <w:vAlign w:val="center"/>
                </w:tcPr>
                <w:p w14:paraId="7D87A544">
                  <w:pPr>
                    <w:numPr>
                      <w:ilvl w:val="0"/>
                      <w:numId w:val="0"/>
                    </w:numPr>
                    <w:ind w:left="0" w:leftChars="0" w:firstLine="0" w:firstLineChars="0"/>
                    <w:jc w:val="center"/>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olor w:val="auto"/>
                      <w:sz w:val="21"/>
                      <w:szCs w:val="21"/>
                      <w:vertAlign w:val="baseline"/>
                      <w:lang w:val="en-US" w:eastAsia="zh-CN"/>
                    </w:rPr>
                    <w:t>符合</w:t>
                  </w:r>
                </w:p>
              </w:tc>
            </w:tr>
            <w:tr w14:paraId="028A421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46" w:hRule="atLeast"/>
                <w:jc w:val="center"/>
              </w:trPr>
              <w:tc>
                <w:tcPr>
                  <w:tcW w:w="864" w:type="pct"/>
                  <w:tcBorders>
                    <w:bottom w:val="single" w:color="auto" w:sz="4" w:space="0"/>
                  </w:tcBorders>
                  <w:noWrap w:val="0"/>
                  <w:vAlign w:val="center"/>
                </w:tcPr>
                <w:p w14:paraId="3A6028C0">
                  <w:pPr>
                    <w:autoSpaceDE w:val="0"/>
                    <w:autoSpaceDN w:val="0"/>
                    <w:adjustRightInd w:val="0"/>
                    <w:spacing w:line="240" w:lineRule="auto"/>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《陕西省生态环境厅关于加强部分涉水生态类项目环境影响评价管理工作的通知》（陕环发〔2019〕15号）</w:t>
                  </w:r>
                </w:p>
              </w:tc>
              <w:tc>
                <w:tcPr>
                  <w:tcW w:w="2303" w:type="pct"/>
                  <w:tcBorders>
                    <w:bottom w:val="single" w:color="auto" w:sz="4" w:space="0"/>
                  </w:tcBorders>
                  <w:noWrap w:val="0"/>
                  <w:vAlign w:val="center"/>
                </w:tcPr>
                <w:p w14:paraId="4C5BAC88">
                  <w:pPr>
                    <w:autoSpaceDE w:val="0"/>
                    <w:autoSpaceDN w:val="0"/>
                    <w:adjustRightInd w:val="0"/>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河湖整治与防洪除涝工程类项目，应满足流域综合治理规划、防洪规划、生态环境保护等相关规划及规划环评要求，不得巧立名目，在河道综合治理建设项目环评文件中搭车与治理无关的其他建设内容。确需建设滨河公园、湿地公园等的，应单独办理环评手续，以水环境保护为重点，全面分析论证项目建设的必要性和环境可行性，不得随意采取改变河道形态、建设橡胶坝等形式打造城市景观</w:t>
                  </w:r>
                </w:p>
              </w:tc>
              <w:tc>
                <w:tcPr>
                  <w:tcW w:w="1275" w:type="pct"/>
                  <w:tcBorders>
                    <w:bottom w:val="single" w:color="auto" w:sz="4" w:space="0"/>
                  </w:tcBorders>
                  <w:noWrap w:val="0"/>
                  <w:vAlign w:val="center"/>
                </w:tcPr>
                <w:p w14:paraId="365F0ADB">
                  <w:pPr>
                    <w:autoSpaceDE w:val="0"/>
                    <w:autoSpaceDN w:val="0"/>
                    <w:adjustRightInd w:val="0"/>
                    <w:spacing w:line="240" w:lineRule="auto"/>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本项目</w:t>
                  </w:r>
                  <w:r>
                    <w:rPr>
                      <w:rFonts w:hint="eastAsia"/>
                      <w:color w:val="auto"/>
                      <w:sz w:val="21"/>
                      <w:szCs w:val="21"/>
                      <w:vertAlign w:val="baseline"/>
                      <w:lang w:val="en-US" w:eastAsia="zh-CN"/>
                    </w:rPr>
                    <w:t>建设内容中的护坡和挡墙</w:t>
                  </w:r>
                  <w:r>
                    <w:rPr>
                      <w:rFonts w:hint="eastAsia" w:ascii="Times New Roman" w:hAnsi="Times New Roman" w:eastAsia="宋体"/>
                      <w:color w:val="auto"/>
                      <w:sz w:val="21"/>
                      <w:szCs w:val="21"/>
                      <w:lang w:eastAsia="zh-CN"/>
                    </w:rPr>
                    <w:t>属于防洪除涝工程，项目的实施可完善村镇防洪体系，提高防洪标准，改善村镇生态环境，保障该段河道两岸人民财产安全。项目建设内容不涉及滨河公园、湿地公园等</w:t>
                  </w:r>
                </w:p>
              </w:tc>
              <w:tc>
                <w:tcPr>
                  <w:tcW w:w="556" w:type="pct"/>
                  <w:tcBorders>
                    <w:top w:val="single" w:color="auto" w:sz="4" w:space="0"/>
                    <w:bottom w:val="single" w:color="auto" w:sz="4" w:space="0"/>
                  </w:tcBorders>
                  <w:noWrap w:val="0"/>
                  <w:vAlign w:val="center"/>
                </w:tcPr>
                <w:p w14:paraId="2338CB61">
                  <w:pPr>
                    <w:pStyle w:val="25"/>
                    <w:widowControl w:val="0"/>
                    <w:spacing w:after="0" w:line="240" w:lineRule="auto"/>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符合</w:t>
                  </w:r>
                </w:p>
              </w:tc>
            </w:tr>
            <w:tr w14:paraId="6C37CF0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435" w:hRule="atLeast"/>
                <w:jc w:val="center"/>
              </w:trPr>
              <w:tc>
                <w:tcPr>
                  <w:tcW w:w="864" w:type="pct"/>
                  <w:tcBorders>
                    <w:bottom w:val="single" w:color="auto" w:sz="4" w:space="0"/>
                  </w:tcBorders>
                  <w:noWrap w:val="0"/>
                  <w:vAlign w:val="center"/>
                </w:tcPr>
                <w:p w14:paraId="5D5C72DC">
                  <w:pPr>
                    <w:autoSpaceDE w:val="0"/>
                    <w:autoSpaceDN w:val="0"/>
                    <w:adjustRightInd w:val="0"/>
                    <w:spacing w:line="240" w:lineRule="auto"/>
                    <w:jc w:val="center"/>
                    <w:rPr>
                      <w:rFonts w:hint="eastAsia" w:ascii="Times New Roman" w:hAnsi="Times New Roman" w:eastAsia="宋体" w:cs="Times New Roman"/>
                      <w:b w:val="0"/>
                      <w:bCs w:val="0"/>
                      <w:color w:val="auto"/>
                      <w:kern w:val="0"/>
                      <w:sz w:val="21"/>
                      <w:szCs w:val="21"/>
                      <w:lang w:val="en-US" w:eastAsia="zh-CN"/>
                    </w:rPr>
                  </w:pPr>
                  <w:r>
                    <w:rPr>
                      <w:rFonts w:hint="eastAsia" w:cs="Times New Roman"/>
                      <w:b w:val="0"/>
                      <w:bCs w:val="0"/>
                      <w:color w:val="auto"/>
                      <w:spacing w:val="3"/>
                      <w:sz w:val="21"/>
                      <w:szCs w:val="21"/>
                      <w:lang w:val="en-US" w:eastAsia="zh-CN"/>
                    </w:rPr>
                    <w:t>宝鸡</w:t>
                  </w:r>
                  <w:r>
                    <w:rPr>
                      <w:rFonts w:hint="default" w:ascii="Times New Roman" w:hAnsi="Times New Roman" w:eastAsia="宋体" w:cs="Times New Roman"/>
                      <w:b w:val="0"/>
                      <w:bCs w:val="0"/>
                      <w:color w:val="auto"/>
                      <w:spacing w:val="3"/>
                      <w:sz w:val="21"/>
                      <w:szCs w:val="21"/>
                    </w:rPr>
                    <w:t>市生态环境保护</w:t>
                  </w:r>
                  <w:r>
                    <w:rPr>
                      <w:rFonts w:hint="eastAsia" w:cs="Times New Roman"/>
                      <w:b w:val="0"/>
                      <w:bCs w:val="0"/>
                      <w:color w:val="auto"/>
                      <w:spacing w:val="3"/>
                      <w:sz w:val="21"/>
                      <w:szCs w:val="21"/>
                      <w:lang w:eastAsia="zh-CN"/>
                    </w:rPr>
                    <w:t>″</w:t>
                  </w:r>
                  <w:r>
                    <w:rPr>
                      <w:rFonts w:hint="default" w:ascii="Times New Roman" w:hAnsi="Times New Roman" w:eastAsia="宋体" w:cs="Times New Roman"/>
                      <w:b w:val="0"/>
                      <w:bCs w:val="0"/>
                      <w:color w:val="auto"/>
                      <w:spacing w:val="3"/>
                      <w:sz w:val="21"/>
                      <w:szCs w:val="21"/>
                    </w:rPr>
                    <w:t>十四五</w:t>
                  </w:r>
                  <w:r>
                    <w:rPr>
                      <w:rFonts w:hint="eastAsia" w:cs="Times New Roman"/>
                      <w:b w:val="0"/>
                      <w:bCs w:val="0"/>
                      <w:color w:val="auto"/>
                      <w:spacing w:val="3"/>
                      <w:sz w:val="21"/>
                      <w:szCs w:val="21"/>
                      <w:lang w:eastAsia="zh-CN"/>
                    </w:rPr>
                    <w:t>″</w:t>
                  </w:r>
                  <w:r>
                    <w:rPr>
                      <w:rFonts w:hint="default" w:ascii="Times New Roman" w:hAnsi="Times New Roman" w:eastAsia="宋体" w:cs="Times New Roman"/>
                      <w:b w:val="0"/>
                      <w:bCs w:val="0"/>
                      <w:color w:val="auto"/>
                      <w:spacing w:val="3"/>
                      <w:sz w:val="21"/>
                      <w:szCs w:val="21"/>
                    </w:rPr>
                    <w:t>规划（2021年</w:t>
                  </w:r>
                  <w:r>
                    <w:rPr>
                      <w:rFonts w:hint="eastAsia" w:cs="Times New Roman"/>
                      <w:b w:val="0"/>
                      <w:bCs w:val="0"/>
                      <w:color w:val="auto"/>
                      <w:spacing w:val="3"/>
                      <w:sz w:val="21"/>
                      <w:szCs w:val="21"/>
                      <w:lang w:eastAsia="zh-CN"/>
                    </w:rPr>
                    <w:t>—</w:t>
                  </w:r>
                  <w:r>
                    <w:rPr>
                      <w:rFonts w:hint="default" w:ascii="Times New Roman" w:hAnsi="Times New Roman" w:eastAsia="宋体" w:cs="Times New Roman"/>
                      <w:b w:val="0"/>
                      <w:bCs w:val="0"/>
                      <w:color w:val="auto"/>
                      <w:spacing w:val="3"/>
                      <w:sz w:val="21"/>
                      <w:szCs w:val="21"/>
                    </w:rPr>
                    <w:t>2025年）</w:t>
                  </w:r>
                </w:p>
              </w:tc>
              <w:tc>
                <w:tcPr>
                  <w:tcW w:w="2303" w:type="pct"/>
                  <w:tcBorders>
                    <w:bottom w:val="single" w:color="auto" w:sz="4" w:space="0"/>
                  </w:tcBorders>
                  <w:noWrap w:val="0"/>
                  <w:vAlign w:val="center"/>
                </w:tcPr>
                <w:p w14:paraId="76D15B32">
                  <w:pPr>
                    <w:autoSpaceDE w:val="0"/>
                    <w:autoSpaceDN w:val="0"/>
                    <w:adjustRightInd w:val="0"/>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严格控制施工扬尘。认真执行《陕西地区施工现场扬尘专项治理方案》 ，禁止城市建成区建筑工地现场搅拌混凝土。严格执行《建筑施工扬尘治理措施 16条》 ，将扬尘污染防治纳入建筑工地开工审批条件并严格把关，将防治扬尘污染费用列入工程造价，对落实建设项目</w:t>
                  </w:r>
                  <w:r>
                    <w:rPr>
                      <w:rFonts w:hint="eastAsia"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洒水、覆盖、硬化、冲洗、绿化、围挡</w:t>
                  </w:r>
                  <w:r>
                    <w:rPr>
                      <w:rFonts w:hint="eastAsia"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六个 100%措施不力的企业，在建筑市场监管与诚信信息平台进行曝光，记入企业不良信用记录。</w:t>
                  </w:r>
                </w:p>
              </w:tc>
              <w:tc>
                <w:tcPr>
                  <w:tcW w:w="1275" w:type="pct"/>
                  <w:tcBorders>
                    <w:bottom w:val="single" w:color="auto" w:sz="4" w:space="0"/>
                  </w:tcBorders>
                  <w:shd w:val="clear" w:color="auto" w:fill="auto"/>
                  <w:noWrap w:val="0"/>
                  <w:vAlign w:val="center"/>
                </w:tcPr>
                <w:p w14:paraId="641E70A4">
                  <w:pPr>
                    <w:autoSpaceDE w:val="0"/>
                    <w:autoSpaceDN w:val="0"/>
                    <w:adjustRightInd w:val="0"/>
                    <w:spacing w:line="240" w:lineRule="auto"/>
                    <w:jc w:val="center"/>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本项目施工过程中严格按照要求执行六个100% ，并加强扬尘管控。</w:t>
                  </w:r>
                </w:p>
              </w:tc>
              <w:tc>
                <w:tcPr>
                  <w:tcW w:w="556" w:type="pct"/>
                  <w:tcBorders>
                    <w:top w:val="single" w:color="auto" w:sz="4" w:space="0"/>
                    <w:bottom w:val="single" w:color="auto" w:sz="4" w:space="0"/>
                  </w:tcBorders>
                  <w:shd w:val="clear" w:color="auto" w:fill="auto"/>
                  <w:noWrap w:val="0"/>
                  <w:vAlign w:val="center"/>
                </w:tcPr>
                <w:p w14:paraId="42445C5D">
                  <w:pPr>
                    <w:autoSpaceDE w:val="0"/>
                    <w:autoSpaceDN w:val="0"/>
                    <w:adjustRightInd w:val="0"/>
                    <w:spacing w:line="240" w:lineRule="auto"/>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符合</w:t>
                  </w:r>
                </w:p>
              </w:tc>
            </w:tr>
            <w:tr w14:paraId="334F534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30" w:hRule="atLeast"/>
                <w:jc w:val="center"/>
              </w:trPr>
              <w:tc>
                <w:tcPr>
                  <w:tcW w:w="864" w:type="pct"/>
                  <w:tcBorders>
                    <w:bottom w:val="single" w:color="auto" w:sz="4" w:space="0"/>
                  </w:tcBorders>
                  <w:noWrap w:val="0"/>
                  <w:vAlign w:val="center"/>
                </w:tcPr>
                <w:p w14:paraId="7919CD5A">
                  <w:pPr>
                    <w:autoSpaceDE w:val="0"/>
                    <w:autoSpaceDN w:val="0"/>
                    <w:adjustRightInd w:val="0"/>
                    <w:spacing w:line="240" w:lineRule="auto"/>
                    <w:jc w:val="center"/>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《宝鸡市大气污染防治条例》</w:t>
                  </w:r>
                </w:p>
              </w:tc>
              <w:tc>
                <w:tcPr>
                  <w:tcW w:w="2303" w:type="pct"/>
                  <w:tcBorders>
                    <w:bottom w:val="single" w:color="auto" w:sz="4" w:space="0"/>
                  </w:tcBorders>
                  <w:noWrap w:val="0"/>
                  <w:vAlign w:val="center"/>
                </w:tcPr>
                <w:p w14:paraId="26CCB4B4">
                  <w:pPr>
                    <w:autoSpaceDE w:val="0"/>
                    <w:autoSpaceDN w:val="0"/>
                    <w:adjustRightInd w:val="0"/>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第三十四条施工单位应当制定具体的施工扬尘污染防治实施方案，在施工工地内采取下列防尘措施：</w:t>
                  </w:r>
                </w:p>
                <w:p w14:paraId="1C56E8CA">
                  <w:pPr>
                    <w:autoSpaceDE w:val="0"/>
                    <w:autoSpaceDN w:val="0"/>
                    <w:adjustRightInd w:val="0"/>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（一）应当设置硬质围挡，分段作业、择时施工，洒水抑尘、冲洗地面。</w:t>
                  </w:r>
                </w:p>
                <w:p w14:paraId="70813DC2">
                  <w:pPr>
                    <w:autoSpaceDE w:val="0"/>
                    <w:autoSpaceDN w:val="0"/>
                    <w:adjustRightInd w:val="0"/>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（二）建筑土方、工程渣土、建筑垃圾应当及时清运；在场地内堆存的，应当采用密闭式防尘网遮盖。</w:t>
                  </w:r>
                </w:p>
                <w:p w14:paraId="0E12129E">
                  <w:pPr>
                    <w:autoSpaceDE w:val="0"/>
                    <w:autoSpaceDN w:val="0"/>
                    <w:adjustRightInd w:val="0"/>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（三）车行道路采取硬化或者铺设礁渣、砾石或其他功能相当的材料等措施。</w:t>
                  </w:r>
                </w:p>
                <w:p w14:paraId="48FEF059">
                  <w:pPr>
                    <w:autoSpaceDE w:val="0"/>
                    <w:autoSpaceDN w:val="0"/>
                    <w:adjustRightInd w:val="0"/>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（四）出入口内侧安装车辆冲洗设备，车辆冲洗干净后方可驶出。</w:t>
                  </w:r>
                </w:p>
                <w:p w14:paraId="3C28A057">
                  <w:pPr>
                    <w:autoSpaceDE w:val="0"/>
                    <w:autoSpaceDN w:val="0"/>
                    <w:adjustRightInd w:val="0"/>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（五）施工作业产生泥浆的，设置泥浆池、泥浆沟，确保泥浆不溢流，废弃泥浆采用密封式罐车清运。</w:t>
                  </w:r>
                </w:p>
                <w:p w14:paraId="0EE31FDD">
                  <w:pPr>
                    <w:autoSpaceDE w:val="0"/>
                    <w:autoSpaceDN w:val="0"/>
                    <w:adjustRightInd w:val="0"/>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（六）土方作业、拆除、爆破等易产生扬尘的工程，采取洒水抑尘措施。</w:t>
                  </w:r>
                </w:p>
                <w:p w14:paraId="54E1868D">
                  <w:pPr>
                    <w:autoSpaceDE w:val="0"/>
                    <w:autoSpaceDN w:val="0"/>
                    <w:adjustRightInd w:val="0"/>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（七）公示扬尘污染防治措施、负责人、扬尘监督管理主管部门等信息。</w:t>
                  </w:r>
                </w:p>
                <w:p w14:paraId="01304235">
                  <w:pPr>
                    <w:autoSpaceDE w:val="0"/>
                    <w:autoSpaceDN w:val="0"/>
                    <w:adjustRightInd w:val="0"/>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（八）法律法规规定的其他污染防治措施。</w:t>
                  </w:r>
                </w:p>
              </w:tc>
              <w:tc>
                <w:tcPr>
                  <w:tcW w:w="1275" w:type="pct"/>
                  <w:tcBorders>
                    <w:bottom w:val="single" w:color="auto" w:sz="4" w:space="0"/>
                  </w:tcBorders>
                  <w:shd w:val="clear" w:color="auto" w:fill="auto"/>
                  <w:noWrap w:val="0"/>
                  <w:vAlign w:val="center"/>
                </w:tcPr>
                <w:p w14:paraId="7A1E73BA">
                  <w:pPr>
                    <w:autoSpaceDE w:val="0"/>
                    <w:autoSpaceDN w:val="0"/>
                    <w:adjustRightInd w:val="0"/>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本项目施工期间建筑垃圾及时清运、裸露地方密目网苫盖；对运输车辆出施工场地时进行冲洗等措施，符合污染条例的规定</w:t>
                  </w:r>
                </w:p>
              </w:tc>
              <w:tc>
                <w:tcPr>
                  <w:tcW w:w="556" w:type="pct"/>
                  <w:tcBorders>
                    <w:top w:val="single" w:color="auto" w:sz="4" w:space="0"/>
                    <w:bottom w:val="single" w:color="auto" w:sz="4" w:space="0"/>
                  </w:tcBorders>
                  <w:shd w:val="clear" w:color="auto" w:fill="auto"/>
                  <w:noWrap w:val="0"/>
                  <w:vAlign w:val="center"/>
                </w:tcPr>
                <w:p w14:paraId="723B3DBD">
                  <w:pPr>
                    <w:autoSpaceDE w:val="0"/>
                    <w:autoSpaceDN w:val="0"/>
                    <w:adjustRightInd w:val="0"/>
                    <w:spacing w:line="240" w:lineRule="auto"/>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符合</w:t>
                  </w:r>
                </w:p>
              </w:tc>
            </w:tr>
            <w:tr w14:paraId="6AC5CBA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69" w:hRule="atLeast"/>
                <w:jc w:val="center"/>
              </w:trPr>
              <w:tc>
                <w:tcPr>
                  <w:tcW w:w="864" w:type="pct"/>
                  <w:vMerge w:val="restart"/>
                  <w:noWrap w:val="0"/>
                  <w:vAlign w:val="center"/>
                </w:tcPr>
                <w:p w14:paraId="0FEF4707">
                  <w:pPr>
                    <w:autoSpaceDE w:val="0"/>
                    <w:autoSpaceDN w:val="0"/>
                    <w:adjustRightInd w:val="0"/>
                    <w:spacing w:line="240" w:lineRule="auto"/>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r>
                    <w:rPr>
                      <w:rFonts w:hint="eastAsia" w:cs="Times New Roman"/>
                      <w:color w:val="auto"/>
                      <w:kern w:val="0"/>
                      <w:sz w:val="21"/>
                      <w:szCs w:val="21"/>
                      <w:lang w:val="en-US" w:eastAsia="zh-CN"/>
                    </w:rPr>
                    <w:t>宝鸡</w:t>
                  </w:r>
                  <w:r>
                    <w:rPr>
                      <w:rFonts w:hint="eastAsia" w:ascii="Times New Roman" w:hAnsi="Times New Roman" w:eastAsia="宋体" w:cs="Times New Roman"/>
                      <w:color w:val="auto"/>
                      <w:kern w:val="0"/>
                      <w:sz w:val="21"/>
                      <w:szCs w:val="21"/>
                      <w:lang w:val="en-US" w:eastAsia="zh-CN"/>
                    </w:rPr>
                    <w:t>市大气污染治理专项行动方案（2023</w:t>
                  </w:r>
                  <w:r>
                    <w:rPr>
                      <w:rFonts w:hint="eastAsia" w:cs="Times New Roman"/>
                      <w:color w:val="auto"/>
                      <w:kern w:val="0"/>
                      <w:sz w:val="21"/>
                      <w:szCs w:val="21"/>
                      <w:lang w:val="en-US" w:eastAsia="zh-CN"/>
                    </w:rPr>
                    <w:t>—</w:t>
                  </w:r>
                  <w:r>
                    <w:rPr>
                      <w:rFonts w:hint="eastAsia" w:ascii="Times New Roman" w:hAnsi="Times New Roman" w:eastAsia="宋体" w:cs="Times New Roman"/>
                      <w:color w:val="auto"/>
                      <w:kern w:val="0"/>
                      <w:sz w:val="21"/>
                      <w:szCs w:val="21"/>
                      <w:lang w:val="en-US" w:eastAsia="zh-CN"/>
                    </w:rPr>
                    <w:t>2027年）》</w:t>
                  </w:r>
                </w:p>
              </w:tc>
              <w:tc>
                <w:tcPr>
                  <w:tcW w:w="2303" w:type="pct"/>
                  <w:tcBorders>
                    <w:bottom w:val="single" w:color="auto" w:sz="4" w:space="0"/>
                  </w:tcBorders>
                  <w:shd w:val="clear" w:color="auto" w:fill="auto"/>
                  <w:noWrap w:val="0"/>
                  <w:vAlign w:val="center"/>
                </w:tcPr>
                <w:p w14:paraId="6EF7B654">
                  <w:pPr>
                    <w:autoSpaceDE w:val="0"/>
                    <w:autoSpaceDN w:val="0"/>
                    <w:adjustRightInd w:val="0"/>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严格落实监管责任，实施网格化考核。关中生活污水地区以降低 PM10 指标为导向建立动态管控机制，施工场地严格执行</w:t>
                  </w:r>
                  <w:r>
                    <w:rPr>
                      <w:rFonts w:hint="eastAsia"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六个百分百</w:t>
                  </w:r>
                  <w:r>
                    <w:rPr>
                      <w:rFonts w:hint="eastAsia"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 xml:space="preserve"> ，施工工地扬尘排放超 过 《 施 工 场 界 扬 尘 排 放 限 值（DB61/1078-2017）》的立即停工整改</w:t>
                  </w:r>
                </w:p>
              </w:tc>
              <w:tc>
                <w:tcPr>
                  <w:tcW w:w="1275" w:type="pct"/>
                  <w:tcBorders>
                    <w:bottom w:val="single" w:color="auto" w:sz="4" w:space="0"/>
                  </w:tcBorders>
                  <w:shd w:val="clear" w:color="auto" w:fill="auto"/>
                  <w:noWrap w:val="0"/>
                  <w:vAlign w:val="center"/>
                </w:tcPr>
                <w:p w14:paraId="268807F2">
                  <w:pPr>
                    <w:autoSpaceDE w:val="0"/>
                    <w:autoSpaceDN w:val="0"/>
                    <w:adjustRightInd w:val="0"/>
                    <w:spacing w:line="240" w:lineRule="auto"/>
                    <w:jc w:val="center"/>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本项目施工过程中严格按照要求执行六个100% ，并加强扬尘管控。</w:t>
                  </w:r>
                </w:p>
              </w:tc>
              <w:tc>
                <w:tcPr>
                  <w:tcW w:w="556" w:type="pct"/>
                  <w:tcBorders>
                    <w:top w:val="single" w:color="auto" w:sz="4" w:space="0"/>
                    <w:bottom w:val="single" w:color="auto" w:sz="4" w:space="0"/>
                  </w:tcBorders>
                  <w:noWrap w:val="0"/>
                  <w:vAlign w:val="center"/>
                </w:tcPr>
                <w:p w14:paraId="4DF15A0F">
                  <w:pPr>
                    <w:autoSpaceDE w:val="0"/>
                    <w:autoSpaceDN w:val="0"/>
                    <w:adjustRightInd w:val="0"/>
                    <w:spacing w:line="240" w:lineRule="auto"/>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符合</w:t>
                  </w:r>
                </w:p>
              </w:tc>
            </w:tr>
            <w:tr w14:paraId="422404D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69" w:hRule="atLeast"/>
                <w:jc w:val="center"/>
              </w:trPr>
              <w:tc>
                <w:tcPr>
                  <w:tcW w:w="864" w:type="pct"/>
                  <w:vMerge w:val="continue"/>
                  <w:noWrap w:val="0"/>
                  <w:vAlign w:val="center"/>
                </w:tcPr>
                <w:p w14:paraId="16D9DF23">
                  <w:pPr>
                    <w:autoSpaceDE w:val="0"/>
                    <w:autoSpaceDN w:val="0"/>
                    <w:adjustRightInd w:val="0"/>
                    <w:spacing w:line="240" w:lineRule="auto"/>
                    <w:jc w:val="center"/>
                    <w:rPr>
                      <w:rFonts w:hint="eastAsia" w:ascii="Times New Roman" w:hAnsi="Times New Roman" w:eastAsia="宋体" w:cs="Times New Roman"/>
                      <w:color w:val="auto"/>
                      <w:kern w:val="0"/>
                      <w:sz w:val="21"/>
                      <w:szCs w:val="21"/>
                      <w:lang w:val="en-US" w:eastAsia="zh-CN"/>
                    </w:rPr>
                  </w:pPr>
                </w:p>
              </w:tc>
              <w:tc>
                <w:tcPr>
                  <w:tcW w:w="2303" w:type="pct"/>
                  <w:shd w:val="clear" w:color="auto" w:fill="auto"/>
                  <w:noWrap w:val="0"/>
                  <w:vAlign w:val="center"/>
                </w:tcPr>
                <w:p w14:paraId="349B8558">
                  <w:pPr>
                    <w:pStyle w:val="3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宋体"/>
                      <w:color w:val="0000FF"/>
                      <w:spacing w:val="-6"/>
                      <w:kern w:val="2"/>
                      <w:sz w:val="21"/>
                      <w:szCs w:val="21"/>
                      <w:lang w:val="en-US" w:eastAsia="zh-CN" w:bidi="ar-SA"/>
                    </w:rPr>
                  </w:pPr>
                  <w:r>
                    <w:rPr>
                      <w:rFonts w:hint="eastAsia" w:ascii="Times New Roman" w:hAnsi="Times New Roman"/>
                      <w:color w:val="auto"/>
                      <w:spacing w:val="-6"/>
                      <w:sz w:val="21"/>
                      <w:szCs w:val="21"/>
                      <w:lang w:val="en-US" w:eastAsia="zh-CN"/>
                    </w:rPr>
                    <w:t>推进渣土车、商砼车新能源或国六排放标准车辆替代，逐步淘汰渣土清运行业国五以下排放标准柴油车辆。</w:t>
                  </w:r>
                  <w:r>
                    <w:rPr>
                      <w:rFonts w:hint="eastAsia" w:ascii="Times New Roman" w:hAnsi="Times New Roman" w:eastAsia="宋体"/>
                      <w:color w:val="auto"/>
                      <w:spacing w:val="-6"/>
                      <w:sz w:val="21"/>
                      <w:szCs w:val="21"/>
                    </w:rPr>
                    <w:t>强化非道路移动机械排放控制区管控，</w:t>
                  </w:r>
                  <w:r>
                    <w:rPr>
                      <w:rFonts w:hint="eastAsia" w:ascii="Times New Roman" w:hAnsi="Times New Roman"/>
                      <w:color w:val="auto"/>
                      <w:spacing w:val="-6"/>
                      <w:sz w:val="21"/>
                      <w:szCs w:val="21"/>
                      <w:lang w:val="en-US" w:eastAsia="zh-CN"/>
                    </w:rPr>
                    <w:t>完善</w:t>
                  </w:r>
                  <w:r>
                    <w:rPr>
                      <w:rFonts w:hint="eastAsia" w:ascii="Times New Roman" w:hAnsi="Times New Roman" w:eastAsia="宋体"/>
                      <w:color w:val="auto"/>
                      <w:spacing w:val="-6"/>
                      <w:sz w:val="21"/>
                      <w:szCs w:val="21"/>
                    </w:rPr>
                    <w:t>非道路移动机械</w:t>
                  </w:r>
                  <w:r>
                    <w:rPr>
                      <w:rFonts w:hint="eastAsia" w:ascii="Times New Roman" w:hAnsi="Times New Roman"/>
                      <w:color w:val="auto"/>
                      <w:spacing w:val="-6"/>
                      <w:sz w:val="21"/>
                      <w:szCs w:val="21"/>
                      <w:lang w:val="en-US" w:eastAsia="zh-CN"/>
                    </w:rPr>
                    <w:t>编码登记</w:t>
                  </w:r>
                  <w:r>
                    <w:rPr>
                      <w:rFonts w:hint="eastAsia" w:ascii="Times New Roman" w:hAnsi="Times New Roman" w:eastAsia="宋体"/>
                      <w:color w:val="auto"/>
                      <w:spacing w:val="-6"/>
                      <w:sz w:val="21"/>
                      <w:szCs w:val="21"/>
                    </w:rPr>
                    <w:t>，到</w:t>
                  </w:r>
                  <w:r>
                    <w:rPr>
                      <w:rFonts w:hint="default" w:ascii="Times New Roman" w:hAnsi="Times New Roman" w:eastAsia="宋体" w:cs="Times New Roman"/>
                      <w:color w:val="auto"/>
                      <w:spacing w:val="-6"/>
                      <w:sz w:val="21"/>
                      <w:szCs w:val="21"/>
                    </w:rPr>
                    <w:t>2025年不符合第三阶段和在用非道路移动机械排放标准三类限值的机械</w:t>
                  </w:r>
                  <w:r>
                    <w:rPr>
                      <w:rFonts w:hint="eastAsia" w:ascii="Times New Roman" w:hAnsi="Times New Roman" w:cs="Times New Roman"/>
                      <w:color w:val="auto"/>
                      <w:spacing w:val="-6"/>
                      <w:sz w:val="21"/>
                      <w:szCs w:val="21"/>
                      <w:lang w:val="en-US" w:eastAsia="zh-CN"/>
                    </w:rPr>
                    <w:t>禁止使用</w:t>
                  </w:r>
                  <w:r>
                    <w:rPr>
                      <w:rFonts w:hint="eastAsia" w:ascii="Times New Roman" w:hAnsi="Times New Roman" w:eastAsia="宋体"/>
                      <w:color w:val="auto"/>
                      <w:spacing w:val="-6"/>
                      <w:sz w:val="21"/>
                      <w:szCs w:val="21"/>
                    </w:rPr>
                    <w:t>，具备条件的可更换国四及以上排放标准的发动机。</w:t>
                  </w:r>
                </w:p>
              </w:tc>
              <w:tc>
                <w:tcPr>
                  <w:tcW w:w="1275" w:type="pct"/>
                  <w:shd w:val="clear" w:color="auto" w:fill="auto"/>
                  <w:noWrap w:val="0"/>
                  <w:vAlign w:val="center"/>
                </w:tcPr>
                <w:p w14:paraId="29E6D8A1">
                  <w:pPr>
                    <w:pStyle w:val="3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Times New Roman" w:hAnsi="Times New Roman" w:eastAsia="宋体" w:cs="宋体"/>
                      <w:color w:val="auto"/>
                      <w:spacing w:val="-6"/>
                      <w:kern w:val="2"/>
                      <w:sz w:val="21"/>
                      <w:szCs w:val="21"/>
                      <w:lang w:val="en-US" w:eastAsia="zh-CN" w:bidi="ar-SA"/>
                    </w:rPr>
                  </w:pPr>
                  <w:r>
                    <w:rPr>
                      <w:rFonts w:hint="default" w:ascii="Times New Roman" w:hAnsi="Times New Roman" w:eastAsia="宋体" w:cs="Times New Roman"/>
                      <w:color w:val="auto"/>
                      <w:spacing w:val="-6"/>
                      <w:sz w:val="21"/>
                      <w:szCs w:val="21"/>
                      <w:lang w:val="en-US" w:eastAsia="zh-CN"/>
                    </w:rPr>
                    <w:t>本项目使用的非道路移动机械均为国IV以上，施工期运输车辆严格执行《非道路柴油移动机械污染物排放控制技术要求》（HJ1014-2020）</w:t>
                  </w:r>
                </w:p>
              </w:tc>
              <w:tc>
                <w:tcPr>
                  <w:tcW w:w="556" w:type="pct"/>
                  <w:tcBorders>
                    <w:top w:val="single" w:color="auto" w:sz="4" w:space="0"/>
                    <w:bottom w:val="single" w:color="auto" w:sz="4" w:space="0"/>
                  </w:tcBorders>
                  <w:shd w:val="clear" w:color="auto" w:fill="auto"/>
                  <w:noWrap w:val="0"/>
                  <w:vAlign w:val="center"/>
                </w:tcPr>
                <w:p w14:paraId="3342DBA3">
                  <w:pPr>
                    <w:pStyle w:val="3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宋体"/>
                      <w:color w:val="auto"/>
                      <w:spacing w:val="3"/>
                      <w:kern w:val="2"/>
                      <w:sz w:val="21"/>
                      <w:szCs w:val="21"/>
                      <w:lang w:val="en-US" w:eastAsia="zh-CN" w:bidi="ar-SA"/>
                    </w:rPr>
                  </w:pPr>
                  <w:r>
                    <w:rPr>
                      <w:rFonts w:hint="eastAsia" w:ascii="Times New Roman" w:hAnsi="Times New Roman" w:eastAsia="宋体"/>
                      <w:color w:val="auto"/>
                      <w:spacing w:val="3"/>
                      <w:sz w:val="21"/>
                      <w:szCs w:val="21"/>
                      <w:lang w:val="en-US" w:eastAsia="zh-CN"/>
                    </w:rPr>
                    <w:t>符合</w:t>
                  </w:r>
                </w:p>
              </w:tc>
            </w:tr>
            <w:tr w14:paraId="6AC95F8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69" w:hRule="atLeast"/>
                <w:jc w:val="center"/>
              </w:trPr>
              <w:tc>
                <w:tcPr>
                  <w:tcW w:w="864" w:type="pct"/>
                  <w:noWrap w:val="0"/>
                  <w:vAlign w:val="center"/>
                </w:tcPr>
                <w:p w14:paraId="506C827F">
                  <w:pPr>
                    <w:autoSpaceDE w:val="0"/>
                    <w:autoSpaceDN w:val="0"/>
                    <w:adjustRightInd w:val="0"/>
                    <w:spacing w:line="240" w:lineRule="auto"/>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《陇县大</w:t>
                  </w:r>
                </w:p>
                <w:p w14:paraId="3D6E88D9">
                  <w:pPr>
                    <w:autoSpaceDE w:val="0"/>
                    <w:autoSpaceDN w:val="0"/>
                    <w:adjustRightInd w:val="0"/>
                    <w:spacing w:line="240" w:lineRule="auto"/>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气污染专</w:t>
                  </w:r>
                </w:p>
                <w:p w14:paraId="3D137FA2">
                  <w:pPr>
                    <w:autoSpaceDE w:val="0"/>
                    <w:autoSpaceDN w:val="0"/>
                    <w:adjustRightInd w:val="0"/>
                    <w:spacing w:line="240" w:lineRule="auto"/>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项行动方案</w:t>
                  </w:r>
                </w:p>
                <w:p w14:paraId="083C7AA4">
                  <w:pPr>
                    <w:autoSpaceDE w:val="0"/>
                    <w:autoSpaceDN w:val="0"/>
                    <w:adjustRightInd w:val="0"/>
                    <w:spacing w:line="240" w:lineRule="auto"/>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（2023-</w:t>
                  </w:r>
                  <w:r>
                    <w:rPr>
                      <w:rFonts w:hint="eastAsia" w:cs="Times New Roman"/>
                      <w:color w:val="auto"/>
                      <w:kern w:val="0"/>
                      <w:sz w:val="21"/>
                      <w:szCs w:val="21"/>
                      <w:lang w:val="en-US" w:eastAsia="zh-CN"/>
                    </w:rPr>
                    <w:t>2027</w:t>
                  </w:r>
                  <w:r>
                    <w:rPr>
                      <w:rFonts w:hint="eastAsia" w:ascii="Times New Roman" w:hAnsi="Times New Roman" w:eastAsia="宋体" w:cs="Times New Roman"/>
                      <w:color w:val="auto"/>
                      <w:kern w:val="0"/>
                      <w:sz w:val="21"/>
                      <w:szCs w:val="21"/>
                      <w:lang w:val="en-US" w:eastAsia="zh-CN"/>
                    </w:rPr>
                    <w:t>年）》</w:t>
                  </w:r>
                </w:p>
              </w:tc>
              <w:tc>
                <w:tcPr>
                  <w:tcW w:w="2303" w:type="pct"/>
                  <w:shd w:val="clear" w:color="auto" w:fill="auto"/>
                  <w:noWrap w:val="0"/>
                  <w:vAlign w:val="center"/>
                </w:tcPr>
                <w:p w14:paraId="2A395B85">
                  <w:pPr>
                    <w:autoSpaceDE w:val="0"/>
                    <w:autoSpaceDN w:val="0"/>
                    <w:adjustRightInd w:val="0"/>
                    <w:spacing w:line="240" w:lineRule="auto"/>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严格落实监管责任，实施网格化考核。关中生活污水地区以降低 PM10 指标为导向建立动态管控机制，施工场地严格执行</w:t>
                  </w:r>
                  <w:r>
                    <w:rPr>
                      <w:rFonts w:hint="eastAsia" w:cs="Times New Roman"/>
                      <w:color w:val="auto"/>
                      <w:kern w:val="0"/>
                      <w:sz w:val="21"/>
                      <w:szCs w:val="21"/>
                      <w:lang w:val="en-US" w:eastAsia="zh-CN"/>
                    </w:rPr>
                    <w:t>″</w:t>
                  </w:r>
                  <w:r>
                    <w:rPr>
                      <w:rFonts w:hint="eastAsia" w:ascii="Times New Roman" w:hAnsi="Times New Roman" w:eastAsia="宋体" w:cs="Times New Roman"/>
                      <w:color w:val="auto"/>
                      <w:kern w:val="0"/>
                      <w:sz w:val="21"/>
                      <w:szCs w:val="21"/>
                      <w:lang w:val="en-US" w:eastAsia="zh-CN"/>
                    </w:rPr>
                    <w:t>六个百分百</w:t>
                  </w:r>
                  <w:r>
                    <w:rPr>
                      <w:rFonts w:hint="eastAsia" w:cs="Times New Roman"/>
                      <w:color w:val="auto"/>
                      <w:kern w:val="0"/>
                      <w:sz w:val="21"/>
                      <w:szCs w:val="21"/>
                      <w:lang w:val="en-US" w:eastAsia="zh-CN"/>
                    </w:rPr>
                    <w:t>″</w:t>
                  </w:r>
                  <w:r>
                    <w:rPr>
                      <w:rFonts w:hint="eastAsia" w:ascii="Times New Roman" w:hAnsi="Times New Roman" w:eastAsia="宋体" w:cs="Times New Roman"/>
                      <w:color w:val="auto"/>
                      <w:kern w:val="0"/>
                      <w:sz w:val="21"/>
                      <w:szCs w:val="21"/>
                      <w:lang w:val="en-US" w:eastAsia="zh-CN"/>
                    </w:rPr>
                    <w:t>，施工工地扬尘排放超过《施工场界扬尘排放限值（DB61/1078-2017）》的立即停工整改</w:t>
                  </w:r>
                </w:p>
              </w:tc>
              <w:tc>
                <w:tcPr>
                  <w:tcW w:w="1275" w:type="pct"/>
                  <w:shd w:val="clear" w:color="auto" w:fill="auto"/>
                  <w:noWrap w:val="0"/>
                  <w:vAlign w:val="center"/>
                </w:tcPr>
                <w:p w14:paraId="7E7FFAE4">
                  <w:pPr>
                    <w:autoSpaceDE w:val="0"/>
                    <w:autoSpaceDN w:val="0"/>
                    <w:adjustRightInd w:val="0"/>
                    <w:spacing w:line="240" w:lineRule="auto"/>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本项目施工过程中严格按照要求执行六个100%，并加强扬尘管控。</w:t>
                  </w:r>
                </w:p>
              </w:tc>
              <w:tc>
                <w:tcPr>
                  <w:tcW w:w="556" w:type="pct"/>
                  <w:tcBorders>
                    <w:top w:val="single" w:color="auto" w:sz="4" w:space="0"/>
                    <w:bottom w:val="single" w:color="auto" w:sz="4" w:space="0"/>
                  </w:tcBorders>
                  <w:shd w:val="clear" w:color="auto" w:fill="auto"/>
                  <w:noWrap w:val="0"/>
                  <w:vAlign w:val="center"/>
                </w:tcPr>
                <w:p w14:paraId="4C155D4E">
                  <w:pPr>
                    <w:autoSpaceDE w:val="0"/>
                    <w:autoSpaceDN w:val="0"/>
                    <w:adjustRightInd w:val="0"/>
                    <w:spacing w:line="240" w:lineRule="auto"/>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olor w:val="auto"/>
                      <w:spacing w:val="3"/>
                      <w:sz w:val="21"/>
                      <w:szCs w:val="21"/>
                      <w:lang w:val="en-US" w:eastAsia="zh-CN"/>
                    </w:rPr>
                    <w:t>符合</w:t>
                  </w:r>
                </w:p>
              </w:tc>
            </w:tr>
            <w:tr w14:paraId="00D2B33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69" w:hRule="atLeast"/>
                <w:jc w:val="center"/>
              </w:trPr>
              <w:tc>
                <w:tcPr>
                  <w:tcW w:w="864" w:type="pct"/>
                  <w:noWrap w:val="0"/>
                  <w:vAlign w:val="center"/>
                </w:tcPr>
                <w:p w14:paraId="6D2A427E">
                  <w:pPr>
                    <w:autoSpaceDE w:val="0"/>
                    <w:autoSpaceDN w:val="0"/>
                    <w:adjustRightInd w:val="0"/>
                    <w:spacing w:line="240" w:lineRule="auto"/>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《宝鸡市千河流域综合规划》</w:t>
                  </w:r>
                </w:p>
              </w:tc>
              <w:tc>
                <w:tcPr>
                  <w:tcW w:w="2303" w:type="pct"/>
                  <w:shd w:val="clear" w:color="auto" w:fill="auto"/>
                  <w:noWrap w:val="0"/>
                  <w:vAlign w:val="center"/>
                </w:tcPr>
                <w:p w14:paraId="189F1E27">
                  <w:pPr>
                    <w:autoSpaceDE w:val="0"/>
                    <w:autoSpaceDN w:val="0"/>
                    <w:adjustRightInd w:val="0"/>
                    <w:spacing w:line="240" w:lineRule="auto"/>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规划提出治理开发与保护的主要任务是：健全防洪减灾体系，强化防洪非工程措施建设，提高流域防洪能力</w:t>
                  </w:r>
                  <w:r>
                    <w:rPr>
                      <w:rFonts w:hint="eastAsia" w:cs="Times New Roman"/>
                      <w:color w:val="auto"/>
                      <w:kern w:val="0"/>
                      <w:sz w:val="21"/>
                      <w:szCs w:val="21"/>
                      <w:lang w:val="en-US" w:eastAsia="zh-CN"/>
                    </w:rPr>
                    <w:t>，</w:t>
                  </w:r>
                  <w:r>
                    <w:rPr>
                      <w:rFonts w:hint="eastAsia" w:ascii="Times New Roman" w:hAnsi="Times New Roman" w:eastAsia="宋体" w:cs="Times New Roman"/>
                      <w:color w:val="auto"/>
                      <w:kern w:val="0"/>
                      <w:sz w:val="21"/>
                      <w:szCs w:val="21"/>
                      <w:lang w:val="en-US" w:eastAsia="zh-CN"/>
                    </w:rPr>
                    <w:t>保障防洪安全；提升水资源开发利用水平，优化水资源配置，推进城乡供水融合发展，加快灌区现代化改造，缓解水资源供需矛盾，保障供水安全；保障河湖生态基流，开展河湖生态保护修复，持续推进水土流失治理，保障生态安全</w:t>
                  </w:r>
                  <w:r>
                    <w:rPr>
                      <w:rFonts w:hint="eastAsia" w:cs="Times New Roman"/>
                      <w:color w:val="auto"/>
                      <w:kern w:val="0"/>
                      <w:sz w:val="21"/>
                      <w:szCs w:val="21"/>
                      <w:lang w:val="en-US" w:eastAsia="zh-CN"/>
                    </w:rPr>
                    <w:t>.....</w:t>
                  </w:r>
                </w:p>
              </w:tc>
              <w:tc>
                <w:tcPr>
                  <w:tcW w:w="1275" w:type="pct"/>
                  <w:shd w:val="clear" w:color="auto" w:fill="auto"/>
                  <w:noWrap w:val="0"/>
                  <w:vAlign w:val="center"/>
                </w:tcPr>
                <w:p w14:paraId="0F4A709D">
                  <w:pPr>
                    <w:autoSpaceDE w:val="0"/>
                    <w:autoSpaceDN w:val="0"/>
                    <w:adjustRightInd w:val="0"/>
                    <w:spacing w:line="240" w:lineRule="auto"/>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本项目主要建设内容为护岸、护坡和人工湿地，护岸和护坡的建设可提高区域的防洪能力，人工湿地的建设可改善千河水质，与规划任务一致。</w:t>
                  </w:r>
                </w:p>
              </w:tc>
              <w:tc>
                <w:tcPr>
                  <w:tcW w:w="556" w:type="pct"/>
                  <w:tcBorders>
                    <w:top w:val="single" w:color="auto" w:sz="4" w:space="0"/>
                    <w:bottom w:val="single" w:color="auto" w:sz="4" w:space="0"/>
                  </w:tcBorders>
                  <w:shd w:val="clear" w:color="auto" w:fill="auto"/>
                  <w:noWrap w:val="0"/>
                  <w:vAlign w:val="center"/>
                </w:tcPr>
                <w:p w14:paraId="143D88CF">
                  <w:pPr>
                    <w:autoSpaceDE w:val="0"/>
                    <w:autoSpaceDN w:val="0"/>
                    <w:adjustRightInd w:val="0"/>
                    <w:spacing w:line="240" w:lineRule="auto"/>
                    <w:jc w:val="center"/>
                    <w:rPr>
                      <w:rFonts w:hint="default" w:ascii="Times New Roman" w:hAnsi="Times New Roman" w:eastAsia="宋体"/>
                      <w:color w:val="auto"/>
                      <w:spacing w:val="3"/>
                      <w:sz w:val="21"/>
                      <w:szCs w:val="21"/>
                      <w:lang w:val="en-US" w:eastAsia="zh-CN"/>
                    </w:rPr>
                  </w:pPr>
                  <w:r>
                    <w:rPr>
                      <w:rFonts w:hint="eastAsia"/>
                      <w:color w:val="auto"/>
                      <w:spacing w:val="3"/>
                      <w:sz w:val="21"/>
                      <w:szCs w:val="21"/>
                      <w:lang w:val="en-US" w:eastAsia="zh-CN"/>
                    </w:rPr>
                    <w:t>符合</w:t>
                  </w:r>
                </w:p>
              </w:tc>
            </w:tr>
          </w:tbl>
          <w:p w14:paraId="6F858C8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color w:val="auto"/>
                <w:kern w:val="0"/>
                <w:sz w:val="24"/>
                <w:szCs w:val="24"/>
                <w:lang w:val="en-US" w:eastAsia="zh-CN"/>
              </w:rPr>
            </w:pPr>
          </w:p>
        </w:tc>
      </w:tr>
    </w:tbl>
    <w:p w14:paraId="59B9C226">
      <w:pPr>
        <w:spacing w:line="360" w:lineRule="auto"/>
        <w:outlineLvl w:val="0"/>
        <w:rPr>
          <w:rFonts w:eastAsia="黑体"/>
          <w:color w:val="auto"/>
          <w:sz w:val="30"/>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14:paraId="32D94EB4">
      <w:pPr>
        <w:pStyle w:val="15"/>
        <w:jc w:val="center"/>
        <w:outlineLvl w:val="0"/>
        <w:rPr>
          <w:rFonts w:hint="eastAsia" w:ascii="黑体" w:hAnsi="黑体" w:eastAsia="黑体"/>
          <w:snapToGrid w:val="0"/>
          <w:color w:val="auto"/>
          <w:sz w:val="30"/>
          <w:szCs w:val="30"/>
          <w:lang w:val="en-US" w:eastAsia="zh-CN"/>
        </w:rPr>
      </w:pPr>
      <w:r>
        <w:rPr>
          <w:rFonts w:hint="eastAsia" w:ascii="黑体" w:hAnsi="黑体" w:eastAsia="黑体"/>
          <w:snapToGrid w:val="0"/>
          <w:color w:val="auto"/>
          <w:sz w:val="30"/>
          <w:szCs w:val="30"/>
        </w:rPr>
        <w:t>二、建设</w:t>
      </w:r>
      <w:r>
        <w:rPr>
          <w:rFonts w:hint="eastAsia" w:ascii="黑体" w:hAnsi="黑体" w:eastAsia="黑体"/>
          <w:snapToGrid w:val="0"/>
          <w:color w:val="auto"/>
          <w:sz w:val="30"/>
          <w:szCs w:val="30"/>
          <w:lang w:val="en-US" w:eastAsia="zh-CN"/>
        </w:rPr>
        <w:t>内容</w:t>
      </w:r>
    </w:p>
    <w:tbl>
      <w:tblPr>
        <w:tblStyle w:val="16"/>
        <w:tblW w:w="496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0"/>
        <w:gridCol w:w="8275"/>
      </w:tblGrid>
      <w:tr w14:paraId="53EF63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98" w:hRule="atLeast"/>
          <w:jc w:val="center"/>
        </w:trPr>
        <w:tc>
          <w:tcPr>
            <w:tcW w:w="400" w:type="pct"/>
            <w:noWrap w:val="0"/>
            <w:vAlign w:val="center"/>
          </w:tcPr>
          <w:p w14:paraId="29D3E0A7">
            <w:pPr>
              <w:pStyle w:val="15"/>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rPr>
                <w:rFonts w:hint="default" w:ascii="Times New Roman" w:hAnsi="Times New Roman" w:eastAsia="宋体" w:cs="宋体"/>
                <w:color w:val="auto"/>
                <w:szCs w:val="24"/>
                <w:lang w:val="en-US" w:eastAsia="zh-CN"/>
              </w:rPr>
            </w:pPr>
            <w:r>
              <w:rPr>
                <w:rFonts w:hint="eastAsia" w:ascii="Times New Roman" w:hAnsi="Times New Roman" w:eastAsia="宋体" w:cs="宋体"/>
                <w:color w:val="auto"/>
                <w:szCs w:val="24"/>
                <w:lang w:val="en-US" w:eastAsia="zh-CN"/>
              </w:rPr>
              <w:t>地理位置</w:t>
            </w:r>
          </w:p>
        </w:tc>
        <w:tc>
          <w:tcPr>
            <w:tcW w:w="4599" w:type="pct"/>
            <w:noWrap w:val="0"/>
            <w:vAlign w:val="top"/>
          </w:tcPr>
          <w:p w14:paraId="77827FCE">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陇县千河南岸新城污水处理厂人工湿地水质净化工程涉及陇县污水处理厂和千河南岸污水处理厂2座污水处理厂的配套人工湿地，其中陇县污水处理厂人工湿地位于城关镇东河桥头东侧，千河南岸污水处理厂人工湿地位于城关镇堡子身村。陇县污水处理厂人工湿地的主要建设内容为新建人工湿地7947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，千河南岸污水处理厂人工湿地主要建设内容为新建人工湿地6136m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，千河河段临河侧新建C20埋石砼护70m，铰链式生态护坡215m，大杜阳河河段新建C20埋石砼护岸188m，配套3m宽堤顶道路570m。</w:t>
            </w:r>
          </w:p>
          <w:p w14:paraId="3A7B5666">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陇县污水处理厂人工湿地中心坐标为</w:t>
            </w:r>
            <w:r>
              <w:rPr>
                <w:rFonts w:hint="default" w:ascii="Times New Roman" w:hAnsi="Times New Roman" w:eastAsia="宋体" w:cs="Times New Roman"/>
                <w:color w:val="auto"/>
                <w:sz w:val="24"/>
                <w:szCs w:val="24"/>
                <w:lang w:val="en-US" w:eastAsia="zh-CN"/>
              </w:rPr>
              <w:t>10</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宋体"/>
                <w:i w:val="0"/>
                <w:iCs w:val="0"/>
                <w:caps w:val="0"/>
                <w:color w:val="auto"/>
                <w:spacing w:val="0"/>
                <w:sz w:val="21"/>
                <w:szCs w:val="21"/>
                <w:shd w:val="clear" w:fill="FFFFFF"/>
                <w:lang w:val="en-US" w:eastAsia="en-US"/>
              </w:rPr>
              <w:t>°</w:t>
            </w:r>
            <w:r>
              <w:rPr>
                <w:rFonts w:hint="eastAsia" w:ascii="Times New Roman" w:hAnsi="Times New Roman" w:eastAsia="宋体" w:cs="Times New Roman"/>
                <w:color w:val="auto"/>
                <w:sz w:val="24"/>
                <w:szCs w:val="24"/>
                <w:lang w:val="en-US" w:eastAsia="zh-CN"/>
              </w:rPr>
              <w:t>52</w:t>
            </w:r>
            <w:r>
              <w:rPr>
                <w:rFonts w:hint="eastAsia" w:ascii="Times New Roman" w:hAnsi="Times New Roman" w:eastAsia="宋体" w:cs="Times New Roman"/>
                <w:i w:val="0"/>
                <w:iCs w:val="0"/>
                <w:caps w:val="0"/>
                <w:color w:val="auto"/>
                <w:spacing w:val="0"/>
                <w:sz w:val="21"/>
                <w:szCs w:val="21"/>
                <w:highlight w:val="none"/>
                <w:shd w:val="clear" w:fill="FFFFFF"/>
                <w:lang w:eastAsia="zh-CN"/>
              </w:rPr>
              <w:t>′</w:t>
            </w:r>
            <w:r>
              <w:rPr>
                <w:rFonts w:hint="eastAsia" w:ascii="Times New Roman" w:hAnsi="Times New Roman" w:eastAsia="宋体" w:cs="Times New Roman"/>
                <w:color w:val="auto"/>
                <w:sz w:val="24"/>
                <w:szCs w:val="24"/>
                <w:lang w:val="en-US" w:eastAsia="zh-CN"/>
              </w:rPr>
              <w:t>11.585</w:t>
            </w:r>
            <w:r>
              <w:rPr>
                <w:rFonts w:hint="eastAsia" w:ascii="Times New Roman" w:hAnsi="Times New Roman" w:eastAsia="宋体" w:cs="宋体"/>
                <w:i w:val="0"/>
                <w:iCs w:val="0"/>
                <w:caps w:val="0"/>
                <w:color w:val="auto"/>
                <w:spacing w:val="0"/>
                <w:sz w:val="21"/>
                <w:szCs w:val="21"/>
                <w:shd w:val="clear" w:fill="FFFFFF"/>
                <w:lang w:eastAsia="zh-CN"/>
              </w:rPr>
              <w:t>″</w:t>
            </w:r>
            <w:r>
              <w:rPr>
                <w:rFonts w:hint="default"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宋体"/>
                <w:i w:val="0"/>
                <w:iCs w:val="0"/>
                <w:caps w:val="0"/>
                <w:color w:val="auto"/>
                <w:spacing w:val="0"/>
                <w:sz w:val="21"/>
                <w:szCs w:val="21"/>
                <w:shd w:val="clear" w:fill="FFFFFF"/>
                <w:lang w:val="en-US" w:eastAsia="en-US"/>
              </w:rPr>
              <w:t>°</w:t>
            </w:r>
            <w:r>
              <w:rPr>
                <w:rFonts w:hint="eastAsia" w:ascii="Times New Roman" w:hAnsi="Times New Roman" w:eastAsia="宋体" w:cs="Times New Roman"/>
                <w:color w:val="auto"/>
                <w:sz w:val="24"/>
                <w:szCs w:val="24"/>
                <w:lang w:val="en-US" w:eastAsia="zh-CN"/>
              </w:rPr>
              <w:t>53</w:t>
            </w:r>
            <w:r>
              <w:rPr>
                <w:rFonts w:hint="eastAsia" w:ascii="Times New Roman" w:hAnsi="Times New Roman" w:eastAsia="宋体" w:cs="宋体"/>
                <w:i w:val="0"/>
                <w:iCs w:val="0"/>
                <w:caps w:val="0"/>
                <w:color w:val="auto"/>
                <w:spacing w:val="0"/>
                <w:sz w:val="21"/>
                <w:szCs w:val="21"/>
                <w:highlight w:val="none"/>
                <w:shd w:val="clear" w:fill="FFFFFF"/>
                <w:lang w:eastAsia="zh-CN"/>
              </w:rPr>
              <w:t>′</w:t>
            </w:r>
            <w:r>
              <w:rPr>
                <w:rFonts w:hint="eastAsia" w:ascii="Times New Roman" w:hAnsi="Times New Roman" w:eastAsia="宋体" w:cs="Times New Roman"/>
                <w:color w:val="auto"/>
                <w:sz w:val="24"/>
                <w:szCs w:val="24"/>
                <w:lang w:val="en-US" w:eastAsia="zh-CN"/>
              </w:rPr>
              <w:t>24.337″；</w:t>
            </w:r>
          </w:p>
          <w:p w14:paraId="1497E822">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千河南岸新城污水处理厂人工湿地：</w:t>
            </w:r>
            <w:r>
              <w:rPr>
                <w:rFonts w:hint="default" w:ascii="Times New Roman" w:hAnsi="Times New Roman" w:eastAsia="宋体" w:cs="Times New Roman"/>
                <w:color w:val="auto"/>
                <w:sz w:val="24"/>
                <w:szCs w:val="24"/>
                <w:lang w:val="en-US" w:eastAsia="zh-CN"/>
              </w:rPr>
              <w:t>10</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宋体"/>
                <w:i w:val="0"/>
                <w:iCs w:val="0"/>
                <w:caps w:val="0"/>
                <w:color w:val="auto"/>
                <w:spacing w:val="0"/>
                <w:sz w:val="21"/>
                <w:szCs w:val="21"/>
                <w:shd w:val="clear" w:fill="FFFFFF"/>
                <w:lang w:val="en-US" w:eastAsia="en-US"/>
              </w:rPr>
              <w:t>°</w:t>
            </w:r>
            <w:r>
              <w:rPr>
                <w:rFonts w:hint="eastAsia" w:ascii="Times New Roman" w:hAnsi="Times New Roman" w:eastAsia="宋体" w:cs="Times New Roman"/>
                <w:color w:val="auto"/>
                <w:sz w:val="24"/>
                <w:szCs w:val="24"/>
                <w:lang w:val="en-US" w:eastAsia="zh-CN"/>
              </w:rPr>
              <w:t>54</w:t>
            </w:r>
            <w:r>
              <w:rPr>
                <w:rFonts w:hint="eastAsia" w:ascii="Times New Roman" w:hAnsi="Times New Roman" w:eastAsia="宋体" w:cs="宋体"/>
                <w:i w:val="0"/>
                <w:iCs w:val="0"/>
                <w:caps w:val="0"/>
                <w:color w:val="auto"/>
                <w:spacing w:val="0"/>
                <w:sz w:val="21"/>
                <w:szCs w:val="21"/>
                <w:highlight w:val="none"/>
                <w:shd w:val="clear" w:fill="FFFFFF"/>
                <w:lang w:eastAsia="zh-CN"/>
              </w:rPr>
              <w:t>′</w:t>
            </w:r>
            <w:r>
              <w:rPr>
                <w:rFonts w:hint="eastAsia" w:ascii="Times New Roman" w:hAnsi="Times New Roman" w:eastAsia="宋体" w:cs="Times New Roman"/>
                <w:color w:val="auto"/>
                <w:sz w:val="24"/>
                <w:szCs w:val="24"/>
                <w:lang w:val="en-US" w:eastAsia="zh-CN"/>
              </w:rPr>
              <w:t>45.462</w:t>
            </w:r>
            <w:r>
              <w:rPr>
                <w:rFonts w:hint="eastAsia" w:ascii="Times New Roman" w:hAnsi="Times New Roman" w:eastAsia="宋体" w:cs="宋体"/>
                <w:i w:val="0"/>
                <w:iCs w:val="0"/>
                <w:caps w:val="0"/>
                <w:color w:val="auto"/>
                <w:spacing w:val="0"/>
                <w:sz w:val="21"/>
                <w:szCs w:val="21"/>
                <w:shd w:val="clear" w:fill="FFFFFF"/>
                <w:lang w:eastAsia="zh-CN"/>
              </w:rPr>
              <w:t>″</w:t>
            </w:r>
            <w:r>
              <w:rPr>
                <w:rFonts w:hint="default"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宋体"/>
                <w:i w:val="0"/>
                <w:iCs w:val="0"/>
                <w:caps w:val="0"/>
                <w:color w:val="auto"/>
                <w:spacing w:val="0"/>
                <w:sz w:val="21"/>
                <w:szCs w:val="21"/>
                <w:shd w:val="clear" w:fill="FFFFFF"/>
                <w:lang w:val="en-US" w:eastAsia="en-US"/>
              </w:rPr>
              <w:t>°</w:t>
            </w:r>
            <w:r>
              <w:rPr>
                <w:rFonts w:hint="eastAsia" w:ascii="Times New Roman" w:hAnsi="Times New Roman" w:eastAsia="宋体" w:cs="Times New Roman"/>
                <w:color w:val="auto"/>
                <w:sz w:val="24"/>
                <w:szCs w:val="24"/>
                <w:lang w:val="en-US" w:eastAsia="zh-CN"/>
              </w:rPr>
              <w:t>51</w:t>
            </w:r>
            <w:r>
              <w:rPr>
                <w:rFonts w:hint="eastAsia" w:ascii="Times New Roman" w:hAnsi="Times New Roman" w:eastAsia="宋体" w:cs="宋体"/>
                <w:i w:val="0"/>
                <w:iCs w:val="0"/>
                <w:caps w:val="0"/>
                <w:color w:val="auto"/>
                <w:spacing w:val="0"/>
                <w:sz w:val="21"/>
                <w:szCs w:val="21"/>
                <w:highlight w:val="none"/>
                <w:shd w:val="clear" w:fill="FFFFFF"/>
                <w:lang w:eastAsia="zh-CN"/>
              </w:rPr>
              <w:t>′</w:t>
            </w:r>
            <w:r>
              <w:rPr>
                <w:rFonts w:hint="eastAsia" w:ascii="Times New Roman" w:hAnsi="Times New Roman" w:eastAsia="宋体" w:cs="Times New Roman"/>
                <w:color w:val="auto"/>
                <w:sz w:val="24"/>
                <w:szCs w:val="24"/>
                <w:lang w:val="en-US" w:eastAsia="zh-CN"/>
              </w:rPr>
              <w:t>9.598</w:t>
            </w:r>
            <w:r>
              <w:rPr>
                <w:rFonts w:hint="eastAsia" w:ascii="Times New Roman" w:hAnsi="Times New Roman" w:eastAsia="宋体" w:cs="宋体"/>
                <w:i w:val="0"/>
                <w:iCs w:val="0"/>
                <w:caps w:val="0"/>
                <w:color w:val="auto"/>
                <w:spacing w:val="0"/>
                <w:sz w:val="21"/>
                <w:szCs w:val="21"/>
                <w:shd w:val="clear" w:fill="FFFFFF"/>
                <w:lang w:eastAsia="zh-CN"/>
              </w:rPr>
              <w:t>″</w:t>
            </w:r>
            <w:r>
              <w:rPr>
                <w:rFonts w:hint="eastAsia" w:ascii="Times New Roman" w:hAnsi="Times New Roman" w:eastAsia="宋体" w:cs="Times New Roman"/>
                <w:color w:val="auto"/>
                <w:sz w:val="24"/>
                <w:szCs w:val="24"/>
                <w:lang w:val="en-US" w:eastAsia="zh-CN"/>
              </w:rPr>
              <w:t>；</w:t>
            </w:r>
          </w:p>
          <w:p w14:paraId="405A554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lang w:val="en-US" w:eastAsia="en-US"/>
              </w:rPr>
            </w:pPr>
            <w:r>
              <w:rPr>
                <w:rFonts w:hint="eastAsia" w:ascii="Times New Roman" w:hAnsi="Times New Roman" w:eastAsia="宋体" w:cs="Times New Roman"/>
                <w:color w:val="auto"/>
                <w:sz w:val="24"/>
                <w:szCs w:val="24"/>
                <w:u w:val="none"/>
                <w:lang w:val="en-US" w:eastAsia="zh-CN"/>
              </w:rPr>
              <w:t>护岸、护坡</w:t>
            </w:r>
            <w:r>
              <w:rPr>
                <w:rFonts w:hint="default" w:ascii="Times New Roman" w:hAnsi="Times New Roman" w:eastAsia="宋体" w:cs="Times New Roman"/>
                <w:color w:val="auto"/>
                <w:sz w:val="24"/>
                <w:szCs w:val="24"/>
                <w:u w:val="none"/>
                <w:lang w:val="en-US" w:eastAsia="en-US"/>
              </w:rPr>
              <w:t>工程起点和终点位置及坐标见表2-1</w:t>
            </w:r>
            <w:r>
              <w:rPr>
                <w:rFonts w:hint="eastAsia" w:ascii="Times New Roman" w:hAnsi="Times New Roman" w:eastAsia="宋体" w:cs="Times New Roman"/>
                <w:color w:val="auto"/>
                <w:sz w:val="24"/>
                <w:szCs w:val="24"/>
                <w:u w:val="none"/>
                <w:lang w:val="en-US" w:eastAsia="zh-CN"/>
              </w:rPr>
              <w:t>，</w:t>
            </w:r>
            <w:r>
              <w:rPr>
                <w:rFonts w:hint="eastAsia" w:ascii="Times New Roman" w:hAnsi="Times New Roman" w:eastAsia="宋体" w:cs="Times New Roman"/>
                <w:color w:val="auto"/>
                <w:kern w:val="0"/>
                <w:sz w:val="24"/>
                <w:szCs w:val="24"/>
                <w:lang w:val="en-US" w:eastAsia="zh-CN" w:bidi="ar"/>
              </w:rPr>
              <w:t>工程</w:t>
            </w:r>
            <w:r>
              <w:rPr>
                <w:rFonts w:hint="default" w:ascii="Times New Roman" w:hAnsi="Times New Roman" w:eastAsia="宋体" w:cs="Times New Roman"/>
                <w:color w:val="auto"/>
                <w:kern w:val="0"/>
                <w:sz w:val="24"/>
                <w:szCs w:val="24"/>
                <w:lang w:val="en-US" w:eastAsia="zh-CN" w:bidi="ar"/>
              </w:rPr>
              <w:t>地理位置见附图1。</w:t>
            </w:r>
          </w:p>
          <w:p w14:paraId="354D71F9">
            <w:pPr>
              <w:pStyle w:val="5"/>
              <w:bidi w:val="0"/>
              <w:spacing w:line="240" w:lineRule="auto"/>
              <w:rPr>
                <w:rFonts w:hint="eastAsia" w:ascii="Times New Roman" w:hAnsi="Times New Roman" w:eastAsia="宋体" w:cs="宋体"/>
                <w:b/>
                <w:bCs/>
                <w:snapToGrid w:val="0"/>
                <w:color w:val="auto"/>
                <w:kern w:val="0"/>
                <w:sz w:val="21"/>
                <w:szCs w:val="21"/>
                <w:highlight w:val="none"/>
                <w:lang w:val="en-US" w:eastAsia="zh-CN" w:bidi="ar-SA"/>
              </w:rPr>
            </w:pPr>
            <w:r>
              <w:rPr>
                <w:rFonts w:ascii="Times New Roman" w:hAnsi="Times New Roman" w:eastAsia="宋体" w:cs="宋体"/>
                <w:b/>
                <w:bCs/>
                <w:snapToGrid w:val="0"/>
                <w:color w:val="auto"/>
                <w:spacing w:val="-2"/>
                <w:kern w:val="0"/>
                <w:sz w:val="21"/>
                <w:szCs w:val="21"/>
                <w:highlight w:val="none"/>
                <w:lang w:val="en-US" w:eastAsia="en-US" w:bidi="ar-SA"/>
              </w:rPr>
              <w:t>表</w:t>
            </w:r>
            <w:r>
              <w:rPr>
                <w:rFonts w:ascii="Times New Roman" w:hAnsi="Times New Roman" w:eastAsia="宋体" w:cs="Times New Roman"/>
                <w:b/>
                <w:bCs/>
                <w:snapToGrid w:val="0"/>
                <w:color w:val="auto"/>
                <w:spacing w:val="-2"/>
                <w:kern w:val="0"/>
                <w:sz w:val="21"/>
                <w:szCs w:val="21"/>
                <w:highlight w:val="none"/>
                <w:lang w:val="en-US" w:eastAsia="en-US" w:bidi="ar-SA"/>
              </w:rPr>
              <w:t>2-1</w:t>
            </w:r>
            <w:r>
              <w:rPr>
                <w:rFonts w:hint="eastAsia" w:ascii="Times New Roman" w:hAnsi="Times New Roman" w:eastAsia="宋体" w:cs="Times New Roman"/>
                <w:b/>
                <w:bCs/>
                <w:snapToGrid w:val="0"/>
                <w:color w:val="auto"/>
                <w:spacing w:val="-2"/>
                <w:kern w:val="0"/>
                <w:sz w:val="21"/>
                <w:szCs w:val="21"/>
                <w:highlight w:val="none"/>
                <w:lang w:val="en-US" w:eastAsia="zh-CN" w:bidi="ar-SA"/>
              </w:rPr>
              <w:t xml:space="preserve">  </w:t>
            </w:r>
            <w:r>
              <w:rPr>
                <w:rFonts w:ascii="Times New Roman" w:hAnsi="Times New Roman" w:eastAsia="宋体" w:cs="宋体"/>
                <w:b/>
                <w:bCs/>
                <w:snapToGrid w:val="0"/>
                <w:color w:val="auto"/>
                <w:spacing w:val="-2"/>
                <w:kern w:val="0"/>
                <w:sz w:val="21"/>
                <w:szCs w:val="21"/>
                <w:highlight w:val="none"/>
                <w:lang w:val="en-US" w:eastAsia="en-US" w:bidi="ar-SA"/>
              </w:rPr>
              <w:t>起点和终点位置及坐标</w:t>
            </w:r>
          </w:p>
          <w:p w14:paraId="645D0CD5">
            <w:pPr>
              <w:widowControl/>
              <w:kinsoku w:val="0"/>
              <w:autoSpaceDE w:val="0"/>
              <w:autoSpaceDN w:val="0"/>
              <w:adjustRightInd w:val="0"/>
              <w:snapToGrid w:val="0"/>
              <w:spacing w:line="22" w:lineRule="exact"/>
              <w:jc w:val="left"/>
              <w:textAlignment w:val="baseline"/>
              <w:rPr>
                <w:rFonts w:ascii="Times New Roman" w:hAnsi="Times New Roman" w:eastAsia="宋体" w:cs="Arial"/>
                <w:snapToGrid w:val="0"/>
                <w:color w:val="auto"/>
                <w:kern w:val="0"/>
                <w:szCs w:val="21"/>
                <w:lang w:eastAsia="en-US"/>
              </w:rPr>
            </w:pPr>
          </w:p>
          <w:tbl>
            <w:tblPr>
              <w:tblStyle w:val="36"/>
              <w:tblW w:w="5032" w:type="pct"/>
              <w:tblInd w:w="-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0"/>
              <w:gridCol w:w="1067"/>
              <w:gridCol w:w="1885"/>
              <w:gridCol w:w="1091"/>
              <w:gridCol w:w="1855"/>
              <w:gridCol w:w="1186"/>
            </w:tblGrid>
            <w:tr w14:paraId="4D179C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exact"/>
              </w:trPr>
              <w:tc>
                <w:tcPr>
                  <w:tcW w:w="629" w:type="pct"/>
                  <w:vAlign w:val="center"/>
                </w:tcPr>
                <w:p w14:paraId="195F7BAF">
                  <w:pPr>
                    <w:keepNext w:val="0"/>
                    <w:keepLines w:val="0"/>
                    <w:pageBreakBefore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岸别</w:t>
                  </w:r>
                </w:p>
              </w:tc>
              <w:tc>
                <w:tcPr>
                  <w:tcW w:w="658" w:type="pct"/>
                  <w:vAlign w:val="center"/>
                </w:tcPr>
                <w:p w14:paraId="165E373B">
                  <w:pPr>
                    <w:keepNext w:val="0"/>
                    <w:keepLines w:val="0"/>
                    <w:pageBreakBefore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spacing w:val="7"/>
                      <w:kern w:val="0"/>
                      <w:sz w:val="21"/>
                      <w:szCs w:val="21"/>
                      <w:lang w:val="en-US" w:eastAsia="zh-CN" w:bidi="ar-SA"/>
                    </w:rPr>
                    <w:t>中心坐标/</w:t>
                  </w:r>
                  <w:r>
                    <w:rPr>
                      <w:rFonts w:ascii="Times New Roman" w:hAnsi="Times New Roman" w:eastAsia="宋体" w:cs="Times New Roman"/>
                      <w:snapToGrid w:val="0"/>
                      <w:color w:val="auto"/>
                      <w:spacing w:val="7"/>
                      <w:kern w:val="0"/>
                      <w:sz w:val="21"/>
                      <w:szCs w:val="21"/>
                      <w:lang w:val="en-US" w:eastAsia="en-US" w:bidi="ar-SA"/>
                    </w:rPr>
                    <w:t>起点</w:t>
                  </w:r>
                  <w:r>
                    <w:rPr>
                      <w:rFonts w:hint="eastAsia" w:ascii="Times New Roman" w:hAnsi="Times New Roman" w:eastAsia="宋体" w:cs="Times New Roman"/>
                      <w:snapToGrid w:val="0"/>
                      <w:color w:val="auto"/>
                      <w:spacing w:val="7"/>
                      <w:kern w:val="0"/>
                      <w:sz w:val="21"/>
                      <w:szCs w:val="21"/>
                      <w:lang w:val="en-US" w:eastAsia="zh-CN" w:bidi="ar-SA"/>
                    </w:rPr>
                    <w:t>桩号</w:t>
                  </w:r>
                </w:p>
              </w:tc>
              <w:tc>
                <w:tcPr>
                  <w:tcW w:w="1163" w:type="pct"/>
                  <w:vAlign w:val="center"/>
                </w:tcPr>
                <w:p w14:paraId="2EBAE6BB">
                  <w:pPr>
                    <w:keepNext w:val="0"/>
                    <w:keepLines w:val="0"/>
                    <w:pageBreakBefore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ascii="Times New Roman" w:hAnsi="Times New Roman" w:eastAsia="宋体" w:cs="Times New Roman"/>
                      <w:snapToGrid w:val="0"/>
                      <w:color w:val="auto"/>
                      <w:kern w:val="0"/>
                      <w:sz w:val="21"/>
                      <w:szCs w:val="21"/>
                      <w:lang w:val="en-US" w:eastAsia="en-US" w:bidi="ar-SA"/>
                    </w:rPr>
                  </w:pPr>
                  <w:r>
                    <w:rPr>
                      <w:rFonts w:ascii="Times New Roman" w:hAnsi="Times New Roman" w:eastAsia="宋体" w:cs="Times New Roman"/>
                      <w:snapToGrid w:val="0"/>
                      <w:color w:val="auto"/>
                      <w:spacing w:val="7"/>
                      <w:kern w:val="0"/>
                      <w:sz w:val="21"/>
                      <w:szCs w:val="21"/>
                      <w:lang w:val="en-US" w:eastAsia="en-US" w:bidi="ar-SA"/>
                    </w:rPr>
                    <w:t>起点坐标</w:t>
                  </w:r>
                </w:p>
              </w:tc>
              <w:tc>
                <w:tcPr>
                  <w:tcW w:w="673" w:type="pct"/>
                  <w:vAlign w:val="center"/>
                </w:tcPr>
                <w:p w14:paraId="42550ADB">
                  <w:pPr>
                    <w:keepNext w:val="0"/>
                    <w:keepLines w:val="0"/>
                    <w:pageBreakBefore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ascii="Times New Roman" w:hAnsi="Times New Roman" w:eastAsia="宋体" w:cs="Times New Roman"/>
                      <w:snapToGrid w:val="0"/>
                      <w:color w:val="auto"/>
                      <w:spacing w:val="6"/>
                      <w:kern w:val="0"/>
                      <w:sz w:val="21"/>
                      <w:szCs w:val="21"/>
                      <w:lang w:val="en-US" w:eastAsia="en-US" w:bidi="ar-SA"/>
                    </w:rPr>
                    <w:t>终点</w:t>
                  </w:r>
                  <w:r>
                    <w:rPr>
                      <w:rFonts w:hint="eastAsia" w:ascii="Times New Roman" w:hAnsi="Times New Roman" w:eastAsia="宋体" w:cs="Times New Roman"/>
                      <w:snapToGrid w:val="0"/>
                      <w:color w:val="auto"/>
                      <w:spacing w:val="6"/>
                      <w:kern w:val="0"/>
                      <w:sz w:val="21"/>
                      <w:szCs w:val="21"/>
                      <w:lang w:val="en-US" w:eastAsia="zh-CN" w:bidi="ar-SA"/>
                    </w:rPr>
                    <w:t>桩号</w:t>
                  </w:r>
                </w:p>
              </w:tc>
              <w:tc>
                <w:tcPr>
                  <w:tcW w:w="1144" w:type="pct"/>
                  <w:vAlign w:val="center"/>
                </w:tcPr>
                <w:p w14:paraId="4F2D03AC">
                  <w:pPr>
                    <w:keepNext w:val="0"/>
                    <w:keepLines w:val="0"/>
                    <w:pageBreakBefore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ascii="Times New Roman" w:hAnsi="Times New Roman" w:eastAsia="宋体" w:cs="Times New Roman"/>
                      <w:snapToGrid w:val="0"/>
                      <w:color w:val="auto"/>
                      <w:kern w:val="0"/>
                      <w:sz w:val="21"/>
                      <w:szCs w:val="21"/>
                      <w:lang w:val="en-US" w:eastAsia="en-US" w:bidi="ar-SA"/>
                    </w:rPr>
                  </w:pPr>
                  <w:r>
                    <w:rPr>
                      <w:rFonts w:ascii="Times New Roman" w:hAnsi="Times New Roman" w:eastAsia="宋体" w:cs="Times New Roman"/>
                      <w:snapToGrid w:val="0"/>
                      <w:color w:val="auto"/>
                      <w:spacing w:val="6"/>
                      <w:kern w:val="0"/>
                      <w:sz w:val="21"/>
                      <w:szCs w:val="21"/>
                      <w:lang w:val="en-US" w:eastAsia="en-US" w:bidi="ar-SA"/>
                    </w:rPr>
                    <w:t>终点坐标</w:t>
                  </w:r>
                </w:p>
              </w:tc>
              <w:tc>
                <w:tcPr>
                  <w:tcW w:w="731" w:type="pct"/>
                  <w:vAlign w:val="center"/>
                </w:tcPr>
                <w:p w14:paraId="286FD457">
                  <w:pPr>
                    <w:keepNext w:val="0"/>
                    <w:keepLines w:val="0"/>
                    <w:pageBreakBefore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ascii="Times New Roman" w:hAnsi="Times New Roman" w:eastAsia="宋体" w:cs="Times New Roman"/>
                      <w:snapToGrid w:val="0"/>
                      <w:color w:val="auto"/>
                      <w:kern w:val="0"/>
                      <w:sz w:val="21"/>
                      <w:szCs w:val="21"/>
                      <w:lang w:val="en-US" w:eastAsia="en-US" w:bidi="ar-SA"/>
                    </w:rPr>
                  </w:pPr>
                  <w:r>
                    <w:rPr>
                      <w:rFonts w:ascii="Times New Roman" w:hAnsi="Times New Roman" w:eastAsia="宋体" w:cs="Times New Roman"/>
                      <w:snapToGrid w:val="0"/>
                      <w:color w:val="auto"/>
                      <w:spacing w:val="6"/>
                      <w:kern w:val="0"/>
                      <w:sz w:val="21"/>
                      <w:szCs w:val="21"/>
                      <w:lang w:val="en-US" w:eastAsia="en-US" w:bidi="ar-SA"/>
                    </w:rPr>
                    <w:t>长</w:t>
                  </w:r>
                  <w:r>
                    <w:rPr>
                      <w:rFonts w:ascii="Times New Roman" w:hAnsi="Times New Roman" w:eastAsia="宋体" w:cs="Times New Roman"/>
                      <w:snapToGrid w:val="0"/>
                      <w:color w:val="auto"/>
                      <w:spacing w:val="3"/>
                      <w:kern w:val="0"/>
                      <w:position w:val="1"/>
                      <w:sz w:val="21"/>
                      <w:szCs w:val="21"/>
                      <w:lang w:val="en-US" w:eastAsia="en-US" w:bidi="ar-SA"/>
                    </w:rPr>
                    <w:t>度/m</w:t>
                  </w:r>
                </w:p>
              </w:tc>
            </w:tr>
            <w:tr w14:paraId="2B5892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exact"/>
              </w:trPr>
              <w:tc>
                <w:tcPr>
                  <w:tcW w:w="629" w:type="pct"/>
                  <w:tcBorders>
                    <w:top w:val="single" w:color="auto" w:sz="4" w:space="0"/>
                  </w:tcBorders>
                  <w:vAlign w:val="center"/>
                </w:tcPr>
                <w:p w14:paraId="592E1098">
                  <w:pPr>
                    <w:keepNext w:val="0"/>
                    <w:keepLines w:val="0"/>
                    <w:pageBreakBefore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eastAsia" w:ascii="Times New Roman" w:hAnsi="Times New Roman" w:eastAsia="宋体" w:cs="Times New Roman"/>
                      <w:snapToGrid w:val="0"/>
                      <w:color w:val="auto"/>
                      <w:kern w:val="0"/>
                      <w:sz w:val="21"/>
                      <w:szCs w:val="21"/>
                      <w:lang w:val="en-US" w:eastAsia="zh-CN" w:bidi="ar-SA"/>
                    </w:rPr>
                    <w:t>千河河段护岸</w:t>
                  </w:r>
                </w:p>
              </w:tc>
              <w:tc>
                <w:tcPr>
                  <w:tcW w:w="658" w:type="pct"/>
                  <w:tcBorders>
                    <w:top w:val="single" w:color="auto" w:sz="4" w:space="0"/>
                  </w:tcBorders>
                  <w:vAlign w:val="center"/>
                </w:tcPr>
                <w:p w14:paraId="329B394F">
                  <w:pPr>
                    <w:keepNext w:val="0"/>
                    <w:keepLines w:val="0"/>
                    <w:pageBreakBefore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H0+000</w:t>
                  </w:r>
                </w:p>
              </w:tc>
              <w:tc>
                <w:tcPr>
                  <w:tcW w:w="1163" w:type="pct"/>
                  <w:vAlign w:val="center"/>
                </w:tcPr>
                <w:p w14:paraId="7017C9C6">
                  <w:pPr>
                    <w:keepNext w:val="0"/>
                    <w:keepLines w:val="0"/>
                    <w:pageBreakBefore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Times New Roman" w:hAnsi="Times New Roman" w:eastAsia="宋体" w:cs="Times New Roman"/>
                      <w:i w:val="0"/>
                      <w:iCs w:val="0"/>
                      <w:caps w:val="0"/>
                      <w:color w:val="auto"/>
                      <w:spacing w:val="0"/>
                      <w:sz w:val="21"/>
                      <w:szCs w:val="21"/>
                      <w:shd w:val="clear" w:fill="FFFFFF"/>
                      <w:lang w:val="en-US" w:eastAsia="zh-CN"/>
                    </w:rPr>
                  </w:pPr>
                  <w:r>
                    <w:rPr>
                      <w:rFonts w:hint="eastAsia" w:ascii="Times New Roman" w:hAnsi="Times New Roman" w:eastAsia="宋体" w:cs="Times New Roman"/>
                      <w:i w:val="0"/>
                      <w:iCs w:val="0"/>
                      <w:caps w:val="0"/>
                      <w:color w:val="auto"/>
                      <w:spacing w:val="0"/>
                      <w:sz w:val="21"/>
                      <w:szCs w:val="21"/>
                      <w:shd w:val="clear" w:fill="FFFFFF"/>
                      <w:lang w:val="en-US" w:eastAsia="en-US"/>
                    </w:rPr>
                    <w:t>E10</w:t>
                  </w:r>
                  <w:r>
                    <w:rPr>
                      <w:rFonts w:hint="eastAsia" w:ascii="Times New Roman" w:hAnsi="Times New Roman" w:eastAsia="宋体" w:cs="Times New Roman"/>
                      <w:i w:val="0"/>
                      <w:iCs w:val="0"/>
                      <w:caps w:val="0"/>
                      <w:color w:val="auto"/>
                      <w:spacing w:val="0"/>
                      <w:sz w:val="21"/>
                      <w:szCs w:val="21"/>
                      <w:shd w:val="clear" w:fill="FFFFFF"/>
                      <w:lang w:val="en-US" w:eastAsia="zh-CN"/>
                    </w:rPr>
                    <w:t>6</w:t>
                  </w:r>
                  <w:r>
                    <w:rPr>
                      <w:rFonts w:hint="default" w:ascii="Times New Roman" w:hAnsi="Times New Roman" w:eastAsia="宋体" w:cs="Times New Roman"/>
                      <w:i w:val="0"/>
                      <w:iCs w:val="0"/>
                      <w:caps w:val="0"/>
                      <w:color w:val="auto"/>
                      <w:spacing w:val="0"/>
                      <w:sz w:val="21"/>
                      <w:szCs w:val="21"/>
                      <w:shd w:val="clear" w:fill="FFFFFF"/>
                      <w:lang w:val="en-US" w:eastAsia="en-US"/>
                    </w:rPr>
                    <w:t>°</w:t>
                  </w:r>
                  <w:r>
                    <w:rPr>
                      <w:rFonts w:hint="eastAsia" w:ascii="Times New Roman" w:hAnsi="Times New Roman" w:eastAsia="宋体" w:cs="Times New Roman"/>
                      <w:i w:val="0"/>
                      <w:iCs w:val="0"/>
                      <w:caps w:val="0"/>
                      <w:color w:val="auto"/>
                      <w:spacing w:val="0"/>
                      <w:sz w:val="21"/>
                      <w:szCs w:val="21"/>
                      <w:shd w:val="clear" w:fill="FFFFFF"/>
                      <w:lang w:val="en-US" w:eastAsia="zh-CN"/>
                    </w:rPr>
                    <w:t>54′44.805</w:t>
                  </w:r>
                  <w:r>
                    <w:rPr>
                      <w:rFonts w:hint="eastAsia" w:ascii="Times New Roman" w:hAnsi="Times New Roman" w:eastAsia="宋体" w:cs="Times New Roman"/>
                      <w:i w:val="0"/>
                      <w:iCs w:val="0"/>
                      <w:caps w:val="0"/>
                      <w:color w:val="auto"/>
                      <w:spacing w:val="0"/>
                      <w:sz w:val="21"/>
                      <w:szCs w:val="21"/>
                      <w:shd w:val="clear" w:fill="FFFFFF"/>
                      <w:lang w:val="en-US" w:eastAsia="en-US"/>
                    </w:rPr>
                    <w:t>″</w:t>
                  </w:r>
                  <w:r>
                    <w:rPr>
                      <w:rFonts w:hint="eastAsia" w:ascii="Times New Roman" w:hAnsi="Times New Roman" w:eastAsia="宋体" w:cs="Times New Roman"/>
                      <w:i w:val="0"/>
                      <w:iCs w:val="0"/>
                      <w:caps w:val="0"/>
                      <w:color w:val="auto"/>
                      <w:spacing w:val="0"/>
                      <w:sz w:val="21"/>
                      <w:szCs w:val="21"/>
                      <w:shd w:val="clear" w:fill="FFFFFF"/>
                      <w:lang w:val="en-US" w:eastAsia="zh-CN"/>
                    </w:rPr>
                    <w:t>、</w:t>
                  </w:r>
                </w:p>
                <w:p w14:paraId="05070766">
                  <w:pPr>
                    <w:keepNext w:val="0"/>
                    <w:keepLines w:val="0"/>
                    <w:pageBreakBefore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Times New Roman" w:hAnsi="Times New Roman" w:eastAsia="宋体" w:cs="Times New Roman"/>
                      <w:i w:val="0"/>
                      <w:iCs w:val="0"/>
                      <w:caps w:val="0"/>
                      <w:color w:val="auto"/>
                      <w:spacing w:val="0"/>
                      <w:sz w:val="21"/>
                      <w:szCs w:val="21"/>
                      <w:shd w:val="clear" w:fill="FFFFFF"/>
                      <w:lang w:val="en-US" w:eastAsia="zh-CN"/>
                    </w:rPr>
                  </w:pPr>
                  <w:r>
                    <w:rPr>
                      <w:rFonts w:hint="eastAsia" w:ascii="Times New Roman" w:hAnsi="Times New Roman" w:eastAsia="宋体" w:cs="Times New Roman"/>
                      <w:i w:val="0"/>
                      <w:iCs w:val="0"/>
                      <w:caps w:val="0"/>
                      <w:color w:val="auto"/>
                      <w:spacing w:val="0"/>
                      <w:sz w:val="21"/>
                      <w:szCs w:val="21"/>
                      <w:shd w:val="clear" w:fill="FFFFFF"/>
                      <w:lang w:val="en-US" w:eastAsia="zh-CN"/>
                    </w:rPr>
                    <w:t>N</w:t>
                  </w:r>
                  <w:r>
                    <w:rPr>
                      <w:rFonts w:hint="eastAsia" w:ascii="Times New Roman" w:hAnsi="Times New Roman" w:eastAsia="宋体" w:cs="Times New Roman"/>
                      <w:i w:val="0"/>
                      <w:iCs w:val="0"/>
                      <w:caps w:val="0"/>
                      <w:color w:val="auto"/>
                      <w:spacing w:val="0"/>
                      <w:sz w:val="21"/>
                      <w:szCs w:val="21"/>
                      <w:shd w:val="clear" w:fill="FFFFFF"/>
                      <w:lang w:val="en-US" w:eastAsia="en-US"/>
                    </w:rPr>
                    <w:t>3</w:t>
                  </w:r>
                  <w:r>
                    <w:rPr>
                      <w:rFonts w:hint="eastAsia" w:ascii="Times New Roman" w:hAnsi="Times New Roman" w:eastAsia="宋体" w:cs="Times New Roman"/>
                      <w:i w:val="0"/>
                      <w:iCs w:val="0"/>
                      <w:caps w:val="0"/>
                      <w:color w:val="auto"/>
                      <w:spacing w:val="0"/>
                      <w:sz w:val="21"/>
                      <w:szCs w:val="21"/>
                      <w:shd w:val="clear" w:fill="FFFFFF"/>
                      <w:lang w:val="en-US" w:eastAsia="zh-CN"/>
                    </w:rPr>
                    <w:t>4</w:t>
                  </w:r>
                  <w:r>
                    <w:rPr>
                      <w:rFonts w:hint="default" w:ascii="Times New Roman" w:hAnsi="Times New Roman" w:eastAsia="宋体" w:cs="Times New Roman"/>
                      <w:i w:val="0"/>
                      <w:iCs w:val="0"/>
                      <w:caps w:val="0"/>
                      <w:color w:val="auto"/>
                      <w:spacing w:val="0"/>
                      <w:sz w:val="21"/>
                      <w:szCs w:val="21"/>
                      <w:shd w:val="clear" w:fill="FFFFFF"/>
                      <w:lang w:val="en-US" w:eastAsia="en-US"/>
                    </w:rPr>
                    <w:t>°</w:t>
                  </w:r>
                  <w:r>
                    <w:rPr>
                      <w:rFonts w:hint="eastAsia" w:ascii="Times New Roman" w:hAnsi="Times New Roman" w:eastAsia="宋体" w:cs="Times New Roman"/>
                      <w:i w:val="0"/>
                      <w:iCs w:val="0"/>
                      <w:caps w:val="0"/>
                      <w:color w:val="auto"/>
                      <w:spacing w:val="0"/>
                      <w:sz w:val="21"/>
                      <w:szCs w:val="21"/>
                      <w:shd w:val="clear" w:fill="FFFFFF"/>
                      <w:lang w:val="en-US" w:eastAsia="zh-CN"/>
                    </w:rPr>
                    <w:t>51′4.356″</w:t>
                  </w:r>
                </w:p>
              </w:tc>
              <w:tc>
                <w:tcPr>
                  <w:tcW w:w="673" w:type="pct"/>
                  <w:vAlign w:val="center"/>
                </w:tcPr>
                <w:p w14:paraId="5AC80BD2">
                  <w:pPr>
                    <w:keepNext w:val="0"/>
                    <w:keepLines w:val="0"/>
                    <w:pageBreakBefore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i w:val="0"/>
                      <w:iCs w:val="0"/>
                      <w:caps w:val="0"/>
                      <w:color w:val="auto"/>
                      <w:spacing w:val="0"/>
                      <w:sz w:val="21"/>
                      <w:szCs w:val="21"/>
                      <w:shd w:val="clear" w:fill="FFFFFF"/>
                      <w:lang w:val="en-US" w:eastAsia="zh-CN"/>
                    </w:rPr>
                  </w:pPr>
                  <w:r>
                    <w:rPr>
                      <w:rFonts w:hint="eastAsia" w:ascii="Times New Roman" w:hAnsi="Times New Roman" w:eastAsia="宋体" w:cs="Times New Roman"/>
                      <w:i w:val="0"/>
                      <w:iCs w:val="0"/>
                      <w:caps w:val="0"/>
                      <w:color w:val="auto"/>
                      <w:spacing w:val="0"/>
                      <w:sz w:val="21"/>
                      <w:szCs w:val="21"/>
                      <w:shd w:val="clear" w:fill="FFFFFF"/>
                      <w:lang w:val="en-US" w:eastAsia="zh-CN"/>
                    </w:rPr>
                    <w:t>H0+070</w:t>
                  </w:r>
                </w:p>
              </w:tc>
              <w:tc>
                <w:tcPr>
                  <w:tcW w:w="1144" w:type="pct"/>
                  <w:vAlign w:val="center"/>
                </w:tcPr>
                <w:p w14:paraId="092E97DB">
                  <w:pPr>
                    <w:keepNext w:val="0"/>
                    <w:keepLines w:val="0"/>
                    <w:pageBreakBefore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Times New Roman" w:hAnsi="Times New Roman" w:eastAsia="宋体" w:cs="Times New Roman"/>
                      <w:i w:val="0"/>
                      <w:iCs w:val="0"/>
                      <w:caps w:val="0"/>
                      <w:color w:val="auto"/>
                      <w:spacing w:val="0"/>
                      <w:sz w:val="21"/>
                      <w:szCs w:val="21"/>
                      <w:shd w:val="clear" w:fill="FFFFFF"/>
                      <w:lang w:val="en-US" w:eastAsia="zh-CN"/>
                    </w:rPr>
                  </w:pPr>
                  <w:r>
                    <w:rPr>
                      <w:rFonts w:hint="eastAsia" w:ascii="Times New Roman" w:hAnsi="Times New Roman" w:eastAsia="宋体" w:cs="Times New Roman"/>
                      <w:i w:val="0"/>
                      <w:iCs w:val="0"/>
                      <w:caps w:val="0"/>
                      <w:color w:val="auto"/>
                      <w:spacing w:val="0"/>
                      <w:sz w:val="21"/>
                      <w:szCs w:val="21"/>
                      <w:shd w:val="clear" w:fill="FFFFFF"/>
                      <w:lang w:val="en-US" w:eastAsia="en-US"/>
                    </w:rPr>
                    <w:t>E10</w:t>
                  </w:r>
                  <w:r>
                    <w:rPr>
                      <w:rFonts w:hint="eastAsia" w:ascii="Times New Roman" w:hAnsi="Times New Roman" w:eastAsia="宋体" w:cs="Times New Roman"/>
                      <w:i w:val="0"/>
                      <w:iCs w:val="0"/>
                      <w:caps w:val="0"/>
                      <w:color w:val="auto"/>
                      <w:spacing w:val="0"/>
                      <w:sz w:val="21"/>
                      <w:szCs w:val="21"/>
                      <w:shd w:val="clear" w:fill="FFFFFF"/>
                      <w:lang w:val="en-US" w:eastAsia="zh-CN"/>
                    </w:rPr>
                    <w:t>6</w:t>
                  </w:r>
                  <w:r>
                    <w:rPr>
                      <w:rFonts w:hint="default" w:ascii="Times New Roman" w:hAnsi="Times New Roman" w:eastAsia="宋体" w:cs="Times New Roman"/>
                      <w:i w:val="0"/>
                      <w:iCs w:val="0"/>
                      <w:caps w:val="0"/>
                      <w:color w:val="auto"/>
                      <w:spacing w:val="0"/>
                      <w:sz w:val="21"/>
                      <w:szCs w:val="21"/>
                      <w:shd w:val="clear" w:fill="FFFFFF"/>
                      <w:lang w:val="en-US" w:eastAsia="en-US"/>
                    </w:rPr>
                    <w:t>°</w:t>
                  </w:r>
                  <w:r>
                    <w:rPr>
                      <w:rFonts w:hint="eastAsia" w:ascii="Times New Roman" w:hAnsi="Times New Roman" w:eastAsia="宋体" w:cs="Times New Roman"/>
                      <w:i w:val="0"/>
                      <w:iCs w:val="0"/>
                      <w:caps w:val="0"/>
                      <w:color w:val="auto"/>
                      <w:spacing w:val="0"/>
                      <w:sz w:val="21"/>
                      <w:szCs w:val="21"/>
                      <w:shd w:val="clear" w:fill="FFFFFF"/>
                      <w:lang w:val="en-US" w:eastAsia="zh-CN"/>
                    </w:rPr>
                    <w:t>54′42.551</w:t>
                  </w:r>
                  <w:r>
                    <w:rPr>
                      <w:rFonts w:hint="default" w:ascii="Times New Roman" w:hAnsi="Times New Roman" w:eastAsia="宋体" w:cs="Times New Roman"/>
                      <w:i w:val="0"/>
                      <w:iCs w:val="0"/>
                      <w:caps w:val="0"/>
                      <w:color w:val="auto"/>
                      <w:spacing w:val="0"/>
                      <w:sz w:val="21"/>
                      <w:szCs w:val="21"/>
                      <w:shd w:val="clear" w:fill="FFFFFF"/>
                      <w:lang w:val="en-US" w:eastAsia="zh-CN"/>
                    </w:rPr>
                    <w:t>″</w:t>
                  </w:r>
                  <w:r>
                    <w:rPr>
                      <w:rFonts w:hint="eastAsia" w:ascii="Times New Roman" w:hAnsi="Times New Roman" w:eastAsia="宋体" w:cs="Times New Roman"/>
                      <w:i w:val="0"/>
                      <w:iCs w:val="0"/>
                      <w:caps w:val="0"/>
                      <w:color w:val="auto"/>
                      <w:spacing w:val="0"/>
                      <w:sz w:val="21"/>
                      <w:szCs w:val="21"/>
                      <w:shd w:val="clear" w:fill="FFFFFF"/>
                      <w:lang w:val="en-US" w:eastAsia="zh-CN"/>
                    </w:rPr>
                    <w:t>、</w:t>
                  </w:r>
                </w:p>
                <w:p w14:paraId="04F56E54">
                  <w:pPr>
                    <w:keepNext w:val="0"/>
                    <w:keepLines w:val="0"/>
                    <w:pageBreakBefore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Times New Roman" w:hAnsi="Times New Roman" w:eastAsia="宋体" w:cs="Times New Roman"/>
                      <w:i w:val="0"/>
                      <w:iCs w:val="0"/>
                      <w:caps w:val="0"/>
                      <w:color w:val="auto"/>
                      <w:spacing w:val="0"/>
                      <w:sz w:val="21"/>
                      <w:szCs w:val="21"/>
                      <w:shd w:val="clear" w:fill="FFFFFF"/>
                      <w:lang w:val="en-US" w:eastAsia="zh-CN"/>
                    </w:rPr>
                  </w:pPr>
                  <w:r>
                    <w:rPr>
                      <w:rFonts w:hint="eastAsia" w:ascii="Times New Roman" w:hAnsi="Times New Roman" w:eastAsia="宋体" w:cs="Times New Roman"/>
                      <w:i w:val="0"/>
                      <w:iCs w:val="0"/>
                      <w:caps w:val="0"/>
                      <w:color w:val="auto"/>
                      <w:spacing w:val="0"/>
                      <w:sz w:val="21"/>
                      <w:szCs w:val="21"/>
                      <w:shd w:val="clear" w:fill="FFFFFF"/>
                      <w:lang w:val="en-US" w:eastAsia="zh-CN"/>
                    </w:rPr>
                    <w:t>N</w:t>
                  </w:r>
                  <w:r>
                    <w:rPr>
                      <w:rFonts w:hint="eastAsia" w:ascii="Times New Roman" w:hAnsi="Times New Roman" w:eastAsia="宋体" w:cs="Times New Roman"/>
                      <w:i w:val="0"/>
                      <w:iCs w:val="0"/>
                      <w:caps w:val="0"/>
                      <w:color w:val="auto"/>
                      <w:spacing w:val="0"/>
                      <w:sz w:val="21"/>
                      <w:szCs w:val="21"/>
                      <w:shd w:val="clear" w:fill="FFFFFF"/>
                      <w:lang w:val="en-US" w:eastAsia="en-US"/>
                    </w:rPr>
                    <w:t>3</w:t>
                  </w:r>
                  <w:r>
                    <w:rPr>
                      <w:rFonts w:hint="eastAsia" w:ascii="Times New Roman" w:hAnsi="Times New Roman" w:eastAsia="宋体" w:cs="Times New Roman"/>
                      <w:i w:val="0"/>
                      <w:iCs w:val="0"/>
                      <w:caps w:val="0"/>
                      <w:color w:val="auto"/>
                      <w:spacing w:val="0"/>
                      <w:sz w:val="21"/>
                      <w:szCs w:val="21"/>
                      <w:shd w:val="clear" w:fill="FFFFFF"/>
                      <w:lang w:val="en-US" w:eastAsia="zh-CN"/>
                    </w:rPr>
                    <w:t>4</w:t>
                  </w:r>
                  <w:r>
                    <w:rPr>
                      <w:rFonts w:hint="default" w:ascii="Times New Roman" w:hAnsi="Times New Roman" w:eastAsia="宋体" w:cs="Times New Roman"/>
                      <w:i w:val="0"/>
                      <w:iCs w:val="0"/>
                      <w:caps w:val="0"/>
                      <w:color w:val="auto"/>
                      <w:spacing w:val="0"/>
                      <w:sz w:val="21"/>
                      <w:szCs w:val="21"/>
                      <w:shd w:val="clear" w:fill="FFFFFF"/>
                      <w:lang w:val="en-US" w:eastAsia="en-US"/>
                    </w:rPr>
                    <w:t>°</w:t>
                  </w:r>
                  <w:r>
                    <w:rPr>
                      <w:rFonts w:hint="eastAsia" w:ascii="Times New Roman" w:hAnsi="Times New Roman" w:eastAsia="宋体" w:cs="Times New Roman"/>
                      <w:i w:val="0"/>
                      <w:iCs w:val="0"/>
                      <w:caps w:val="0"/>
                      <w:color w:val="auto"/>
                      <w:spacing w:val="0"/>
                      <w:sz w:val="21"/>
                      <w:szCs w:val="21"/>
                      <w:shd w:val="clear" w:fill="FFFFFF"/>
                      <w:lang w:val="en-US" w:eastAsia="zh-CN"/>
                    </w:rPr>
                    <w:t>51′3.733″</w:t>
                  </w:r>
                </w:p>
              </w:tc>
              <w:tc>
                <w:tcPr>
                  <w:tcW w:w="731" w:type="pct"/>
                  <w:vAlign w:val="center"/>
                </w:tcPr>
                <w:p w14:paraId="0CB8642D">
                  <w:pPr>
                    <w:keepNext w:val="0"/>
                    <w:keepLines w:val="0"/>
                    <w:pageBreakBefore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i w:val="0"/>
                      <w:iCs w:val="0"/>
                      <w:caps w:val="0"/>
                      <w:color w:val="auto"/>
                      <w:spacing w:val="0"/>
                      <w:sz w:val="21"/>
                      <w:szCs w:val="21"/>
                      <w:shd w:val="clear" w:fill="FFFFFF"/>
                      <w:lang w:val="en-US" w:eastAsia="zh-CN"/>
                    </w:rPr>
                  </w:pPr>
                  <w:r>
                    <w:rPr>
                      <w:rFonts w:hint="eastAsia" w:ascii="Times New Roman" w:hAnsi="Times New Roman" w:eastAsia="宋体" w:cs="Times New Roman"/>
                      <w:i w:val="0"/>
                      <w:iCs w:val="0"/>
                      <w:caps w:val="0"/>
                      <w:color w:val="auto"/>
                      <w:spacing w:val="0"/>
                      <w:sz w:val="21"/>
                      <w:szCs w:val="21"/>
                      <w:shd w:val="clear" w:fill="FFFFFF"/>
                      <w:lang w:val="en-US" w:eastAsia="zh-CN"/>
                    </w:rPr>
                    <w:t>70</w:t>
                  </w:r>
                </w:p>
              </w:tc>
            </w:tr>
            <w:tr w14:paraId="19FFDD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exact"/>
              </w:trPr>
              <w:tc>
                <w:tcPr>
                  <w:tcW w:w="629" w:type="pct"/>
                  <w:tcBorders>
                    <w:top w:val="single" w:color="auto" w:sz="4" w:space="0"/>
                  </w:tcBorders>
                  <w:vAlign w:val="center"/>
                </w:tcPr>
                <w:p w14:paraId="20776558">
                  <w:pPr>
                    <w:keepNext w:val="0"/>
                    <w:keepLines w:val="0"/>
                    <w:pageBreakBefore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千河河段铰链式护坡</w:t>
                  </w:r>
                </w:p>
              </w:tc>
              <w:tc>
                <w:tcPr>
                  <w:tcW w:w="658" w:type="pct"/>
                  <w:tcBorders>
                    <w:top w:val="single" w:color="auto" w:sz="4" w:space="0"/>
                  </w:tcBorders>
                  <w:vAlign w:val="center"/>
                </w:tcPr>
                <w:p w14:paraId="10912BD7">
                  <w:pPr>
                    <w:keepNext w:val="0"/>
                    <w:keepLines w:val="0"/>
                    <w:pageBreakBefore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H0+070</w:t>
                  </w:r>
                </w:p>
              </w:tc>
              <w:tc>
                <w:tcPr>
                  <w:tcW w:w="1163" w:type="pct"/>
                  <w:vAlign w:val="center"/>
                </w:tcPr>
                <w:p w14:paraId="65FD1B24">
                  <w:pPr>
                    <w:keepNext w:val="0"/>
                    <w:keepLines w:val="0"/>
                    <w:pageBreakBefore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Times New Roman" w:hAnsi="Times New Roman" w:eastAsia="宋体" w:cs="Times New Roman"/>
                      <w:i w:val="0"/>
                      <w:iCs w:val="0"/>
                      <w:caps w:val="0"/>
                      <w:color w:val="auto"/>
                      <w:spacing w:val="0"/>
                      <w:sz w:val="21"/>
                      <w:szCs w:val="21"/>
                      <w:shd w:val="clear" w:fill="FFFFFF"/>
                      <w:lang w:val="en-US" w:eastAsia="zh-CN"/>
                    </w:rPr>
                  </w:pPr>
                  <w:r>
                    <w:rPr>
                      <w:rFonts w:hint="eastAsia" w:ascii="Times New Roman" w:hAnsi="Times New Roman" w:eastAsia="宋体" w:cs="Times New Roman"/>
                      <w:i w:val="0"/>
                      <w:iCs w:val="0"/>
                      <w:caps w:val="0"/>
                      <w:color w:val="auto"/>
                      <w:spacing w:val="0"/>
                      <w:sz w:val="21"/>
                      <w:szCs w:val="21"/>
                      <w:shd w:val="clear" w:fill="FFFFFF"/>
                      <w:lang w:val="en-US" w:eastAsia="en-US"/>
                    </w:rPr>
                    <w:t>E10</w:t>
                  </w:r>
                  <w:r>
                    <w:rPr>
                      <w:rFonts w:hint="eastAsia" w:ascii="Times New Roman" w:hAnsi="Times New Roman" w:eastAsia="宋体" w:cs="Times New Roman"/>
                      <w:i w:val="0"/>
                      <w:iCs w:val="0"/>
                      <w:caps w:val="0"/>
                      <w:color w:val="auto"/>
                      <w:spacing w:val="0"/>
                      <w:sz w:val="21"/>
                      <w:szCs w:val="21"/>
                      <w:shd w:val="clear" w:fill="FFFFFF"/>
                      <w:lang w:val="en-US" w:eastAsia="zh-CN"/>
                    </w:rPr>
                    <w:t>6</w:t>
                  </w:r>
                  <w:r>
                    <w:rPr>
                      <w:rFonts w:hint="default" w:ascii="Times New Roman" w:hAnsi="Times New Roman" w:eastAsia="宋体" w:cs="Times New Roman"/>
                      <w:i w:val="0"/>
                      <w:iCs w:val="0"/>
                      <w:caps w:val="0"/>
                      <w:color w:val="auto"/>
                      <w:spacing w:val="0"/>
                      <w:sz w:val="21"/>
                      <w:szCs w:val="21"/>
                      <w:shd w:val="clear" w:fill="FFFFFF"/>
                      <w:lang w:val="en-US" w:eastAsia="en-US"/>
                    </w:rPr>
                    <w:t>°</w:t>
                  </w:r>
                  <w:r>
                    <w:rPr>
                      <w:rFonts w:hint="eastAsia" w:ascii="Times New Roman" w:hAnsi="Times New Roman" w:eastAsia="宋体" w:cs="Times New Roman"/>
                      <w:i w:val="0"/>
                      <w:iCs w:val="0"/>
                      <w:caps w:val="0"/>
                      <w:color w:val="auto"/>
                      <w:spacing w:val="0"/>
                      <w:sz w:val="21"/>
                      <w:szCs w:val="21"/>
                      <w:shd w:val="clear" w:fill="FFFFFF"/>
                      <w:lang w:val="en-US" w:eastAsia="zh-CN"/>
                    </w:rPr>
                    <w:t>54′42.551″、</w:t>
                  </w:r>
                </w:p>
                <w:p w14:paraId="58D36107">
                  <w:pPr>
                    <w:keepNext w:val="0"/>
                    <w:keepLines w:val="0"/>
                    <w:pageBreakBefore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i w:val="0"/>
                      <w:iCs w:val="0"/>
                      <w:caps w:val="0"/>
                      <w:color w:val="auto"/>
                      <w:spacing w:val="0"/>
                      <w:sz w:val="21"/>
                      <w:szCs w:val="21"/>
                      <w:shd w:val="clear" w:fill="FFFFFF"/>
                      <w:lang w:val="en-US" w:eastAsia="zh-CN"/>
                    </w:rPr>
                    <w:t>N</w:t>
                  </w:r>
                  <w:r>
                    <w:rPr>
                      <w:rFonts w:hint="eastAsia" w:ascii="Times New Roman" w:hAnsi="Times New Roman" w:eastAsia="宋体" w:cs="Times New Roman"/>
                      <w:i w:val="0"/>
                      <w:iCs w:val="0"/>
                      <w:caps w:val="0"/>
                      <w:color w:val="auto"/>
                      <w:spacing w:val="0"/>
                      <w:sz w:val="21"/>
                      <w:szCs w:val="21"/>
                      <w:shd w:val="clear" w:fill="FFFFFF"/>
                      <w:lang w:val="en-US" w:eastAsia="en-US"/>
                    </w:rPr>
                    <w:t>3</w:t>
                  </w:r>
                  <w:r>
                    <w:rPr>
                      <w:rFonts w:hint="eastAsia" w:ascii="Times New Roman" w:hAnsi="Times New Roman" w:eastAsia="宋体" w:cs="Times New Roman"/>
                      <w:i w:val="0"/>
                      <w:iCs w:val="0"/>
                      <w:caps w:val="0"/>
                      <w:color w:val="auto"/>
                      <w:spacing w:val="0"/>
                      <w:sz w:val="21"/>
                      <w:szCs w:val="21"/>
                      <w:shd w:val="clear" w:fill="FFFFFF"/>
                      <w:lang w:val="en-US" w:eastAsia="zh-CN"/>
                    </w:rPr>
                    <w:t>4</w:t>
                  </w:r>
                  <w:r>
                    <w:rPr>
                      <w:rFonts w:hint="default" w:ascii="Times New Roman" w:hAnsi="Times New Roman" w:eastAsia="宋体" w:cs="Times New Roman"/>
                      <w:i w:val="0"/>
                      <w:iCs w:val="0"/>
                      <w:caps w:val="0"/>
                      <w:color w:val="auto"/>
                      <w:spacing w:val="0"/>
                      <w:sz w:val="21"/>
                      <w:szCs w:val="21"/>
                      <w:shd w:val="clear" w:fill="FFFFFF"/>
                      <w:lang w:val="en-US" w:eastAsia="en-US"/>
                    </w:rPr>
                    <w:t>°</w:t>
                  </w:r>
                  <w:r>
                    <w:rPr>
                      <w:rFonts w:hint="eastAsia" w:ascii="Times New Roman" w:hAnsi="Times New Roman" w:eastAsia="宋体" w:cs="Times New Roman"/>
                      <w:i w:val="0"/>
                      <w:iCs w:val="0"/>
                      <w:caps w:val="0"/>
                      <w:color w:val="auto"/>
                      <w:spacing w:val="0"/>
                      <w:sz w:val="21"/>
                      <w:szCs w:val="21"/>
                      <w:shd w:val="clear" w:fill="FFFFFF"/>
                      <w:lang w:val="en-US" w:eastAsia="zh-CN"/>
                    </w:rPr>
                    <w:t>51′3.733″</w:t>
                  </w:r>
                </w:p>
              </w:tc>
              <w:tc>
                <w:tcPr>
                  <w:tcW w:w="673" w:type="pct"/>
                  <w:vAlign w:val="center"/>
                </w:tcPr>
                <w:p w14:paraId="062BD6BC">
                  <w:pPr>
                    <w:keepNext w:val="0"/>
                    <w:keepLines w:val="0"/>
                    <w:pageBreakBefore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H0+285</w:t>
                  </w:r>
                </w:p>
              </w:tc>
              <w:tc>
                <w:tcPr>
                  <w:tcW w:w="1144" w:type="pct"/>
                  <w:vAlign w:val="center"/>
                </w:tcPr>
                <w:p w14:paraId="2EB50648">
                  <w:pPr>
                    <w:keepNext w:val="0"/>
                    <w:keepLines w:val="0"/>
                    <w:pageBreakBefore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Times New Roman" w:hAnsi="Times New Roman" w:eastAsia="宋体" w:cs="Times New Roman"/>
                      <w:i w:val="0"/>
                      <w:iCs w:val="0"/>
                      <w:caps w:val="0"/>
                      <w:color w:val="auto"/>
                      <w:spacing w:val="0"/>
                      <w:sz w:val="21"/>
                      <w:szCs w:val="21"/>
                      <w:shd w:val="clear" w:fill="FFFFFF"/>
                      <w:lang w:val="en-US" w:eastAsia="zh-CN"/>
                    </w:rPr>
                  </w:pPr>
                  <w:r>
                    <w:rPr>
                      <w:rFonts w:hint="eastAsia" w:ascii="Times New Roman" w:hAnsi="Times New Roman" w:eastAsia="宋体" w:cs="Times New Roman"/>
                      <w:i w:val="0"/>
                      <w:iCs w:val="0"/>
                      <w:caps w:val="0"/>
                      <w:color w:val="auto"/>
                      <w:spacing w:val="0"/>
                      <w:sz w:val="21"/>
                      <w:szCs w:val="21"/>
                      <w:shd w:val="clear" w:fill="FFFFFF"/>
                      <w:lang w:val="en-US" w:eastAsia="en-US"/>
                    </w:rPr>
                    <w:t>E10</w:t>
                  </w:r>
                  <w:r>
                    <w:rPr>
                      <w:rFonts w:hint="eastAsia" w:ascii="Times New Roman" w:hAnsi="Times New Roman" w:eastAsia="宋体" w:cs="Times New Roman"/>
                      <w:i w:val="0"/>
                      <w:iCs w:val="0"/>
                      <w:caps w:val="0"/>
                      <w:color w:val="auto"/>
                      <w:spacing w:val="0"/>
                      <w:sz w:val="21"/>
                      <w:szCs w:val="21"/>
                      <w:shd w:val="clear" w:fill="FFFFFF"/>
                      <w:lang w:val="en-US" w:eastAsia="zh-CN"/>
                    </w:rPr>
                    <w:t>6</w:t>
                  </w:r>
                  <w:r>
                    <w:rPr>
                      <w:rFonts w:hint="default" w:ascii="Times New Roman" w:hAnsi="Times New Roman" w:eastAsia="宋体" w:cs="Times New Roman"/>
                      <w:i w:val="0"/>
                      <w:iCs w:val="0"/>
                      <w:caps w:val="0"/>
                      <w:color w:val="auto"/>
                      <w:spacing w:val="0"/>
                      <w:sz w:val="21"/>
                      <w:szCs w:val="21"/>
                      <w:shd w:val="clear" w:fill="FFFFFF"/>
                      <w:lang w:val="en-US" w:eastAsia="en-US"/>
                    </w:rPr>
                    <w:t>°</w:t>
                  </w:r>
                  <w:r>
                    <w:rPr>
                      <w:rFonts w:hint="eastAsia" w:ascii="Times New Roman" w:hAnsi="Times New Roman" w:eastAsia="宋体" w:cs="Times New Roman"/>
                      <w:i w:val="0"/>
                      <w:iCs w:val="0"/>
                      <w:caps w:val="0"/>
                      <w:color w:val="auto"/>
                      <w:spacing w:val="0"/>
                      <w:sz w:val="21"/>
                      <w:szCs w:val="21"/>
                      <w:shd w:val="clear" w:fill="FFFFFF"/>
                      <w:lang w:val="en-US" w:eastAsia="zh-CN"/>
                    </w:rPr>
                    <w:t>54′42.416″、</w:t>
                  </w:r>
                </w:p>
                <w:p w14:paraId="75FEB408">
                  <w:pPr>
                    <w:keepNext w:val="0"/>
                    <w:keepLines w:val="0"/>
                    <w:pageBreakBefore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i w:val="0"/>
                      <w:iCs w:val="0"/>
                      <w:caps w:val="0"/>
                      <w:color w:val="auto"/>
                      <w:spacing w:val="0"/>
                      <w:sz w:val="21"/>
                      <w:szCs w:val="21"/>
                      <w:shd w:val="clear" w:fill="FFFFFF"/>
                      <w:lang w:val="en-US" w:eastAsia="zh-CN"/>
                    </w:rPr>
                    <w:t>N</w:t>
                  </w:r>
                  <w:r>
                    <w:rPr>
                      <w:rFonts w:hint="eastAsia" w:ascii="Times New Roman" w:hAnsi="Times New Roman" w:eastAsia="宋体" w:cs="Times New Roman"/>
                      <w:i w:val="0"/>
                      <w:iCs w:val="0"/>
                      <w:caps w:val="0"/>
                      <w:color w:val="auto"/>
                      <w:spacing w:val="0"/>
                      <w:sz w:val="21"/>
                      <w:szCs w:val="21"/>
                      <w:shd w:val="clear" w:fill="FFFFFF"/>
                      <w:lang w:val="en-US" w:eastAsia="en-US"/>
                    </w:rPr>
                    <w:t>3</w:t>
                  </w:r>
                  <w:r>
                    <w:rPr>
                      <w:rFonts w:hint="eastAsia" w:ascii="Times New Roman" w:hAnsi="Times New Roman" w:eastAsia="宋体" w:cs="Times New Roman"/>
                      <w:i w:val="0"/>
                      <w:iCs w:val="0"/>
                      <w:caps w:val="0"/>
                      <w:color w:val="auto"/>
                      <w:spacing w:val="0"/>
                      <w:sz w:val="21"/>
                      <w:szCs w:val="21"/>
                      <w:shd w:val="clear" w:fill="FFFFFF"/>
                      <w:lang w:val="en-US" w:eastAsia="zh-CN"/>
                    </w:rPr>
                    <w:t>4</w:t>
                  </w:r>
                  <w:r>
                    <w:rPr>
                      <w:rFonts w:hint="default" w:ascii="Times New Roman" w:hAnsi="Times New Roman" w:eastAsia="宋体" w:cs="Times New Roman"/>
                      <w:i w:val="0"/>
                      <w:iCs w:val="0"/>
                      <w:caps w:val="0"/>
                      <w:color w:val="auto"/>
                      <w:spacing w:val="0"/>
                      <w:sz w:val="21"/>
                      <w:szCs w:val="21"/>
                      <w:shd w:val="clear" w:fill="FFFFFF"/>
                      <w:lang w:val="en-US" w:eastAsia="en-US"/>
                    </w:rPr>
                    <w:t>°</w:t>
                  </w:r>
                  <w:r>
                    <w:rPr>
                      <w:rFonts w:hint="eastAsia" w:ascii="Times New Roman" w:hAnsi="Times New Roman" w:eastAsia="宋体" w:cs="Times New Roman"/>
                      <w:i w:val="0"/>
                      <w:iCs w:val="0"/>
                      <w:caps w:val="0"/>
                      <w:color w:val="auto"/>
                      <w:spacing w:val="0"/>
                      <w:sz w:val="21"/>
                      <w:szCs w:val="21"/>
                      <w:shd w:val="clear" w:fill="FFFFFF"/>
                      <w:lang w:val="en-US" w:eastAsia="zh-CN"/>
                    </w:rPr>
                    <w:t>51′10.671″</w:t>
                  </w:r>
                </w:p>
              </w:tc>
              <w:tc>
                <w:tcPr>
                  <w:tcW w:w="731" w:type="pct"/>
                  <w:vAlign w:val="center"/>
                </w:tcPr>
                <w:p w14:paraId="1207677A">
                  <w:pPr>
                    <w:keepNext w:val="0"/>
                    <w:keepLines w:val="0"/>
                    <w:pageBreakBefore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rPr>
                  </w:pPr>
                  <w:r>
                    <w:rPr>
                      <w:rFonts w:hint="eastAsia" w:ascii="Times New Roman" w:hAnsi="Times New Roman" w:eastAsia="宋体" w:cs="Times New Roman"/>
                      <w:snapToGrid w:val="0"/>
                      <w:color w:val="auto"/>
                      <w:kern w:val="0"/>
                      <w:sz w:val="21"/>
                      <w:szCs w:val="21"/>
                      <w:lang w:val="en-US" w:eastAsia="zh-CN"/>
                    </w:rPr>
                    <w:t>215</w:t>
                  </w:r>
                </w:p>
              </w:tc>
            </w:tr>
            <w:tr w14:paraId="730DB7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3" w:hRule="exact"/>
              </w:trPr>
              <w:tc>
                <w:tcPr>
                  <w:tcW w:w="629" w:type="pct"/>
                  <w:tcBorders>
                    <w:top w:val="single" w:color="auto" w:sz="4" w:space="0"/>
                  </w:tcBorders>
                  <w:vAlign w:val="center"/>
                </w:tcPr>
                <w:p w14:paraId="39CC8E61">
                  <w:pPr>
                    <w:keepNext w:val="0"/>
                    <w:keepLines w:val="0"/>
                    <w:pageBreakBefore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大杜阳河河河段护岸</w:t>
                  </w:r>
                </w:p>
              </w:tc>
              <w:tc>
                <w:tcPr>
                  <w:tcW w:w="658" w:type="pct"/>
                  <w:tcBorders>
                    <w:top w:val="single" w:color="auto" w:sz="4" w:space="0"/>
                  </w:tcBorders>
                  <w:vAlign w:val="center"/>
                </w:tcPr>
                <w:p w14:paraId="00A280BA">
                  <w:pPr>
                    <w:keepNext w:val="0"/>
                    <w:keepLines w:val="0"/>
                    <w:pageBreakBefore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DD0+000</w:t>
                  </w:r>
                </w:p>
              </w:tc>
              <w:tc>
                <w:tcPr>
                  <w:tcW w:w="1163" w:type="pct"/>
                  <w:vAlign w:val="center"/>
                </w:tcPr>
                <w:p w14:paraId="7E388F94">
                  <w:pPr>
                    <w:keepNext w:val="0"/>
                    <w:keepLines w:val="0"/>
                    <w:pageBreakBefore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Times New Roman" w:hAnsi="Times New Roman" w:eastAsia="宋体" w:cs="Times New Roman"/>
                      <w:i w:val="0"/>
                      <w:iCs w:val="0"/>
                      <w:caps w:val="0"/>
                      <w:color w:val="auto"/>
                      <w:spacing w:val="0"/>
                      <w:sz w:val="21"/>
                      <w:szCs w:val="21"/>
                      <w:shd w:val="clear" w:fill="FFFFFF"/>
                      <w:lang w:val="en-US" w:eastAsia="zh-CN"/>
                    </w:rPr>
                  </w:pPr>
                  <w:r>
                    <w:rPr>
                      <w:rFonts w:hint="eastAsia" w:ascii="Times New Roman" w:hAnsi="Times New Roman" w:eastAsia="宋体" w:cs="Times New Roman"/>
                      <w:i w:val="0"/>
                      <w:iCs w:val="0"/>
                      <w:caps w:val="0"/>
                      <w:color w:val="auto"/>
                      <w:spacing w:val="0"/>
                      <w:sz w:val="21"/>
                      <w:szCs w:val="21"/>
                      <w:shd w:val="clear" w:fill="FFFFFF"/>
                      <w:lang w:val="en-US" w:eastAsia="en-US"/>
                    </w:rPr>
                    <w:t>E10</w:t>
                  </w:r>
                  <w:r>
                    <w:rPr>
                      <w:rFonts w:hint="eastAsia" w:ascii="Times New Roman" w:hAnsi="Times New Roman" w:eastAsia="宋体" w:cs="Times New Roman"/>
                      <w:i w:val="0"/>
                      <w:iCs w:val="0"/>
                      <w:caps w:val="0"/>
                      <w:color w:val="auto"/>
                      <w:spacing w:val="0"/>
                      <w:sz w:val="21"/>
                      <w:szCs w:val="21"/>
                      <w:shd w:val="clear" w:fill="FFFFFF"/>
                      <w:lang w:val="en-US" w:eastAsia="zh-CN"/>
                    </w:rPr>
                    <w:t>6</w:t>
                  </w:r>
                  <w:r>
                    <w:rPr>
                      <w:rFonts w:hint="default" w:ascii="Times New Roman" w:hAnsi="Times New Roman" w:eastAsia="宋体" w:cs="Times New Roman"/>
                      <w:i w:val="0"/>
                      <w:iCs w:val="0"/>
                      <w:caps w:val="0"/>
                      <w:color w:val="auto"/>
                      <w:spacing w:val="0"/>
                      <w:sz w:val="21"/>
                      <w:szCs w:val="21"/>
                      <w:shd w:val="clear" w:fill="FFFFFF"/>
                      <w:lang w:val="en-US" w:eastAsia="en-US"/>
                    </w:rPr>
                    <w:t>°</w:t>
                  </w:r>
                  <w:r>
                    <w:rPr>
                      <w:rFonts w:hint="eastAsia" w:ascii="Times New Roman" w:hAnsi="Times New Roman" w:eastAsia="宋体" w:cs="Times New Roman"/>
                      <w:i w:val="0"/>
                      <w:iCs w:val="0"/>
                      <w:caps w:val="0"/>
                      <w:color w:val="auto"/>
                      <w:spacing w:val="0"/>
                      <w:sz w:val="21"/>
                      <w:szCs w:val="21"/>
                      <w:shd w:val="clear" w:fill="FFFFFF"/>
                      <w:lang w:val="en-US" w:eastAsia="zh-CN"/>
                    </w:rPr>
                    <w:t>54′51.265″、</w:t>
                  </w:r>
                </w:p>
                <w:p w14:paraId="159867DD">
                  <w:pPr>
                    <w:keepNext w:val="0"/>
                    <w:keepLines w:val="0"/>
                    <w:pageBreakBefore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i w:val="0"/>
                      <w:iCs w:val="0"/>
                      <w:caps w:val="0"/>
                      <w:color w:val="auto"/>
                      <w:spacing w:val="0"/>
                      <w:sz w:val="21"/>
                      <w:szCs w:val="21"/>
                      <w:shd w:val="clear" w:fill="FFFFFF"/>
                      <w:lang w:val="en-US" w:eastAsia="zh-CN"/>
                    </w:rPr>
                    <w:t>N</w:t>
                  </w:r>
                  <w:r>
                    <w:rPr>
                      <w:rFonts w:hint="eastAsia" w:ascii="Times New Roman" w:hAnsi="Times New Roman" w:eastAsia="宋体" w:cs="Times New Roman"/>
                      <w:i w:val="0"/>
                      <w:iCs w:val="0"/>
                      <w:caps w:val="0"/>
                      <w:color w:val="auto"/>
                      <w:spacing w:val="0"/>
                      <w:sz w:val="21"/>
                      <w:szCs w:val="21"/>
                      <w:shd w:val="clear" w:fill="FFFFFF"/>
                      <w:lang w:val="en-US" w:eastAsia="en-US"/>
                    </w:rPr>
                    <w:t>3</w:t>
                  </w:r>
                  <w:r>
                    <w:rPr>
                      <w:rFonts w:hint="eastAsia" w:ascii="Times New Roman" w:hAnsi="Times New Roman" w:eastAsia="宋体" w:cs="Times New Roman"/>
                      <w:i w:val="0"/>
                      <w:iCs w:val="0"/>
                      <w:caps w:val="0"/>
                      <w:color w:val="auto"/>
                      <w:spacing w:val="0"/>
                      <w:sz w:val="21"/>
                      <w:szCs w:val="21"/>
                      <w:shd w:val="clear" w:fill="FFFFFF"/>
                      <w:lang w:val="en-US" w:eastAsia="zh-CN"/>
                    </w:rPr>
                    <w:t>4</w:t>
                  </w:r>
                  <w:r>
                    <w:rPr>
                      <w:rFonts w:hint="default" w:ascii="Times New Roman" w:hAnsi="Times New Roman" w:eastAsia="宋体" w:cs="Times New Roman"/>
                      <w:i w:val="0"/>
                      <w:iCs w:val="0"/>
                      <w:caps w:val="0"/>
                      <w:color w:val="auto"/>
                      <w:spacing w:val="0"/>
                      <w:sz w:val="21"/>
                      <w:szCs w:val="21"/>
                      <w:shd w:val="clear" w:fill="FFFFFF"/>
                      <w:lang w:val="en-US" w:eastAsia="en-US"/>
                    </w:rPr>
                    <w:t>°</w:t>
                  </w:r>
                  <w:r>
                    <w:rPr>
                      <w:rFonts w:hint="eastAsia" w:ascii="Times New Roman" w:hAnsi="Times New Roman" w:eastAsia="宋体" w:cs="Times New Roman"/>
                      <w:i w:val="0"/>
                      <w:iCs w:val="0"/>
                      <w:caps w:val="0"/>
                      <w:color w:val="auto"/>
                      <w:spacing w:val="0"/>
                      <w:sz w:val="21"/>
                      <w:szCs w:val="21"/>
                      <w:shd w:val="clear" w:fill="FFFFFF"/>
                      <w:lang w:val="en-US" w:eastAsia="zh-CN"/>
                    </w:rPr>
                    <w:t>51′7.880″</w:t>
                  </w:r>
                </w:p>
              </w:tc>
              <w:tc>
                <w:tcPr>
                  <w:tcW w:w="673" w:type="pct"/>
                  <w:vAlign w:val="center"/>
                </w:tcPr>
                <w:p w14:paraId="0AAEAAC4">
                  <w:pPr>
                    <w:keepNext w:val="0"/>
                    <w:keepLines w:val="0"/>
                    <w:pageBreakBefore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DD0+188</w:t>
                  </w:r>
                </w:p>
              </w:tc>
              <w:tc>
                <w:tcPr>
                  <w:tcW w:w="1144" w:type="pct"/>
                  <w:vAlign w:val="center"/>
                </w:tcPr>
                <w:p w14:paraId="62762D42">
                  <w:pPr>
                    <w:keepNext w:val="0"/>
                    <w:keepLines w:val="0"/>
                    <w:pageBreakBefore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Times New Roman" w:hAnsi="Times New Roman" w:eastAsia="宋体" w:cs="Times New Roman"/>
                      <w:i w:val="0"/>
                      <w:iCs w:val="0"/>
                      <w:caps w:val="0"/>
                      <w:color w:val="auto"/>
                      <w:spacing w:val="0"/>
                      <w:sz w:val="21"/>
                      <w:szCs w:val="21"/>
                      <w:shd w:val="clear" w:fill="FFFFFF"/>
                      <w:lang w:val="en-US" w:eastAsia="zh-CN"/>
                    </w:rPr>
                  </w:pPr>
                  <w:r>
                    <w:rPr>
                      <w:rFonts w:hint="eastAsia" w:ascii="Times New Roman" w:hAnsi="Times New Roman" w:eastAsia="宋体" w:cs="Times New Roman"/>
                      <w:i w:val="0"/>
                      <w:iCs w:val="0"/>
                      <w:caps w:val="0"/>
                      <w:color w:val="auto"/>
                      <w:spacing w:val="0"/>
                      <w:sz w:val="21"/>
                      <w:szCs w:val="21"/>
                      <w:shd w:val="clear" w:fill="FFFFFF"/>
                      <w:lang w:val="en-US" w:eastAsia="en-US"/>
                    </w:rPr>
                    <w:t>E10</w:t>
                  </w:r>
                  <w:r>
                    <w:rPr>
                      <w:rFonts w:hint="eastAsia" w:ascii="Times New Roman" w:hAnsi="Times New Roman" w:eastAsia="宋体" w:cs="Times New Roman"/>
                      <w:i w:val="0"/>
                      <w:iCs w:val="0"/>
                      <w:caps w:val="0"/>
                      <w:color w:val="auto"/>
                      <w:spacing w:val="0"/>
                      <w:sz w:val="21"/>
                      <w:szCs w:val="21"/>
                      <w:shd w:val="clear" w:fill="FFFFFF"/>
                      <w:lang w:val="en-US" w:eastAsia="zh-CN"/>
                    </w:rPr>
                    <w:t>6</w:t>
                  </w:r>
                  <w:r>
                    <w:rPr>
                      <w:rFonts w:hint="default" w:ascii="Times New Roman" w:hAnsi="Times New Roman" w:eastAsia="宋体" w:cs="Times New Roman"/>
                      <w:i w:val="0"/>
                      <w:iCs w:val="0"/>
                      <w:caps w:val="0"/>
                      <w:color w:val="auto"/>
                      <w:spacing w:val="0"/>
                      <w:sz w:val="21"/>
                      <w:szCs w:val="21"/>
                      <w:shd w:val="clear" w:fill="FFFFFF"/>
                      <w:lang w:val="en-US" w:eastAsia="en-US"/>
                    </w:rPr>
                    <w:t>°</w:t>
                  </w:r>
                  <w:r>
                    <w:rPr>
                      <w:rFonts w:hint="eastAsia" w:ascii="Times New Roman" w:hAnsi="Times New Roman" w:eastAsia="宋体" w:cs="Times New Roman"/>
                      <w:i w:val="0"/>
                      <w:iCs w:val="0"/>
                      <w:caps w:val="0"/>
                      <w:color w:val="auto"/>
                      <w:spacing w:val="0"/>
                      <w:sz w:val="21"/>
                      <w:szCs w:val="21"/>
                      <w:shd w:val="clear" w:fill="FFFFFF"/>
                      <w:lang w:val="en-US" w:eastAsia="zh-CN"/>
                    </w:rPr>
                    <w:t>54′45.192″、</w:t>
                  </w:r>
                </w:p>
                <w:p w14:paraId="2A0EB58F">
                  <w:pPr>
                    <w:keepNext w:val="0"/>
                    <w:keepLines w:val="0"/>
                    <w:pageBreakBefore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i w:val="0"/>
                      <w:iCs w:val="0"/>
                      <w:caps w:val="0"/>
                      <w:color w:val="auto"/>
                      <w:spacing w:val="0"/>
                      <w:sz w:val="21"/>
                      <w:szCs w:val="21"/>
                      <w:shd w:val="clear" w:fill="FFFFFF"/>
                      <w:lang w:val="en-US" w:eastAsia="zh-CN"/>
                    </w:rPr>
                    <w:t>N</w:t>
                  </w:r>
                  <w:r>
                    <w:rPr>
                      <w:rFonts w:hint="eastAsia" w:ascii="Times New Roman" w:hAnsi="Times New Roman" w:eastAsia="宋体" w:cs="Times New Roman"/>
                      <w:i w:val="0"/>
                      <w:iCs w:val="0"/>
                      <w:caps w:val="0"/>
                      <w:color w:val="auto"/>
                      <w:spacing w:val="0"/>
                      <w:sz w:val="21"/>
                      <w:szCs w:val="21"/>
                      <w:shd w:val="clear" w:fill="FFFFFF"/>
                      <w:lang w:val="en-US" w:eastAsia="en-US"/>
                    </w:rPr>
                    <w:t>3</w:t>
                  </w:r>
                  <w:r>
                    <w:rPr>
                      <w:rFonts w:hint="eastAsia" w:ascii="Times New Roman" w:hAnsi="Times New Roman" w:eastAsia="宋体" w:cs="Times New Roman"/>
                      <w:i w:val="0"/>
                      <w:iCs w:val="0"/>
                      <w:caps w:val="0"/>
                      <w:color w:val="auto"/>
                      <w:spacing w:val="0"/>
                      <w:sz w:val="21"/>
                      <w:szCs w:val="21"/>
                      <w:shd w:val="clear" w:fill="FFFFFF"/>
                      <w:lang w:val="en-US" w:eastAsia="zh-CN"/>
                    </w:rPr>
                    <w:t>4</w:t>
                  </w:r>
                  <w:r>
                    <w:rPr>
                      <w:rFonts w:hint="default" w:ascii="Times New Roman" w:hAnsi="Times New Roman" w:eastAsia="宋体" w:cs="Times New Roman"/>
                      <w:i w:val="0"/>
                      <w:iCs w:val="0"/>
                      <w:caps w:val="0"/>
                      <w:color w:val="auto"/>
                      <w:spacing w:val="0"/>
                      <w:sz w:val="21"/>
                      <w:szCs w:val="21"/>
                      <w:shd w:val="clear" w:fill="FFFFFF"/>
                      <w:lang w:val="en-US" w:eastAsia="en-US"/>
                    </w:rPr>
                    <w:t>°</w:t>
                  </w:r>
                  <w:r>
                    <w:rPr>
                      <w:rFonts w:hint="eastAsia" w:ascii="Times New Roman" w:hAnsi="Times New Roman" w:eastAsia="宋体" w:cs="Times New Roman"/>
                      <w:i w:val="0"/>
                      <w:iCs w:val="0"/>
                      <w:caps w:val="0"/>
                      <w:color w:val="auto"/>
                      <w:spacing w:val="0"/>
                      <w:sz w:val="21"/>
                      <w:szCs w:val="21"/>
                      <w:shd w:val="clear" w:fill="FFFFFF"/>
                      <w:lang w:val="en-US" w:eastAsia="zh-CN"/>
                    </w:rPr>
                    <w:t>51′4.568″</w:t>
                  </w:r>
                </w:p>
              </w:tc>
              <w:tc>
                <w:tcPr>
                  <w:tcW w:w="731" w:type="pct"/>
                  <w:vAlign w:val="center"/>
                </w:tcPr>
                <w:p w14:paraId="733756C4">
                  <w:pPr>
                    <w:keepNext w:val="0"/>
                    <w:keepLines w:val="0"/>
                    <w:pageBreakBefore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rPr>
                  </w:pPr>
                  <w:r>
                    <w:rPr>
                      <w:rFonts w:hint="eastAsia" w:ascii="Times New Roman" w:hAnsi="Times New Roman" w:eastAsia="宋体" w:cs="Times New Roman"/>
                      <w:snapToGrid w:val="0"/>
                      <w:color w:val="auto"/>
                      <w:kern w:val="0"/>
                      <w:sz w:val="21"/>
                      <w:szCs w:val="21"/>
                      <w:lang w:val="en-US" w:eastAsia="zh-CN"/>
                    </w:rPr>
                    <w:t>188</w:t>
                  </w:r>
                </w:p>
              </w:tc>
            </w:tr>
            <w:tr w14:paraId="5C79A0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3" w:hRule="exact"/>
              </w:trPr>
              <w:tc>
                <w:tcPr>
                  <w:tcW w:w="629" w:type="pct"/>
                  <w:tcBorders>
                    <w:top w:val="single" w:color="auto" w:sz="4" w:space="0"/>
                  </w:tcBorders>
                  <w:vAlign w:val="center"/>
                </w:tcPr>
                <w:p w14:paraId="51C2C481">
                  <w:pPr>
                    <w:keepNext w:val="0"/>
                    <w:keepLines w:val="0"/>
                    <w:pageBreakBefore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堤顶道路</w:t>
                  </w:r>
                </w:p>
              </w:tc>
              <w:tc>
                <w:tcPr>
                  <w:tcW w:w="658" w:type="pct"/>
                  <w:tcBorders>
                    <w:top w:val="single" w:color="auto" w:sz="4" w:space="0"/>
                  </w:tcBorders>
                  <w:vAlign w:val="center"/>
                </w:tcPr>
                <w:p w14:paraId="3E680E51">
                  <w:pPr>
                    <w:keepNext w:val="0"/>
                    <w:keepLines w:val="0"/>
                    <w:pageBreakBefore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DD0+000</w:t>
                  </w:r>
                </w:p>
              </w:tc>
              <w:tc>
                <w:tcPr>
                  <w:tcW w:w="1163" w:type="pct"/>
                  <w:vAlign w:val="center"/>
                </w:tcPr>
                <w:p w14:paraId="2F5B35DD">
                  <w:pPr>
                    <w:keepNext w:val="0"/>
                    <w:keepLines w:val="0"/>
                    <w:pageBreakBefore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Times New Roman" w:hAnsi="Times New Roman" w:eastAsia="宋体" w:cs="Times New Roman"/>
                      <w:i w:val="0"/>
                      <w:iCs w:val="0"/>
                      <w:caps w:val="0"/>
                      <w:color w:val="auto"/>
                      <w:spacing w:val="0"/>
                      <w:sz w:val="21"/>
                      <w:szCs w:val="21"/>
                      <w:shd w:val="clear" w:fill="FFFFFF"/>
                      <w:lang w:val="en-US" w:eastAsia="zh-CN"/>
                    </w:rPr>
                  </w:pPr>
                  <w:r>
                    <w:rPr>
                      <w:rFonts w:hint="eastAsia" w:ascii="Times New Roman" w:hAnsi="Times New Roman" w:eastAsia="宋体" w:cs="Times New Roman"/>
                      <w:i w:val="0"/>
                      <w:iCs w:val="0"/>
                      <w:caps w:val="0"/>
                      <w:color w:val="auto"/>
                      <w:spacing w:val="0"/>
                      <w:sz w:val="21"/>
                      <w:szCs w:val="21"/>
                      <w:shd w:val="clear" w:fill="FFFFFF"/>
                      <w:lang w:val="en-US" w:eastAsia="en-US"/>
                    </w:rPr>
                    <w:t>E10</w:t>
                  </w:r>
                  <w:r>
                    <w:rPr>
                      <w:rFonts w:hint="eastAsia" w:ascii="Times New Roman" w:hAnsi="Times New Roman" w:eastAsia="宋体" w:cs="Times New Roman"/>
                      <w:i w:val="0"/>
                      <w:iCs w:val="0"/>
                      <w:caps w:val="0"/>
                      <w:color w:val="auto"/>
                      <w:spacing w:val="0"/>
                      <w:sz w:val="21"/>
                      <w:szCs w:val="21"/>
                      <w:shd w:val="clear" w:fill="FFFFFF"/>
                      <w:lang w:val="en-US" w:eastAsia="zh-CN"/>
                    </w:rPr>
                    <w:t>6</w:t>
                  </w:r>
                  <w:r>
                    <w:rPr>
                      <w:rFonts w:hint="default" w:ascii="Times New Roman" w:hAnsi="Times New Roman" w:eastAsia="宋体" w:cs="Times New Roman"/>
                      <w:i w:val="0"/>
                      <w:iCs w:val="0"/>
                      <w:caps w:val="0"/>
                      <w:color w:val="auto"/>
                      <w:spacing w:val="0"/>
                      <w:sz w:val="21"/>
                      <w:szCs w:val="21"/>
                      <w:shd w:val="clear" w:fill="FFFFFF"/>
                      <w:lang w:val="en-US" w:eastAsia="en-US"/>
                    </w:rPr>
                    <w:t>°</w:t>
                  </w:r>
                  <w:r>
                    <w:rPr>
                      <w:rFonts w:hint="eastAsia" w:ascii="Times New Roman" w:hAnsi="Times New Roman" w:eastAsia="宋体" w:cs="Times New Roman"/>
                      <w:i w:val="0"/>
                      <w:iCs w:val="0"/>
                      <w:caps w:val="0"/>
                      <w:color w:val="auto"/>
                      <w:spacing w:val="0"/>
                      <w:sz w:val="21"/>
                      <w:szCs w:val="21"/>
                      <w:shd w:val="clear" w:fill="FFFFFF"/>
                      <w:lang w:val="en-US" w:eastAsia="zh-CN"/>
                    </w:rPr>
                    <w:t>54′51.265″、</w:t>
                  </w:r>
                </w:p>
                <w:p w14:paraId="3E6B56B9">
                  <w:pPr>
                    <w:keepNext w:val="0"/>
                    <w:keepLines w:val="0"/>
                    <w:pageBreakBefore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i w:val="0"/>
                      <w:iCs w:val="0"/>
                      <w:caps w:val="0"/>
                      <w:color w:val="auto"/>
                      <w:spacing w:val="0"/>
                      <w:sz w:val="21"/>
                      <w:szCs w:val="21"/>
                      <w:shd w:val="clear" w:fill="FFFFFF"/>
                      <w:lang w:val="en-US" w:eastAsia="zh-CN"/>
                    </w:rPr>
                    <w:t>N</w:t>
                  </w:r>
                  <w:r>
                    <w:rPr>
                      <w:rFonts w:hint="eastAsia" w:ascii="Times New Roman" w:hAnsi="Times New Roman" w:eastAsia="宋体" w:cs="Times New Roman"/>
                      <w:i w:val="0"/>
                      <w:iCs w:val="0"/>
                      <w:caps w:val="0"/>
                      <w:color w:val="auto"/>
                      <w:spacing w:val="0"/>
                      <w:sz w:val="21"/>
                      <w:szCs w:val="21"/>
                      <w:shd w:val="clear" w:fill="FFFFFF"/>
                      <w:lang w:val="en-US" w:eastAsia="en-US"/>
                    </w:rPr>
                    <w:t>3</w:t>
                  </w:r>
                  <w:r>
                    <w:rPr>
                      <w:rFonts w:hint="eastAsia" w:ascii="Times New Roman" w:hAnsi="Times New Roman" w:eastAsia="宋体" w:cs="Times New Roman"/>
                      <w:i w:val="0"/>
                      <w:iCs w:val="0"/>
                      <w:caps w:val="0"/>
                      <w:color w:val="auto"/>
                      <w:spacing w:val="0"/>
                      <w:sz w:val="21"/>
                      <w:szCs w:val="21"/>
                      <w:shd w:val="clear" w:fill="FFFFFF"/>
                      <w:lang w:val="en-US" w:eastAsia="zh-CN"/>
                    </w:rPr>
                    <w:t>4</w:t>
                  </w:r>
                  <w:r>
                    <w:rPr>
                      <w:rFonts w:hint="default" w:ascii="Times New Roman" w:hAnsi="Times New Roman" w:eastAsia="宋体" w:cs="Times New Roman"/>
                      <w:i w:val="0"/>
                      <w:iCs w:val="0"/>
                      <w:caps w:val="0"/>
                      <w:color w:val="auto"/>
                      <w:spacing w:val="0"/>
                      <w:sz w:val="21"/>
                      <w:szCs w:val="21"/>
                      <w:shd w:val="clear" w:fill="FFFFFF"/>
                      <w:lang w:val="en-US" w:eastAsia="en-US"/>
                    </w:rPr>
                    <w:t>°</w:t>
                  </w:r>
                  <w:r>
                    <w:rPr>
                      <w:rFonts w:hint="eastAsia" w:ascii="Times New Roman" w:hAnsi="Times New Roman" w:eastAsia="宋体" w:cs="Times New Roman"/>
                      <w:i w:val="0"/>
                      <w:iCs w:val="0"/>
                      <w:caps w:val="0"/>
                      <w:color w:val="auto"/>
                      <w:spacing w:val="0"/>
                      <w:sz w:val="21"/>
                      <w:szCs w:val="21"/>
                      <w:shd w:val="clear" w:fill="FFFFFF"/>
                      <w:lang w:val="en-US" w:eastAsia="zh-CN"/>
                    </w:rPr>
                    <w:t>51′7.880″</w:t>
                  </w:r>
                </w:p>
              </w:tc>
              <w:tc>
                <w:tcPr>
                  <w:tcW w:w="673" w:type="pct"/>
                  <w:vAlign w:val="center"/>
                </w:tcPr>
                <w:p w14:paraId="24B084DB">
                  <w:pPr>
                    <w:keepNext w:val="0"/>
                    <w:keepLines w:val="0"/>
                    <w:pageBreakBefore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H0+370</w:t>
                  </w:r>
                </w:p>
              </w:tc>
              <w:tc>
                <w:tcPr>
                  <w:tcW w:w="1144" w:type="pct"/>
                  <w:vAlign w:val="center"/>
                </w:tcPr>
                <w:p w14:paraId="29A742F1">
                  <w:pPr>
                    <w:keepNext w:val="0"/>
                    <w:keepLines w:val="0"/>
                    <w:pageBreakBefore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Times New Roman" w:hAnsi="Times New Roman" w:eastAsia="宋体" w:cs="Times New Roman"/>
                      <w:i w:val="0"/>
                      <w:iCs w:val="0"/>
                      <w:caps w:val="0"/>
                      <w:color w:val="auto"/>
                      <w:spacing w:val="0"/>
                      <w:sz w:val="21"/>
                      <w:szCs w:val="21"/>
                      <w:shd w:val="clear" w:fill="FFFFFF"/>
                      <w:lang w:val="en-US" w:eastAsia="zh-CN"/>
                    </w:rPr>
                  </w:pPr>
                  <w:r>
                    <w:rPr>
                      <w:rFonts w:hint="eastAsia" w:ascii="Times New Roman" w:hAnsi="Times New Roman" w:eastAsia="宋体" w:cs="Times New Roman"/>
                      <w:i w:val="0"/>
                      <w:iCs w:val="0"/>
                      <w:caps w:val="0"/>
                      <w:color w:val="auto"/>
                      <w:spacing w:val="0"/>
                      <w:sz w:val="21"/>
                      <w:szCs w:val="21"/>
                      <w:shd w:val="clear" w:fill="FFFFFF"/>
                      <w:lang w:val="en-US" w:eastAsia="en-US"/>
                    </w:rPr>
                    <w:t>E10</w:t>
                  </w:r>
                  <w:r>
                    <w:rPr>
                      <w:rFonts w:hint="eastAsia" w:ascii="Times New Roman" w:hAnsi="Times New Roman" w:eastAsia="宋体" w:cs="Times New Roman"/>
                      <w:i w:val="0"/>
                      <w:iCs w:val="0"/>
                      <w:caps w:val="0"/>
                      <w:color w:val="auto"/>
                      <w:spacing w:val="0"/>
                      <w:sz w:val="21"/>
                      <w:szCs w:val="21"/>
                      <w:shd w:val="clear" w:fill="FFFFFF"/>
                      <w:lang w:val="en-US" w:eastAsia="zh-CN"/>
                    </w:rPr>
                    <w:t>6</w:t>
                  </w:r>
                  <w:r>
                    <w:rPr>
                      <w:rFonts w:hint="default" w:ascii="Times New Roman" w:hAnsi="Times New Roman" w:eastAsia="宋体" w:cs="Times New Roman"/>
                      <w:i w:val="0"/>
                      <w:iCs w:val="0"/>
                      <w:caps w:val="0"/>
                      <w:color w:val="auto"/>
                      <w:spacing w:val="0"/>
                      <w:sz w:val="21"/>
                      <w:szCs w:val="21"/>
                      <w:shd w:val="clear" w:fill="FFFFFF"/>
                      <w:lang w:val="en-US" w:eastAsia="en-US"/>
                    </w:rPr>
                    <w:t>°</w:t>
                  </w:r>
                  <w:r>
                    <w:rPr>
                      <w:rFonts w:hint="eastAsia" w:ascii="Times New Roman" w:hAnsi="Times New Roman" w:eastAsia="宋体" w:cs="Times New Roman"/>
                      <w:i w:val="0"/>
                      <w:iCs w:val="0"/>
                      <w:caps w:val="0"/>
                      <w:color w:val="auto"/>
                      <w:spacing w:val="0"/>
                      <w:sz w:val="21"/>
                      <w:szCs w:val="21"/>
                      <w:shd w:val="clear" w:fill="FFFFFF"/>
                      <w:lang w:val="en-US" w:eastAsia="zh-CN"/>
                    </w:rPr>
                    <w:t>54′42.820″、</w:t>
                  </w:r>
                </w:p>
                <w:p w14:paraId="1B3CC81B">
                  <w:pPr>
                    <w:keepNext w:val="0"/>
                    <w:keepLines w:val="0"/>
                    <w:pageBreakBefore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i w:val="0"/>
                      <w:iCs w:val="0"/>
                      <w:caps w:val="0"/>
                      <w:color w:val="auto"/>
                      <w:spacing w:val="0"/>
                      <w:sz w:val="21"/>
                      <w:szCs w:val="21"/>
                      <w:shd w:val="clear" w:fill="FFFFFF"/>
                      <w:lang w:val="en-US" w:eastAsia="zh-CN"/>
                    </w:rPr>
                    <w:t>N</w:t>
                  </w:r>
                  <w:r>
                    <w:rPr>
                      <w:rFonts w:hint="eastAsia" w:ascii="Times New Roman" w:hAnsi="Times New Roman" w:eastAsia="宋体" w:cs="Times New Roman"/>
                      <w:i w:val="0"/>
                      <w:iCs w:val="0"/>
                      <w:caps w:val="0"/>
                      <w:color w:val="auto"/>
                      <w:spacing w:val="0"/>
                      <w:sz w:val="21"/>
                      <w:szCs w:val="21"/>
                      <w:shd w:val="clear" w:fill="FFFFFF"/>
                      <w:lang w:val="en-US" w:eastAsia="en-US"/>
                    </w:rPr>
                    <w:t>3</w:t>
                  </w:r>
                  <w:r>
                    <w:rPr>
                      <w:rFonts w:hint="eastAsia" w:ascii="Times New Roman" w:hAnsi="Times New Roman" w:eastAsia="宋体" w:cs="Times New Roman"/>
                      <w:i w:val="0"/>
                      <w:iCs w:val="0"/>
                      <w:caps w:val="0"/>
                      <w:color w:val="auto"/>
                      <w:spacing w:val="0"/>
                      <w:sz w:val="21"/>
                      <w:szCs w:val="21"/>
                      <w:shd w:val="clear" w:fill="FFFFFF"/>
                      <w:lang w:val="en-US" w:eastAsia="zh-CN"/>
                    </w:rPr>
                    <w:t>4</w:t>
                  </w:r>
                  <w:r>
                    <w:rPr>
                      <w:rFonts w:hint="default" w:ascii="Times New Roman" w:hAnsi="Times New Roman" w:eastAsia="宋体" w:cs="Times New Roman"/>
                      <w:i w:val="0"/>
                      <w:iCs w:val="0"/>
                      <w:caps w:val="0"/>
                      <w:color w:val="auto"/>
                      <w:spacing w:val="0"/>
                      <w:sz w:val="21"/>
                      <w:szCs w:val="21"/>
                      <w:shd w:val="clear" w:fill="FFFFFF"/>
                      <w:lang w:val="en-US" w:eastAsia="en-US"/>
                    </w:rPr>
                    <w:t>°</w:t>
                  </w:r>
                  <w:r>
                    <w:rPr>
                      <w:rFonts w:hint="eastAsia" w:ascii="Times New Roman" w:hAnsi="Times New Roman" w:eastAsia="宋体" w:cs="Times New Roman"/>
                      <w:i w:val="0"/>
                      <w:iCs w:val="0"/>
                      <w:caps w:val="0"/>
                      <w:color w:val="auto"/>
                      <w:spacing w:val="0"/>
                      <w:sz w:val="21"/>
                      <w:szCs w:val="21"/>
                      <w:shd w:val="clear" w:fill="FFFFFF"/>
                      <w:lang w:val="en-US" w:eastAsia="zh-CN"/>
                    </w:rPr>
                    <w:t>51′12.356″</w:t>
                  </w:r>
                </w:p>
              </w:tc>
              <w:tc>
                <w:tcPr>
                  <w:tcW w:w="731" w:type="pct"/>
                  <w:vAlign w:val="center"/>
                </w:tcPr>
                <w:p w14:paraId="3889588B">
                  <w:pPr>
                    <w:keepNext w:val="0"/>
                    <w:keepLines w:val="0"/>
                    <w:pageBreakBefore w:val="0"/>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snapToGrid w:val="0"/>
                      <w:color w:val="auto"/>
                      <w:kern w:val="0"/>
                      <w:sz w:val="21"/>
                      <w:szCs w:val="21"/>
                      <w:lang w:val="en-US" w:eastAsia="zh-CN"/>
                    </w:rPr>
                  </w:pPr>
                  <w:r>
                    <w:rPr>
                      <w:rFonts w:hint="eastAsia" w:ascii="Times New Roman" w:hAnsi="Times New Roman" w:eastAsia="宋体" w:cs="Times New Roman"/>
                      <w:snapToGrid w:val="0"/>
                      <w:color w:val="auto"/>
                      <w:kern w:val="0"/>
                      <w:sz w:val="21"/>
                      <w:szCs w:val="21"/>
                      <w:lang w:val="en-US" w:eastAsia="zh-CN"/>
                    </w:rPr>
                    <w:t>570</w:t>
                  </w:r>
                </w:p>
              </w:tc>
            </w:tr>
          </w:tbl>
          <w:p w14:paraId="12E5619C">
            <w:pPr>
              <w:keepNext w:val="0"/>
              <w:keepLines w:val="0"/>
              <w:pageBreakBefore w:val="0"/>
              <w:widowControl w:val="0"/>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宋体"/>
                <w:bCs/>
                <w:color w:val="auto"/>
                <w:szCs w:val="21"/>
                <w:lang w:val="en-US"/>
              </w:rPr>
            </w:pPr>
          </w:p>
        </w:tc>
      </w:tr>
      <w:tr w14:paraId="3DD52D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0" w:type="pct"/>
            <w:noWrap w:val="0"/>
            <w:vAlign w:val="center"/>
          </w:tcPr>
          <w:p w14:paraId="387F52C1">
            <w:pPr>
              <w:pStyle w:val="15"/>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rPr>
                <w:rFonts w:hint="default" w:ascii="Times New Roman" w:hAnsi="Times New Roman" w:eastAsia="宋体" w:cs="宋体"/>
                <w:color w:val="auto"/>
                <w:szCs w:val="24"/>
                <w:lang w:val="en-US" w:eastAsia="zh-CN"/>
              </w:rPr>
            </w:pPr>
            <w:r>
              <w:rPr>
                <w:rFonts w:hint="eastAsia" w:ascii="Times New Roman" w:hAnsi="Times New Roman" w:eastAsia="宋体" w:cs="宋体"/>
                <w:color w:val="auto"/>
                <w:szCs w:val="24"/>
                <w:lang w:val="en-US" w:eastAsia="zh-CN"/>
              </w:rPr>
              <w:t>项目组成及规模</w:t>
            </w:r>
          </w:p>
        </w:tc>
        <w:tc>
          <w:tcPr>
            <w:tcW w:w="4599" w:type="pct"/>
            <w:noWrap w:val="0"/>
            <w:vAlign w:val="top"/>
          </w:tcPr>
          <w:p w14:paraId="32063B3D">
            <w:pPr>
              <w:numPr>
                <w:ilvl w:val="0"/>
                <w:numId w:val="3"/>
              </w:numPr>
              <w:spacing w:line="360" w:lineRule="auto"/>
              <w:ind w:firstLine="482" w:firstLineChars="200"/>
              <w:rPr>
                <w:rFonts w:hint="eastAsia" w:ascii="Times New Roman" w:hAnsi="Times New Roman" w:eastAsia="宋体" w:cs="Times New Roman"/>
                <w:b/>
                <w:bCs/>
                <w:color w:val="auto"/>
                <w:sz w:val="24"/>
                <w:lang w:eastAsia="zh-CN"/>
              </w:rPr>
            </w:pPr>
            <w:r>
              <w:rPr>
                <w:rFonts w:hint="eastAsia" w:ascii="Times New Roman" w:hAnsi="Times New Roman" w:eastAsia="宋体" w:cs="Times New Roman"/>
                <w:b/>
                <w:bCs/>
                <w:color w:val="auto"/>
                <w:sz w:val="24"/>
                <w:lang w:val="en-US" w:eastAsia="zh-CN"/>
              </w:rPr>
              <w:t>工程</w:t>
            </w:r>
            <w:r>
              <w:rPr>
                <w:rFonts w:hint="eastAsia" w:ascii="Times New Roman" w:hAnsi="Times New Roman" w:eastAsia="宋体" w:cs="Times New Roman"/>
                <w:b/>
                <w:bCs/>
                <w:color w:val="auto"/>
                <w:sz w:val="24"/>
                <w:lang w:eastAsia="zh-CN"/>
              </w:rPr>
              <w:t>建设背景</w:t>
            </w:r>
          </w:p>
          <w:p w14:paraId="1110DDC0">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（1）项目由来</w:t>
            </w:r>
          </w:p>
          <w:p w14:paraId="51AB6539">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陇县共有两个污水处理厂，分别是陇县污水处理厂和陇县千河南岸新城污水处理厂。</w:t>
            </w:r>
          </w:p>
          <w:p w14:paraId="20F8F9DD">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陇县污水处理厂位于城关镇东河桥头东侧，始建于</w:t>
            </w:r>
            <w:r>
              <w:rPr>
                <w:rFonts w:hint="default" w:ascii="Times New Roman" w:hAnsi="Times New Roman" w:eastAsia="宋体" w:cs="Times New Roman"/>
                <w:color w:val="auto"/>
                <w:sz w:val="24"/>
                <w:szCs w:val="24"/>
                <w:lang w:val="en-US" w:eastAsia="zh-CN"/>
              </w:rPr>
              <w:t>2006</w:t>
            </w:r>
            <w:r>
              <w:rPr>
                <w:rFonts w:hint="eastAsia" w:ascii="Times New Roman" w:hAnsi="Times New Roman" w:eastAsia="宋体" w:cs="Times New Roman"/>
                <w:color w:val="auto"/>
                <w:sz w:val="24"/>
                <w:szCs w:val="24"/>
                <w:lang w:val="en-US" w:eastAsia="zh-CN"/>
              </w:rPr>
              <w:t>年，厂区占地</w:t>
            </w:r>
            <w:r>
              <w:rPr>
                <w:rFonts w:hint="default" w:ascii="Times New Roman" w:hAnsi="Times New Roman" w:eastAsia="宋体" w:cs="Times New Roman"/>
                <w:color w:val="auto"/>
                <w:sz w:val="24"/>
                <w:szCs w:val="24"/>
                <w:lang w:val="en-US" w:eastAsia="zh-CN"/>
              </w:rPr>
              <w:t>37</w:t>
            </w:r>
            <w:r>
              <w:rPr>
                <w:rFonts w:hint="eastAsia" w:ascii="Times New Roman" w:hAnsi="Times New Roman" w:eastAsia="宋体" w:cs="Times New Roman"/>
                <w:color w:val="auto"/>
                <w:sz w:val="24"/>
                <w:szCs w:val="24"/>
                <w:lang w:val="en-US" w:eastAsia="zh-CN"/>
              </w:rPr>
              <w:t>亩。因原处理工艺无法满足现行污水排放标准，于</w:t>
            </w:r>
            <w:r>
              <w:rPr>
                <w:rFonts w:hint="default" w:ascii="Times New Roman" w:hAnsi="Times New Roman" w:eastAsia="宋体" w:cs="Times New Roman"/>
                <w:color w:val="auto"/>
                <w:sz w:val="24"/>
                <w:szCs w:val="24"/>
                <w:lang w:val="en-US" w:eastAsia="zh-CN"/>
              </w:rPr>
              <w:t>2020</w:t>
            </w:r>
            <w:r>
              <w:rPr>
                <w:rFonts w:hint="eastAsia" w:ascii="Times New Roman" w:hAnsi="Times New Roman" w:eastAsia="宋体" w:cs="Times New Roman"/>
                <w:color w:val="auto"/>
                <w:sz w:val="24"/>
                <w:szCs w:val="24"/>
                <w:lang w:val="en-US" w:eastAsia="zh-CN"/>
              </w:rPr>
              <w:t>年</w:t>
            </w:r>
            <w:r>
              <w:rPr>
                <w:rFonts w:hint="default" w:ascii="Times New Roman" w:hAnsi="Times New Roman" w:eastAsia="宋体" w:cs="Times New Roman"/>
                <w:color w:val="auto"/>
                <w:sz w:val="24"/>
                <w:szCs w:val="24"/>
                <w:lang w:val="en-US" w:eastAsia="zh-CN"/>
              </w:rPr>
              <w:t>9</w:t>
            </w:r>
            <w:r>
              <w:rPr>
                <w:rFonts w:hint="eastAsia" w:ascii="Times New Roman" w:hAnsi="Times New Roman" w:eastAsia="宋体" w:cs="Times New Roman"/>
                <w:color w:val="auto"/>
                <w:sz w:val="24"/>
                <w:szCs w:val="24"/>
                <w:lang w:val="en-US" w:eastAsia="zh-CN"/>
              </w:rPr>
              <w:t>月开工扩建一条</w:t>
            </w: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万</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 xml:space="preserve"> /d </w:t>
            </w:r>
            <w:r>
              <w:rPr>
                <w:rFonts w:hint="eastAsia" w:ascii="Times New Roman" w:hAnsi="Times New Roman" w:eastAsia="宋体" w:cs="Times New Roman"/>
                <w:color w:val="auto"/>
                <w:sz w:val="24"/>
                <w:szCs w:val="24"/>
                <w:lang w:val="en-US" w:eastAsia="zh-CN"/>
              </w:rPr>
              <w:t>的处理设施，</w:t>
            </w:r>
            <w:r>
              <w:rPr>
                <w:rFonts w:hint="default" w:ascii="Times New Roman" w:hAnsi="Times New Roman" w:eastAsia="宋体" w:cs="Times New Roman"/>
                <w:color w:val="auto"/>
                <w:sz w:val="24"/>
                <w:szCs w:val="24"/>
                <w:lang w:val="en-US" w:eastAsia="zh-CN"/>
              </w:rPr>
              <w:t>2021</w:t>
            </w:r>
            <w:r>
              <w:rPr>
                <w:rFonts w:hint="eastAsia" w:ascii="Times New Roman" w:hAnsi="Times New Roman" w:eastAsia="宋体" w:cs="Times New Roman"/>
                <w:color w:val="auto"/>
                <w:sz w:val="24"/>
                <w:szCs w:val="24"/>
                <w:lang w:val="en-US" w:eastAsia="zh-CN"/>
              </w:rPr>
              <w:t>年</w:t>
            </w:r>
            <w:r>
              <w:rPr>
                <w:rFonts w:hint="default" w:ascii="Times New Roman" w:hAnsi="Times New Roman" w:eastAsia="宋体" w:cs="Times New Roman"/>
                <w:color w:val="auto"/>
                <w:sz w:val="24"/>
                <w:szCs w:val="24"/>
                <w:lang w:val="en-US" w:eastAsia="zh-CN"/>
              </w:rPr>
              <w:t>6</w:t>
            </w:r>
            <w:r>
              <w:rPr>
                <w:rFonts w:hint="eastAsia" w:ascii="Times New Roman" w:hAnsi="Times New Roman" w:eastAsia="宋体" w:cs="Times New Roman"/>
                <w:color w:val="auto"/>
                <w:sz w:val="24"/>
                <w:szCs w:val="24"/>
                <w:lang w:val="en-US" w:eastAsia="zh-CN"/>
              </w:rPr>
              <w:t>月建设完工，同年</w:t>
            </w:r>
            <w:r>
              <w:rPr>
                <w:rFonts w:hint="default" w:ascii="Times New Roman" w:hAnsi="Times New Roman" w:eastAsia="宋体" w:cs="Times New Roman"/>
                <w:color w:val="auto"/>
                <w:sz w:val="24"/>
                <w:szCs w:val="24"/>
                <w:lang w:val="en-US" w:eastAsia="zh-CN"/>
              </w:rPr>
              <w:t>7</w:t>
            </w:r>
            <w:r>
              <w:rPr>
                <w:rFonts w:hint="eastAsia" w:ascii="Times New Roman" w:hAnsi="Times New Roman" w:eastAsia="宋体" w:cs="Times New Roman"/>
                <w:color w:val="auto"/>
                <w:sz w:val="24"/>
                <w:szCs w:val="24"/>
                <w:lang w:val="en-US" w:eastAsia="zh-CN"/>
              </w:rPr>
              <w:t xml:space="preserve">月为规范化总排口，安装了 </w:t>
            </w:r>
            <w:r>
              <w:rPr>
                <w:rFonts w:hint="default" w:ascii="Times New Roman" w:hAnsi="Times New Roman" w:eastAsia="宋体" w:cs="Times New Roman"/>
                <w:color w:val="auto"/>
                <w:sz w:val="24"/>
                <w:szCs w:val="24"/>
                <w:lang w:val="en-US" w:eastAsia="zh-CN"/>
              </w:rPr>
              <w:t>COD</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NH</w:t>
            </w:r>
            <w:r>
              <w:rPr>
                <w:rFonts w:hint="default" w:ascii="Times New Roman" w:hAnsi="Times New Roman" w:eastAsia="宋体" w:cs="Times New Roman"/>
                <w:color w:val="auto"/>
                <w:sz w:val="24"/>
                <w:szCs w:val="24"/>
                <w:vertAlign w:val="subscript"/>
                <w:lang w:val="en-US" w:eastAsia="zh-CN"/>
              </w:rPr>
              <w:t>3</w:t>
            </w:r>
            <w:r>
              <w:rPr>
                <w:rFonts w:hint="eastAsia" w:cs="Times New Roman"/>
                <w:color w:val="auto"/>
                <w:sz w:val="24"/>
                <w:szCs w:val="24"/>
                <w:vertAlign w:val="subscript"/>
                <w:lang w:val="en-US" w:eastAsia="zh-CN"/>
              </w:rPr>
              <w:t>-</w:t>
            </w:r>
            <w:r>
              <w:rPr>
                <w:rFonts w:hint="eastAsia" w:cs="Times New Roman"/>
                <w:color w:val="auto"/>
                <w:sz w:val="24"/>
                <w:szCs w:val="24"/>
                <w:vertAlign w:val="baseline"/>
                <w:lang w:val="en-US" w:eastAsia="zh-CN"/>
              </w:rPr>
              <w:t>N</w:t>
            </w:r>
            <w:r>
              <w:rPr>
                <w:rFonts w:hint="eastAsia" w:ascii="Times New Roman" w:hAnsi="Times New Roman" w:eastAsia="宋体" w:cs="Times New Roman"/>
                <w:color w:val="auto"/>
                <w:sz w:val="24"/>
                <w:szCs w:val="24"/>
                <w:lang w:val="en-US" w:eastAsia="zh-CN"/>
              </w:rPr>
              <w:t>、总磷、总氮、水质自动采样器及流量在线监测设备，同年</w:t>
            </w:r>
            <w:r>
              <w:rPr>
                <w:rFonts w:hint="default" w:ascii="Times New Roman" w:hAnsi="Times New Roman" w:eastAsia="宋体" w:cs="Times New Roman"/>
                <w:color w:val="auto"/>
                <w:sz w:val="24"/>
                <w:szCs w:val="24"/>
                <w:lang w:val="en-US" w:eastAsia="zh-CN"/>
              </w:rPr>
              <w:t>9</w:t>
            </w:r>
            <w:r>
              <w:rPr>
                <w:rFonts w:hint="eastAsia" w:ascii="Times New Roman" w:hAnsi="Times New Roman" w:eastAsia="宋体" w:cs="Times New Roman"/>
                <w:color w:val="auto"/>
                <w:sz w:val="24"/>
                <w:szCs w:val="24"/>
                <w:lang w:val="en-US" w:eastAsia="zh-CN"/>
              </w:rPr>
              <w:t>月获得了入河排污口设置论证报告的批复</w:t>
            </w:r>
            <w:r>
              <w:rPr>
                <w:rFonts w:hint="eastAsia" w:cs="Times New Roman"/>
                <w:color w:val="auto"/>
                <w:sz w:val="24"/>
                <w:szCs w:val="24"/>
                <w:lang w:val="en-US" w:eastAsia="zh-CN"/>
              </w:rPr>
              <w:t>并</w:t>
            </w:r>
            <w:r>
              <w:rPr>
                <w:rFonts w:hint="eastAsia" w:ascii="Times New Roman" w:hAnsi="Times New Roman" w:eastAsia="宋体" w:cs="Times New Roman"/>
                <w:color w:val="auto"/>
                <w:sz w:val="24"/>
                <w:szCs w:val="24"/>
                <w:lang w:val="en-US" w:eastAsia="zh-CN"/>
              </w:rPr>
              <w:t>通过了竣工环境保护验收。陇县污水处理厂现有处理设施采用</w:t>
            </w:r>
            <w:r>
              <w:rPr>
                <w:rFonts w:hint="default" w:ascii="Times New Roman" w:hAnsi="Times New Roman" w:eastAsia="宋体" w:cs="Times New Roman"/>
                <w:color w:val="auto"/>
                <w:sz w:val="24"/>
                <w:szCs w:val="24"/>
                <w:lang w:val="en-US" w:eastAsia="zh-CN"/>
              </w:rPr>
              <w:t>A</w:t>
            </w:r>
            <w:r>
              <w:rPr>
                <w:rFonts w:hint="default" w:ascii="Times New Roman" w:hAnsi="Times New Roman" w:eastAsia="宋体" w:cs="Times New Roman"/>
                <w:color w:val="auto"/>
                <w:sz w:val="24"/>
                <w:szCs w:val="24"/>
                <w:vertAlign w:val="superscript"/>
                <w:lang w:val="en-US" w:eastAsia="zh-CN"/>
              </w:rPr>
              <w:t xml:space="preserve">2 </w:t>
            </w:r>
            <w:r>
              <w:rPr>
                <w:rFonts w:hint="default" w:ascii="Times New Roman" w:hAnsi="Times New Roman" w:eastAsia="宋体" w:cs="Times New Roman"/>
                <w:color w:val="auto"/>
                <w:sz w:val="24"/>
                <w:szCs w:val="24"/>
                <w:lang w:val="en-US" w:eastAsia="zh-CN"/>
              </w:rPr>
              <w:t>/O</w:t>
            </w:r>
            <w:r>
              <w:rPr>
                <w:rFonts w:hint="eastAsia" w:ascii="Times New Roman" w:hAnsi="Times New Roman" w:eastAsia="宋体" w:cs="Times New Roman"/>
                <w:color w:val="auto"/>
                <w:sz w:val="24"/>
                <w:szCs w:val="24"/>
                <w:lang w:val="en-US" w:eastAsia="zh-CN"/>
              </w:rPr>
              <w:t>工艺，出水排入千河，执行《陕西省黄河流域污水综合排放标准》（</w:t>
            </w:r>
            <w:r>
              <w:rPr>
                <w:rFonts w:hint="default" w:ascii="Times New Roman" w:hAnsi="Times New Roman" w:eastAsia="宋体" w:cs="Times New Roman"/>
                <w:color w:val="auto"/>
                <w:sz w:val="24"/>
                <w:szCs w:val="24"/>
                <w:lang w:val="en-US" w:eastAsia="zh-CN"/>
              </w:rPr>
              <w:t>DB61/224-2018</w:t>
            </w:r>
            <w:r>
              <w:rPr>
                <w:rFonts w:hint="eastAsia" w:ascii="Times New Roman" w:hAnsi="Times New Roman" w:eastAsia="宋体" w:cs="Times New Roman"/>
                <w:color w:val="auto"/>
                <w:sz w:val="24"/>
                <w:szCs w:val="24"/>
                <w:lang w:val="en-US" w:eastAsia="zh-CN"/>
              </w:rPr>
              <w:t xml:space="preserve">）中的 </w:t>
            </w:r>
            <w:r>
              <w:rPr>
                <w:rFonts w:hint="default" w:ascii="Times New Roman" w:hAnsi="Times New Roman" w:eastAsia="宋体" w:cs="Times New Roman"/>
                <w:color w:val="auto"/>
                <w:sz w:val="24"/>
                <w:szCs w:val="24"/>
                <w:lang w:val="en-US" w:eastAsia="zh-CN"/>
              </w:rPr>
              <w:t xml:space="preserve">A </w:t>
            </w:r>
            <w:r>
              <w:rPr>
                <w:rFonts w:hint="eastAsia" w:ascii="Times New Roman" w:hAnsi="Times New Roman" w:eastAsia="宋体" w:cs="Times New Roman"/>
                <w:color w:val="auto"/>
                <w:sz w:val="24"/>
                <w:szCs w:val="24"/>
                <w:lang w:val="en-US" w:eastAsia="zh-CN"/>
              </w:rPr>
              <w:t>类标准。</w:t>
            </w:r>
          </w:p>
          <w:p w14:paraId="21F1BA70">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千河南岸新城污水处理厂位于城关镇堡子身村，一期工程建设设计日处理污水量</w:t>
            </w: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万</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 xml:space="preserve">的污水处理厂及配套工程，采用 </w:t>
            </w:r>
            <w:r>
              <w:rPr>
                <w:rFonts w:hint="default" w:ascii="Times New Roman" w:hAnsi="Times New Roman" w:eastAsia="宋体" w:cs="Times New Roman"/>
                <w:color w:val="auto"/>
                <w:sz w:val="24"/>
                <w:szCs w:val="24"/>
                <w:lang w:val="en-US" w:eastAsia="zh-CN"/>
              </w:rPr>
              <w:t>BioDopp</w:t>
            </w:r>
            <w:r>
              <w:rPr>
                <w:rFonts w:hint="eastAsia" w:ascii="Times New Roman" w:hAnsi="Times New Roman" w:eastAsia="宋体" w:cs="Times New Roman"/>
                <w:color w:val="auto"/>
                <w:sz w:val="24"/>
                <w:szCs w:val="24"/>
                <w:lang w:val="en-US" w:eastAsia="zh-CN"/>
              </w:rPr>
              <w:t>（生物倍增）工艺。出水水质达到《城镇污水处理厂污染物排放标准》（</w:t>
            </w:r>
            <w:r>
              <w:rPr>
                <w:rFonts w:hint="default" w:ascii="Times New Roman" w:hAnsi="Times New Roman" w:eastAsia="宋体" w:cs="Times New Roman"/>
                <w:color w:val="auto"/>
                <w:sz w:val="24"/>
                <w:szCs w:val="24"/>
                <w:lang w:val="en-US" w:eastAsia="zh-CN"/>
              </w:rPr>
              <w:t>GB18918-2002</w:t>
            </w:r>
            <w:r>
              <w:rPr>
                <w:rFonts w:hint="eastAsia" w:ascii="Times New Roman" w:hAnsi="Times New Roman" w:eastAsia="宋体" w:cs="Times New Roman"/>
                <w:color w:val="auto"/>
                <w:sz w:val="24"/>
                <w:szCs w:val="24"/>
                <w:lang w:val="en-US" w:eastAsia="zh-CN"/>
              </w:rPr>
              <w:t>）一级</w:t>
            </w:r>
            <w:r>
              <w:rPr>
                <w:rFonts w:hint="default" w:ascii="Times New Roman" w:hAnsi="Times New Roman" w:eastAsia="宋体" w:cs="Times New Roman"/>
                <w:color w:val="auto"/>
                <w:sz w:val="24"/>
                <w:szCs w:val="24"/>
                <w:lang w:val="en-US" w:eastAsia="zh-CN"/>
              </w:rPr>
              <w:t>A</w:t>
            </w:r>
            <w:r>
              <w:rPr>
                <w:rFonts w:hint="eastAsia" w:ascii="Times New Roman" w:hAnsi="Times New Roman" w:eastAsia="宋体" w:cs="Times New Roman"/>
                <w:color w:val="auto"/>
                <w:sz w:val="24"/>
                <w:szCs w:val="24"/>
                <w:lang w:val="en-US" w:eastAsia="zh-CN"/>
              </w:rPr>
              <w:t>标准。该工程于</w:t>
            </w:r>
            <w:r>
              <w:rPr>
                <w:rFonts w:hint="default" w:ascii="Times New Roman" w:hAnsi="Times New Roman" w:eastAsia="宋体" w:cs="Times New Roman"/>
                <w:color w:val="auto"/>
                <w:sz w:val="24"/>
                <w:szCs w:val="24"/>
                <w:lang w:val="en-US" w:eastAsia="zh-CN"/>
              </w:rPr>
              <w:t>2015</w:t>
            </w:r>
            <w:r>
              <w:rPr>
                <w:rFonts w:hint="eastAsia" w:ascii="Times New Roman" w:hAnsi="Times New Roman" w:eastAsia="宋体" w:cs="Times New Roman"/>
                <w:color w:val="auto"/>
                <w:sz w:val="24"/>
                <w:szCs w:val="24"/>
                <w:lang w:val="en-US" w:eastAsia="zh-CN"/>
              </w:rPr>
              <w:t>年</w:t>
            </w:r>
            <w:r>
              <w:rPr>
                <w:rFonts w:hint="default"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lang w:val="en-US" w:eastAsia="zh-CN"/>
              </w:rPr>
              <w:t>月开工，</w:t>
            </w:r>
            <w:r>
              <w:rPr>
                <w:rFonts w:hint="default" w:ascii="Times New Roman" w:hAnsi="Times New Roman" w:eastAsia="宋体" w:cs="Times New Roman"/>
                <w:color w:val="auto"/>
                <w:sz w:val="24"/>
                <w:szCs w:val="24"/>
                <w:lang w:val="en-US" w:eastAsia="zh-CN"/>
              </w:rPr>
              <w:t>2016</w:t>
            </w:r>
            <w:r>
              <w:rPr>
                <w:rFonts w:hint="eastAsia" w:ascii="Times New Roman" w:hAnsi="Times New Roman" w:eastAsia="宋体" w:cs="Times New Roman"/>
                <w:color w:val="auto"/>
                <w:sz w:val="24"/>
                <w:szCs w:val="24"/>
                <w:lang w:val="en-US" w:eastAsia="zh-CN"/>
              </w:rPr>
              <w:t>年12月通过环保验收。</w:t>
            </w:r>
          </w:p>
          <w:p w14:paraId="04129F59">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由于政策更新，污水处理厂出水水质排放标准的提高，于</w:t>
            </w:r>
            <w:r>
              <w:rPr>
                <w:rFonts w:hint="default" w:ascii="Times New Roman" w:hAnsi="Times New Roman" w:eastAsia="宋体" w:cs="Times New Roman"/>
                <w:color w:val="auto"/>
                <w:sz w:val="24"/>
                <w:szCs w:val="24"/>
                <w:lang w:val="en-US" w:eastAsia="zh-CN"/>
              </w:rPr>
              <w:t>2020</w:t>
            </w:r>
            <w:r>
              <w:rPr>
                <w:rFonts w:hint="eastAsia" w:ascii="Times New Roman" w:hAnsi="Times New Roman" w:eastAsia="宋体" w:cs="Times New Roman"/>
                <w:color w:val="auto"/>
                <w:sz w:val="24"/>
                <w:szCs w:val="24"/>
                <w:lang w:val="en-US" w:eastAsia="zh-CN"/>
              </w:rPr>
              <w:t>年</w:t>
            </w:r>
            <w:r>
              <w:rPr>
                <w:rFonts w:hint="default" w:ascii="Times New Roman" w:hAnsi="Times New Roman" w:eastAsia="宋体" w:cs="Times New Roman"/>
                <w:color w:val="auto"/>
                <w:sz w:val="24"/>
                <w:szCs w:val="24"/>
                <w:lang w:val="en-US" w:eastAsia="zh-CN"/>
              </w:rPr>
              <w:t>9</w:t>
            </w:r>
            <w:r>
              <w:rPr>
                <w:rFonts w:hint="eastAsia" w:ascii="Times New Roman" w:hAnsi="Times New Roman" w:eastAsia="宋体" w:cs="Times New Roman"/>
                <w:color w:val="auto"/>
                <w:sz w:val="24"/>
                <w:szCs w:val="24"/>
                <w:lang w:val="en-US" w:eastAsia="zh-CN"/>
              </w:rPr>
              <w:t>月开始对千河南岸新城污水处理厂进行提标改造，将原有的</w:t>
            </w:r>
            <w:r>
              <w:rPr>
                <w:rFonts w:hint="default" w:ascii="Times New Roman" w:hAnsi="Times New Roman" w:eastAsia="宋体" w:cs="Times New Roman"/>
                <w:color w:val="auto"/>
                <w:sz w:val="24"/>
                <w:szCs w:val="24"/>
                <w:lang w:val="en-US" w:eastAsia="zh-CN"/>
              </w:rPr>
              <w:t>BioDopp</w:t>
            </w:r>
            <w:r>
              <w:rPr>
                <w:rFonts w:hint="eastAsia" w:ascii="Times New Roman" w:hAnsi="Times New Roman" w:eastAsia="宋体" w:cs="Times New Roman"/>
                <w:color w:val="auto"/>
                <w:sz w:val="24"/>
                <w:szCs w:val="24"/>
                <w:lang w:val="en-US" w:eastAsia="zh-CN"/>
              </w:rPr>
              <w:t>（生物倍增）工艺改造为现在的</w:t>
            </w:r>
            <w:r>
              <w:rPr>
                <w:rFonts w:hint="default" w:ascii="Times New Roman" w:hAnsi="Times New Roman" w:eastAsia="宋体" w:cs="Times New Roman"/>
                <w:color w:val="auto"/>
                <w:sz w:val="24"/>
                <w:szCs w:val="24"/>
                <w:lang w:val="en-US" w:eastAsia="zh-CN"/>
              </w:rPr>
              <w:t>A</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 xml:space="preserve"> /O</w:t>
            </w:r>
            <w:r>
              <w:rPr>
                <w:rFonts w:hint="eastAsia" w:ascii="Times New Roman" w:hAnsi="Times New Roman" w:eastAsia="宋体" w:cs="Times New Roman"/>
                <w:color w:val="auto"/>
                <w:sz w:val="24"/>
                <w:szCs w:val="24"/>
                <w:lang w:val="en-US" w:eastAsia="zh-CN"/>
              </w:rPr>
              <w:t>生化工艺，出水排入千河支流大杜阳河，出水水质执行《陕西省黄河流域污水综合排放标准》（</w:t>
            </w:r>
            <w:r>
              <w:rPr>
                <w:rFonts w:hint="default" w:ascii="Times New Roman" w:hAnsi="Times New Roman" w:eastAsia="宋体" w:cs="Times New Roman"/>
                <w:color w:val="auto"/>
                <w:sz w:val="24"/>
                <w:szCs w:val="24"/>
                <w:lang w:val="en-US" w:eastAsia="zh-CN"/>
              </w:rPr>
              <w:t>DB61/224-2018</w:t>
            </w:r>
            <w:r>
              <w:rPr>
                <w:rFonts w:hint="eastAsia" w:ascii="Times New Roman" w:hAnsi="Times New Roman" w:eastAsia="宋体" w:cs="Times New Roman"/>
                <w:color w:val="auto"/>
                <w:sz w:val="24"/>
                <w:szCs w:val="24"/>
                <w:lang w:val="en-US" w:eastAsia="zh-CN"/>
              </w:rPr>
              <w:t>）中的</w:t>
            </w:r>
            <w:r>
              <w:rPr>
                <w:rFonts w:hint="default" w:ascii="Times New Roman" w:hAnsi="Times New Roman" w:eastAsia="宋体" w:cs="Times New Roman"/>
                <w:color w:val="auto"/>
                <w:sz w:val="24"/>
                <w:szCs w:val="24"/>
                <w:lang w:val="en-US" w:eastAsia="zh-CN"/>
              </w:rPr>
              <w:t>A</w:t>
            </w:r>
            <w:r>
              <w:rPr>
                <w:rFonts w:hint="eastAsia" w:ascii="Times New Roman" w:hAnsi="Times New Roman" w:eastAsia="宋体" w:cs="Times New Roman"/>
                <w:color w:val="auto"/>
                <w:sz w:val="24"/>
                <w:szCs w:val="24"/>
                <w:lang w:val="en-US" w:eastAsia="zh-CN"/>
              </w:rPr>
              <w:t>类标准。改造工程</w:t>
            </w:r>
            <w:r>
              <w:rPr>
                <w:rFonts w:hint="default" w:ascii="Times New Roman" w:hAnsi="Times New Roman" w:eastAsia="宋体" w:cs="Times New Roman"/>
                <w:color w:val="auto"/>
                <w:sz w:val="24"/>
                <w:szCs w:val="24"/>
                <w:lang w:val="en-US" w:eastAsia="zh-CN"/>
              </w:rPr>
              <w:t>2021</w:t>
            </w:r>
            <w:r>
              <w:rPr>
                <w:rFonts w:hint="eastAsia" w:ascii="Times New Roman" w:hAnsi="Times New Roman" w:eastAsia="宋体" w:cs="Times New Roman"/>
                <w:color w:val="auto"/>
                <w:sz w:val="24"/>
                <w:szCs w:val="24"/>
                <w:lang w:val="en-US" w:eastAsia="zh-CN"/>
              </w:rPr>
              <w:t>年</w:t>
            </w:r>
            <w:r>
              <w:rPr>
                <w:rFonts w:hint="default" w:ascii="Times New Roman" w:hAnsi="Times New Roman" w:eastAsia="宋体" w:cs="Times New Roman"/>
                <w:color w:val="auto"/>
                <w:sz w:val="24"/>
                <w:szCs w:val="24"/>
                <w:lang w:val="en-US" w:eastAsia="zh-CN"/>
              </w:rPr>
              <w:t>8</w:t>
            </w:r>
            <w:r>
              <w:rPr>
                <w:rFonts w:hint="eastAsia" w:ascii="Times New Roman" w:hAnsi="Times New Roman" w:eastAsia="宋体" w:cs="Times New Roman"/>
                <w:color w:val="auto"/>
                <w:sz w:val="24"/>
                <w:szCs w:val="24"/>
                <w:lang w:val="en-US" w:eastAsia="zh-CN"/>
              </w:rPr>
              <w:t>月通过环保验收，同年</w:t>
            </w:r>
            <w:r>
              <w:rPr>
                <w:rFonts w:hint="default" w:ascii="Times New Roman" w:hAnsi="Times New Roman" w:eastAsia="宋体" w:cs="Times New Roman"/>
                <w:color w:val="auto"/>
                <w:sz w:val="24"/>
                <w:szCs w:val="24"/>
                <w:lang w:val="en-US" w:eastAsia="zh-CN"/>
              </w:rPr>
              <w:t>10</w:t>
            </w:r>
            <w:r>
              <w:rPr>
                <w:rFonts w:hint="eastAsia" w:ascii="Times New Roman" w:hAnsi="Times New Roman" w:eastAsia="宋体" w:cs="Times New Roman"/>
                <w:color w:val="auto"/>
                <w:sz w:val="24"/>
                <w:szCs w:val="24"/>
                <w:lang w:val="en-US" w:eastAsia="zh-CN"/>
              </w:rPr>
              <w:t>月获得了入河排污口设置论证报告的批复。</w:t>
            </w:r>
          </w:p>
          <w:p w14:paraId="4E97F783">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为了进一步改善千河水质，计划建设陇县千河南岸新城污水处理厂人工湿地水质净化工程，将两座污水处理厂的部分尾水分别引入人工湿地处理后，作为千河生态补水水源，合理缓解千河水质自净负荷，综合提升下游水质。</w:t>
            </w:r>
          </w:p>
          <w:p w14:paraId="6280FDDF">
            <w:pPr>
              <w:spacing w:line="360" w:lineRule="auto"/>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（2）判定依据</w:t>
            </w:r>
          </w:p>
          <w:p w14:paraId="5911A742">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lang w:val="en-US" w:eastAsia="zh-CN"/>
              </w:rPr>
              <w:t>本项目主要建设内容为人工湿地、护岸和护坡，两座人工湿地总容积为37319.95m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。根据《中华人民共和国环境影响评价法》《建设项目环境保护管理条例》及《建设项目环境影响评价分类管理名录》（2021版）等环境保护管理规定，人工湿地工程属于″</w:t>
            </w:r>
            <w:r>
              <w:rPr>
                <w:rFonts w:hint="eastAsia" w:ascii="Times New Roman" w:hAnsi="Times New Roman" w:eastAsia="宋体" w:cs="Times New Roman"/>
                <w:color w:val="auto"/>
                <w:kern w:val="2"/>
                <w:sz w:val="24"/>
                <w:szCs w:val="24"/>
                <w:lang w:val="en-US" w:eastAsia="zh-CN" w:bidi="ar-SA"/>
              </w:rPr>
              <w:t>五十、社会事业与服务业-144、公园（含动物园、主题公园；不含城市公园、植物园、村庄公园）；人工湖、人工湿地-不涉及环境敏感区的容积5万立方米以下的人工湖、人工湿地″</w:t>
            </w:r>
            <w:r>
              <w:rPr>
                <w:rFonts w:hint="eastAsia" w:ascii="Times New Roman" w:hAnsi="Times New Roman" w:eastAsia="宋体" w:cs="Times New Roman"/>
                <w:color w:val="auto"/>
                <w:sz w:val="24"/>
                <w:lang w:val="en-US" w:eastAsia="zh-CN"/>
              </w:rPr>
              <w:t>，不需编制环评报告表；建设内容中的护岸和生态护坡属于：″</w:t>
            </w:r>
            <w:r>
              <w:rPr>
                <w:rFonts w:hint="eastAsia" w:ascii="Times New Roman" w:hAnsi="Times New Roman" w:eastAsia="宋体" w:cs="Times New Roman"/>
                <w:color w:val="auto"/>
                <w:kern w:val="2"/>
                <w:sz w:val="24"/>
                <w:szCs w:val="24"/>
                <w:lang w:val="en-US" w:eastAsia="zh-CN" w:bidi="ar-SA"/>
              </w:rPr>
              <w:t>五十一、水利—127防洪工程—其他（小型沟渠的护坡除外；城镇排涝河流水闸、排涝泵站除</w:t>
            </w:r>
            <w:r>
              <w:rPr>
                <w:rFonts w:hint="eastAsia" w:ascii="Times New Roman" w:hAnsi="Times New Roman" w:eastAsia="宋体" w:cs="Times New Roman"/>
                <w:color w:val="auto"/>
                <w:kern w:val="2"/>
                <w:sz w:val="24"/>
                <w:szCs w:val="24"/>
                <w:highlight w:val="none"/>
                <w:lang w:val="en-US" w:eastAsia="zh-CN" w:bidi="ar-SA"/>
              </w:rPr>
              <w:t>外）</w:t>
            </w:r>
            <w:r>
              <w:rPr>
                <w:rFonts w:hint="eastAsia" w:ascii="Times New Roman" w:hAnsi="Times New Roman" w:eastAsia="宋体" w:cs="Times New Roman"/>
                <w:color w:val="auto"/>
                <w:sz w:val="24"/>
                <w:highlight w:val="none"/>
                <w:lang w:val="en-US" w:eastAsia="zh-CN"/>
              </w:rPr>
              <w:t>″，应编制环境影响报告表。为此，</w:t>
            </w:r>
            <w:r>
              <w:rPr>
                <w:rFonts w:hint="eastAsia" w:ascii="Times New Roman" w:hAnsi="Times New Roman" w:eastAsia="宋体" w:cs="Times New Roman"/>
                <w:color w:val="auto"/>
                <w:kern w:val="2"/>
                <w:sz w:val="24"/>
                <w:szCs w:val="24"/>
                <w:lang w:val="en-US" w:eastAsia="zh-CN" w:bidi="ar-SA"/>
              </w:rPr>
              <w:t>宝鸡市生态环境局陇县分局</w:t>
            </w:r>
            <w:r>
              <w:rPr>
                <w:rFonts w:hint="eastAsia" w:ascii="Times New Roman" w:hAnsi="Times New Roman" w:eastAsia="宋体" w:cs="Times New Roman"/>
                <w:color w:val="auto"/>
                <w:sz w:val="24"/>
                <w:highlight w:val="none"/>
                <w:lang w:val="en-US" w:eastAsia="zh-CN"/>
              </w:rPr>
              <w:t>于2026年4月委托我公司承担该工程环境影响评价工作。我公司接受委托后，对工程现场进行了</w:t>
            </w:r>
            <w:r>
              <w:rPr>
                <w:rFonts w:hint="eastAsia" w:ascii="Times New Roman" w:hAnsi="Times New Roman" w:eastAsia="宋体" w:cs="Times New Roman"/>
                <w:color w:val="auto"/>
                <w:sz w:val="24"/>
                <w:lang w:val="en-US" w:eastAsia="zh-CN"/>
              </w:rPr>
              <w:t>踏勘和资料收集，在对工程分析的基础上，按照《建设项目环境影响报告表编制技术指南（生态影响类）（试行）》等相关技术规范编制完成了本工程环境影响报告表。</w:t>
            </w:r>
          </w:p>
          <w:p w14:paraId="5FF46633">
            <w:pPr>
              <w:spacing w:line="360" w:lineRule="auto"/>
              <w:ind w:firstLine="482" w:firstLineChars="20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2、工程基本情况</w:t>
            </w:r>
          </w:p>
          <w:p w14:paraId="156974E1">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项目名称</w:t>
            </w:r>
            <w:r>
              <w:rPr>
                <w:rFonts w:hint="default" w:ascii="Times New Roman" w:hAnsi="Times New Roman" w:eastAsia="宋体" w:cs="Times New Roman"/>
                <w:color w:val="auto"/>
                <w:szCs w:val="24"/>
              </w:rPr>
              <w:t>：</w:t>
            </w:r>
            <w:r>
              <w:rPr>
                <w:rFonts w:hint="eastAsia" w:ascii="Times New Roman" w:hAnsi="Times New Roman" w:eastAsia="宋体" w:cs="Times New Roman"/>
                <w:color w:val="auto"/>
                <w:sz w:val="24"/>
                <w:szCs w:val="24"/>
                <w:lang w:val="en-US" w:eastAsia="zh-CN"/>
              </w:rPr>
              <w:t>陇县千河南岸新城污水处理厂人工湿地水质净化工程</w:t>
            </w:r>
          </w:p>
          <w:p w14:paraId="1299D580">
            <w:pPr>
              <w:spacing w:line="360" w:lineRule="auto"/>
              <w:ind w:firstLine="480" w:firstLineChars="200"/>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建设单位：</w:t>
            </w:r>
            <w:r>
              <w:rPr>
                <w:rFonts w:hint="eastAsia" w:ascii="Times New Roman" w:hAnsi="Times New Roman" w:eastAsia="宋体" w:cs="Times New Roman"/>
                <w:color w:val="auto"/>
                <w:kern w:val="2"/>
                <w:sz w:val="24"/>
                <w:szCs w:val="24"/>
                <w:lang w:val="en-US" w:eastAsia="zh-CN" w:bidi="ar-SA"/>
              </w:rPr>
              <w:t>宝鸡市生态环境局陇县分局</w:t>
            </w:r>
          </w:p>
          <w:p w14:paraId="5EA14C4A">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建设地点：</w:t>
            </w:r>
            <w:r>
              <w:rPr>
                <w:rFonts w:hint="eastAsia" w:ascii="Times New Roman" w:hAnsi="Times New Roman" w:eastAsia="宋体" w:cs="Times New Roman"/>
                <w:color w:val="auto"/>
                <w:sz w:val="24"/>
                <w:szCs w:val="24"/>
                <w:u w:val="none"/>
                <w:lang w:val="en-US" w:eastAsia="zh-CN"/>
              </w:rPr>
              <w:t>宝鸡市陇县</w:t>
            </w:r>
            <w:r>
              <w:rPr>
                <w:rFonts w:hint="eastAsia" w:cs="Times New Roman"/>
                <w:color w:val="auto"/>
                <w:sz w:val="24"/>
                <w:szCs w:val="24"/>
                <w:u w:val="none"/>
                <w:lang w:val="en-US" w:eastAsia="zh-CN"/>
              </w:rPr>
              <w:t>城区污水处理厂南侧、陇县千河南岸新城污水处理厂西南侧</w:t>
            </w:r>
          </w:p>
          <w:p w14:paraId="1B41431C">
            <w:pPr>
              <w:pStyle w:val="2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建设性质：</w:t>
            </w:r>
            <w:r>
              <w:rPr>
                <w:rFonts w:hint="eastAsia" w:ascii="Times New Roman" w:hAnsi="Times New Roman" w:eastAsia="宋体" w:cs="Times New Roman"/>
                <w:color w:val="auto"/>
                <w:sz w:val="24"/>
                <w:szCs w:val="24"/>
                <w:lang w:eastAsia="zh-CN"/>
              </w:rPr>
              <w:t>新建</w:t>
            </w:r>
          </w:p>
          <w:p w14:paraId="56750DE7">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工程</w:t>
            </w:r>
            <w:r>
              <w:rPr>
                <w:rFonts w:hint="default" w:ascii="Times New Roman" w:hAnsi="Times New Roman" w:eastAsia="宋体" w:cs="Times New Roman"/>
                <w:color w:val="auto"/>
                <w:sz w:val="24"/>
                <w:szCs w:val="24"/>
              </w:rPr>
              <w:t>投资：</w:t>
            </w:r>
            <w:r>
              <w:rPr>
                <w:rFonts w:hint="eastAsia" w:ascii="Times New Roman" w:hAnsi="Times New Roman" w:eastAsia="宋体" w:cs="Times New Roman"/>
                <w:color w:val="auto"/>
                <w:sz w:val="24"/>
                <w:szCs w:val="24"/>
                <w:lang w:val="en-US" w:eastAsia="zh-CN"/>
              </w:rPr>
              <w:t>根据本工程初步设计，工程概算</w:t>
            </w:r>
            <w:r>
              <w:rPr>
                <w:rFonts w:hint="default" w:ascii="Times New Roman" w:hAnsi="Times New Roman" w:eastAsia="宋体" w:cs="Times New Roman"/>
                <w:color w:val="auto"/>
                <w:sz w:val="24"/>
                <w:szCs w:val="24"/>
                <w:lang w:val="en-US" w:eastAsia="zh-CN"/>
              </w:rPr>
              <w:t>总投资</w:t>
            </w:r>
            <w:r>
              <w:rPr>
                <w:rFonts w:hint="eastAsia" w:cs="Times New Roman"/>
                <w:color w:val="auto"/>
                <w:sz w:val="24"/>
                <w:szCs w:val="24"/>
                <w:lang w:val="en-US" w:eastAsia="zh-CN"/>
              </w:rPr>
              <w:t>3652</w:t>
            </w:r>
            <w:r>
              <w:rPr>
                <w:rFonts w:hint="default" w:ascii="Times New Roman" w:hAnsi="Times New Roman" w:eastAsia="宋体" w:cs="Times New Roman"/>
                <w:color w:val="auto"/>
                <w:kern w:val="0"/>
                <w:sz w:val="24"/>
                <w:szCs w:val="24"/>
                <w:lang w:val="en-US" w:eastAsia="zh-CN" w:bidi="ar"/>
              </w:rPr>
              <w:t>万元</w:t>
            </w:r>
            <w:r>
              <w:rPr>
                <w:rFonts w:hint="eastAsia" w:ascii="Times New Roman" w:hAnsi="Times New Roman" w:eastAsia="宋体" w:cs="Times New Roman"/>
                <w:color w:val="auto"/>
                <w:kern w:val="0"/>
                <w:sz w:val="24"/>
                <w:szCs w:val="24"/>
                <w:lang w:val="en-US" w:eastAsia="zh-CN" w:bidi="ar"/>
              </w:rPr>
              <w:t>，其中环保投资36.5万元</w:t>
            </w:r>
            <w:r>
              <w:rPr>
                <w:rFonts w:hint="default" w:ascii="Times New Roman" w:hAnsi="Times New Roman" w:eastAsia="宋体" w:cs="Times New Roman"/>
                <w:color w:val="auto"/>
                <w:kern w:val="0"/>
                <w:sz w:val="24"/>
                <w:szCs w:val="24"/>
                <w:lang w:val="en-US" w:eastAsia="zh-CN" w:bidi="ar"/>
              </w:rPr>
              <w:t>。</w:t>
            </w:r>
          </w:p>
          <w:p w14:paraId="6F73CCBC">
            <w:pPr>
              <w:pStyle w:val="27"/>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b/>
                <w:bCs/>
                <w:color w:val="auto"/>
                <w:sz w:val="24"/>
                <w:lang w:val="en-US" w:eastAsia="zh-CN"/>
              </w:rPr>
              <w:t>3、主要建设内容</w:t>
            </w:r>
          </w:p>
          <w:p w14:paraId="0ED9DBD5">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陇县千河南岸新城污水处理厂人工湿地水质净化工程涉及陇县污水处理厂和千河南岸污水处理厂2座污水处理厂的配套人工湿地</w:t>
            </w:r>
            <w:r>
              <w:rPr>
                <w:rFonts w:hint="eastAsia" w:cs="Times New Roman"/>
                <w:color w:val="auto"/>
                <w:sz w:val="24"/>
                <w:szCs w:val="24"/>
                <w:lang w:val="en-US" w:eastAsia="zh-CN"/>
              </w:rPr>
              <w:t>。项目初步设计阶段的建设规模及内容与可行性研究阶段的有所不同，本次评价按照初步设计阶段的建设规模及内容进行评价。初步设计阶段的主要建设内容为：</w:t>
            </w:r>
            <w:r>
              <w:rPr>
                <w:rFonts w:hint="eastAsia" w:ascii="Times New Roman" w:hAnsi="Times New Roman" w:eastAsia="宋体" w:cs="Times New Roman"/>
                <w:color w:val="auto"/>
                <w:sz w:val="24"/>
                <w:szCs w:val="24"/>
                <w:lang w:val="en-US" w:eastAsia="zh-CN"/>
              </w:rPr>
              <w:t>陇县污水处理厂人工湿地的主要建设内容为：（1）新建人工湿地7947m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，布水渠及集水渠总长432m；（2）播撒草籽337m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。千河南岸污水处理厂人工湿地主要建设内容为（1）新建人工湿地6136m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，布水渠及集水渠总长169m；（2）播撒草籽3562m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vertAlign w:val="baseline"/>
                <w:lang w:val="en-US" w:eastAsia="zh-CN"/>
              </w:rPr>
              <w:t>；（3）现状供水管道迁移改线；（4）</w:t>
            </w:r>
            <w:r>
              <w:rPr>
                <w:rFonts w:hint="eastAsia" w:ascii="Times New Roman" w:hAnsi="Times New Roman" w:eastAsia="宋体" w:cs="Times New Roman"/>
                <w:color w:val="auto"/>
                <w:sz w:val="24"/>
                <w:szCs w:val="24"/>
                <w:lang w:val="en-US" w:eastAsia="zh-CN"/>
              </w:rPr>
              <w:t>千河河段临河侧新建C20埋石砼护岸70m，铰链式生态护坡215m，大杜阳河河段新建C20埋石砼护岸188m，配套3m宽堤顶道路570m。</w:t>
            </w:r>
          </w:p>
          <w:p w14:paraId="3B5309ED">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具体建设内容详见表2-2。</w:t>
            </w:r>
          </w:p>
          <w:p w14:paraId="4522A474">
            <w:pPr>
              <w:pStyle w:val="28"/>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w:t>
            </w:r>
            <w:r>
              <w:rPr>
                <w:rFonts w:hint="eastAsia" w:ascii="Times New Roman" w:hAnsi="Times New Roman" w:eastAsia="宋体" w:cs="Times New Roman"/>
                <w:color w:val="auto"/>
                <w:sz w:val="21"/>
                <w:szCs w:val="21"/>
                <w:lang w:val="en-US" w:eastAsia="zh-CN"/>
              </w:rPr>
              <w:t>2-2</w:t>
            </w:r>
            <w:r>
              <w:rPr>
                <w:rFonts w:hint="default" w:ascii="Times New Roman" w:hAnsi="Times New Roman" w:eastAsia="宋体" w:cs="Times New Roman"/>
                <w:color w:val="auto"/>
                <w:sz w:val="21"/>
                <w:szCs w:val="21"/>
              </w:rPr>
              <w:t xml:space="preserve">  主要建设内容一览表</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
              <w:gridCol w:w="714"/>
              <w:gridCol w:w="680"/>
              <w:gridCol w:w="6208"/>
            </w:tblGrid>
            <w:tr w14:paraId="1A0B7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41" w:type="dxa"/>
                  <w:gridSpan w:val="3"/>
                  <w:noWrap w:val="0"/>
                  <w:vAlign w:val="center"/>
                </w:tcPr>
                <w:p w14:paraId="7B0D64B2">
                  <w:pPr>
                    <w:bidi w:val="0"/>
                    <w:jc w:val="center"/>
                    <w:rPr>
                      <w:rFonts w:hint="default" w:ascii="Times New Roman" w:hAnsi="Times New Roman" w:eastAsia="宋体"/>
                      <w:b/>
                      <w:bCs/>
                      <w:color w:val="auto"/>
                      <w:sz w:val="21"/>
                      <w:szCs w:val="21"/>
                    </w:rPr>
                  </w:pPr>
                  <w:r>
                    <w:rPr>
                      <w:rFonts w:hint="default" w:ascii="Times New Roman" w:hAnsi="Times New Roman" w:eastAsia="宋体"/>
                      <w:b/>
                      <w:bCs/>
                      <w:color w:val="auto"/>
                      <w:sz w:val="21"/>
                      <w:szCs w:val="21"/>
                    </w:rPr>
                    <w:t>工程名称</w:t>
                  </w:r>
                </w:p>
              </w:tc>
              <w:tc>
                <w:tcPr>
                  <w:tcW w:w="6206" w:type="dxa"/>
                  <w:noWrap w:val="0"/>
                  <w:vAlign w:val="center"/>
                </w:tcPr>
                <w:p w14:paraId="7D21BB51">
                  <w:pPr>
                    <w:bidi w:val="0"/>
                    <w:jc w:val="center"/>
                    <w:rPr>
                      <w:rFonts w:hint="eastAsia" w:ascii="Times New Roman" w:hAnsi="Times New Roman" w:eastAsia="宋体"/>
                      <w:b/>
                      <w:bCs/>
                      <w:color w:val="auto"/>
                      <w:sz w:val="21"/>
                      <w:szCs w:val="21"/>
                      <w:lang w:val="en-US" w:eastAsia="zh-CN"/>
                    </w:rPr>
                  </w:pPr>
                  <w:r>
                    <w:rPr>
                      <w:rFonts w:hint="default" w:ascii="Times New Roman" w:hAnsi="Times New Roman" w:eastAsia="宋体"/>
                      <w:b/>
                      <w:bCs/>
                      <w:color w:val="auto"/>
                      <w:sz w:val="21"/>
                      <w:szCs w:val="21"/>
                    </w:rPr>
                    <w:t>建设内容</w:t>
                  </w:r>
                </w:p>
              </w:tc>
            </w:tr>
            <w:tr w14:paraId="6C773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jc w:val="center"/>
              </w:trPr>
              <w:tc>
                <w:tcPr>
                  <w:tcW w:w="447" w:type="dxa"/>
                  <w:vMerge w:val="restart"/>
                  <w:noWrap w:val="0"/>
                  <w:vAlign w:val="center"/>
                </w:tcPr>
                <w:p w14:paraId="004EB235">
                  <w:pPr>
                    <w:bidi w:val="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主体工程</w:t>
                  </w:r>
                </w:p>
              </w:tc>
              <w:tc>
                <w:tcPr>
                  <w:tcW w:w="714" w:type="dxa"/>
                  <w:vMerge w:val="restart"/>
                  <w:noWrap w:val="0"/>
                  <w:vAlign w:val="center"/>
                </w:tcPr>
                <w:p w14:paraId="21D15A4B">
                  <w:pPr>
                    <w:bidi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陇县污水处理厂人工湿地</w:t>
                  </w:r>
                </w:p>
              </w:tc>
              <w:tc>
                <w:tcPr>
                  <w:tcW w:w="680" w:type="dxa"/>
                  <w:noWrap w:val="0"/>
                  <w:vAlign w:val="center"/>
                </w:tcPr>
                <w:p w14:paraId="546197B1">
                  <w:pPr>
                    <w:bidi w:val="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人工</w:t>
                  </w:r>
                </w:p>
                <w:p w14:paraId="4EFCB2B1">
                  <w:pPr>
                    <w:bidi w:val="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湿地</w:t>
                  </w:r>
                </w:p>
              </w:tc>
              <w:tc>
                <w:tcPr>
                  <w:tcW w:w="6206" w:type="dxa"/>
                  <w:noWrap w:val="0"/>
                  <w:vAlign w:val="center"/>
                </w:tcPr>
                <w:p w14:paraId="3B0628E9">
                  <w:pPr>
                    <w:bidi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新建水平潜流式人工湿地7947m</w:t>
                  </w:r>
                  <w:r>
                    <w:rPr>
                      <w:rFonts w:hint="eastAsia" w:ascii="Times New Roman" w:hAnsi="Times New Roman" w:eastAsia="宋体"/>
                      <w:color w:val="auto"/>
                      <w:sz w:val="21"/>
                      <w:szCs w:val="21"/>
                      <w:vertAlign w:val="superscript"/>
                      <w:lang w:val="en-US" w:eastAsia="zh-CN"/>
                    </w:rPr>
                    <w:t>2</w:t>
                  </w:r>
                  <w:r>
                    <w:rPr>
                      <w:rFonts w:hint="eastAsia" w:ascii="Times New Roman" w:hAnsi="Times New Roman" w:eastAsia="宋体"/>
                      <w:color w:val="auto"/>
                      <w:sz w:val="21"/>
                      <w:szCs w:val="21"/>
                      <w:lang w:val="en-US" w:eastAsia="zh-CN"/>
                    </w:rPr>
                    <w:t>，共8个湿地单元，湿地填筑面积7305m</w:t>
                  </w:r>
                  <w:r>
                    <w:rPr>
                      <w:rFonts w:hint="eastAsia" w:ascii="Times New Roman" w:hAnsi="Times New Roman" w:eastAsia="宋体"/>
                      <w:color w:val="auto"/>
                      <w:sz w:val="21"/>
                      <w:szCs w:val="21"/>
                      <w:vertAlign w:val="superscript"/>
                      <w:lang w:val="en-US" w:eastAsia="zh-CN"/>
                    </w:rPr>
                    <w:t>2</w:t>
                  </w:r>
                  <w:r>
                    <w:rPr>
                      <w:rFonts w:hint="eastAsia" w:ascii="Times New Roman" w:hAnsi="Times New Roman" w:eastAsia="宋体"/>
                      <w:color w:val="auto"/>
                      <w:sz w:val="21"/>
                      <w:szCs w:val="21"/>
                      <w:lang w:val="en-US" w:eastAsia="zh-CN"/>
                    </w:rPr>
                    <w:t>，布水渠及集水渠总长432m，配套检查井3座，DN600PE双壁波纹布水管77m，DN600PE双壁波纹集水管66m，管式测流计1套。</w:t>
                  </w:r>
                </w:p>
              </w:tc>
            </w:tr>
            <w:tr w14:paraId="34792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447" w:type="dxa"/>
                  <w:vMerge w:val="continue"/>
                  <w:noWrap w:val="0"/>
                  <w:vAlign w:val="center"/>
                </w:tcPr>
                <w:p w14:paraId="54ED0520">
                  <w:pPr>
                    <w:bidi w:val="0"/>
                    <w:jc w:val="center"/>
                    <w:rPr>
                      <w:rFonts w:hint="default" w:ascii="Times New Roman" w:hAnsi="Times New Roman" w:eastAsia="宋体"/>
                      <w:color w:val="auto"/>
                      <w:sz w:val="21"/>
                      <w:szCs w:val="21"/>
                    </w:rPr>
                  </w:pPr>
                </w:p>
              </w:tc>
              <w:tc>
                <w:tcPr>
                  <w:tcW w:w="714" w:type="dxa"/>
                  <w:vMerge w:val="continue"/>
                  <w:noWrap w:val="0"/>
                  <w:vAlign w:val="center"/>
                </w:tcPr>
                <w:p w14:paraId="35704C23">
                  <w:pPr>
                    <w:bidi w:val="0"/>
                    <w:jc w:val="center"/>
                    <w:rPr>
                      <w:rFonts w:hint="eastAsia" w:ascii="Times New Roman" w:hAnsi="Times New Roman" w:eastAsia="宋体"/>
                      <w:color w:val="auto"/>
                      <w:sz w:val="21"/>
                      <w:szCs w:val="21"/>
                      <w:lang w:val="en-US" w:eastAsia="zh-CN"/>
                    </w:rPr>
                  </w:pPr>
                </w:p>
              </w:tc>
              <w:tc>
                <w:tcPr>
                  <w:tcW w:w="680" w:type="dxa"/>
                  <w:noWrap w:val="0"/>
                  <w:vAlign w:val="center"/>
                </w:tcPr>
                <w:p w14:paraId="197865C5">
                  <w:pPr>
                    <w:bidi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播撒草籽</w:t>
                  </w:r>
                </w:p>
              </w:tc>
              <w:tc>
                <w:tcPr>
                  <w:tcW w:w="6206" w:type="dxa"/>
                  <w:noWrap w:val="0"/>
                  <w:vAlign w:val="center"/>
                </w:tcPr>
                <w:p w14:paraId="71BA5866">
                  <w:pPr>
                    <w:bidi w:val="0"/>
                    <w:jc w:val="center"/>
                    <w:rPr>
                      <w:rFonts w:hint="default" w:ascii="Times New Roman" w:hAnsi="Times New Roman" w:eastAsia="宋体"/>
                      <w:color w:val="auto"/>
                      <w:sz w:val="21"/>
                      <w:szCs w:val="21"/>
                    </w:rPr>
                  </w:pPr>
                  <w:r>
                    <w:rPr>
                      <w:rFonts w:hint="eastAsia" w:ascii="Times New Roman" w:hAnsi="Times New Roman" w:eastAsia="宋体"/>
                      <w:color w:val="auto"/>
                      <w:sz w:val="21"/>
                      <w:szCs w:val="21"/>
                      <w:lang w:val="en-US" w:eastAsia="zh-CN"/>
                    </w:rPr>
                    <w:t>在人工湿地边坡播撒草籽337m</w:t>
                  </w:r>
                  <w:r>
                    <w:rPr>
                      <w:rFonts w:hint="eastAsia" w:ascii="Times New Roman" w:hAnsi="Times New Roman" w:eastAsia="宋体"/>
                      <w:color w:val="auto"/>
                      <w:sz w:val="21"/>
                      <w:szCs w:val="21"/>
                      <w:vertAlign w:val="superscript"/>
                      <w:lang w:val="en-US" w:eastAsia="zh-CN"/>
                    </w:rPr>
                    <w:t>2</w:t>
                  </w:r>
                  <w:r>
                    <w:rPr>
                      <w:rFonts w:hint="default" w:ascii="Times New Roman" w:hAnsi="Times New Roman" w:eastAsia="宋体" w:cs="Times New Roman"/>
                      <w:color w:val="auto"/>
                      <w:highlight w:val="none"/>
                    </w:rPr>
                    <w:t>。</w:t>
                  </w:r>
                </w:p>
              </w:tc>
            </w:tr>
            <w:tr w14:paraId="17CF6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447" w:type="dxa"/>
                  <w:vMerge w:val="continue"/>
                  <w:noWrap w:val="0"/>
                  <w:vAlign w:val="center"/>
                </w:tcPr>
                <w:p w14:paraId="0AF52D88">
                  <w:pPr>
                    <w:bidi w:val="0"/>
                    <w:jc w:val="center"/>
                    <w:rPr>
                      <w:rFonts w:hint="default" w:ascii="Times New Roman" w:hAnsi="Times New Roman" w:eastAsia="宋体"/>
                      <w:color w:val="auto"/>
                      <w:sz w:val="21"/>
                      <w:szCs w:val="21"/>
                    </w:rPr>
                  </w:pPr>
                </w:p>
              </w:tc>
              <w:tc>
                <w:tcPr>
                  <w:tcW w:w="714" w:type="dxa"/>
                  <w:vMerge w:val="continue"/>
                  <w:noWrap w:val="0"/>
                  <w:vAlign w:val="center"/>
                </w:tcPr>
                <w:p w14:paraId="44B21700">
                  <w:pPr>
                    <w:bidi w:val="0"/>
                    <w:jc w:val="center"/>
                    <w:rPr>
                      <w:rFonts w:hint="eastAsia" w:ascii="Times New Roman" w:hAnsi="Times New Roman" w:eastAsia="宋体"/>
                      <w:color w:val="auto"/>
                      <w:sz w:val="21"/>
                      <w:szCs w:val="21"/>
                      <w:lang w:val="en-US" w:eastAsia="zh-CN"/>
                    </w:rPr>
                  </w:pPr>
                </w:p>
              </w:tc>
              <w:tc>
                <w:tcPr>
                  <w:tcW w:w="680" w:type="dxa"/>
                  <w:noWrap w:val="0"/>
                  <w:vAlign w:val="center"/>
                </w:tcPr>
                <w:p w14:paraId="1B869C98">
                  <w:pPr>
                    <w:bidi w:val="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植物种植</w:t>
                  </w:r>
                </w:p>
              </w:tc>
              <w:tc>
                <w:tcPr>
                  <w:tcW w:w="6206" w:type="dxa"/>
                  <w:noWrap w:val="0"/>
                  <w:vAlign w:val="center"/>
                </w:tcPr>
                <w:p w14:paraId="1F3FA0C9">
                  <w:pPr>
                    <w:bidi w:val="0"/>
                    <w:jc w:val="both"/>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湿地植物采用金叶石菖蒲、鸢尾、冬青、芦竹、千屈菜、黄菖蒲。共种植植物7305m</w:t>
                  </w:r>
                  <w:r>
                    <w:rPr>
                      <w:rFonts w:hint="eastAsia" w:ascii="Times New Roman" w:hAnsi="Times New Roman" w:eastAsia="宋体"/>
                      <w:color w:val="auto"/>
                      <w:sz w:val="21"/>
                      <w:szCs w:val="21"/>
                      <w:vertAlign w:val="superscript"/>
                      <w:lang w:val="en-US" w:eastAsia="zh-CN"/>
                    </w:rPr>
                    <w:t>2</w:t>
                  </w:r>
                  <w:r>
                    <w:rPr>
                      <w:rFonts w:hint="eastAsia" w:ascii="Times New Roman" w:hAnsi="Times New Roman" w:eastAsia="宋体"/>
                      <w:color w:val="auto"/>
                      <w:sz w:val="21"/>
                      <w:szCs w:val="21"/>
                      <w:lang w:val="en-US" w:eastAsia="zh-CN"/>
                    </w:rPr>
                    <w:t>。</w:t>
                  </w:r>
                </w:p>
              </w:tc>
            </w:tr>
            <w:tr w14:paraId="5641F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47" w:type="dxa"/>
                  <w:vMerge w:val="continue"/>
                  <w:noWrap w:val="0"/>
                  <w:vAlign w:val="center"/>
                </w:tcPr>
                <w:p w14:paraId="5530C791">
                  <w:pPr>
                    <w:bidi w:val="0"/>
                    <w:jc w:val="center"/>
                    <w:rPr>
                      <w:rFonts w:hint="default" w:ascii="Times New Roman" w:hAnsi="Times New Roman" w:eastAsia="宋体"/>
                      <w:color w:val="auto"/>
                      <w:sz w:val="21"/>
                      <w:szCs w:val="21"/>
                    </w:rPr>
                  </w:pPr>
                </w:p>
              </w:tc>
              <w:tc>
                <w:tcPr>
                  <w:tcW w:w="714" w:type="dxa"/>
                  <w:vMerge w:val="restart"/>
                  <w:noWrap w:val="0"/>
                  <w:vAlign w:val="center"/>
                </w:tcPr>
                <w:p w14:paraId="6E948166">
                  <w:pPr>
                    <w:bidi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千河南岸污水处理厂人工湿地</w:t>
                  </w:r>
                </w:p>
              </w:tc>
              <w:tc>
                <w:tcPr>
                  <w:tcW w:w="680" w:type="dxa"/>
                  <w:noWrap w:val="0"/>
                  <w:vAlign w:val="center"/>
                </w:tcPr>
                <w:p w14:paraId="6AC6075B">
                  <w:pPr>
                    <w:bidi w:val="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人工</w:t>
                  </w:r>
                </w:p>
                <w:p w14:paraId="16754045">
                  <w:pPr>
                    <w:bidi w:val="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湿地</w:t>
                  </w:r>
                </w:p>
              </w:tc>
              <w:tc>
                <w:tcPr>
                  <w:tcW w:w="6206" w:type="dxa"/>
                  <w:noWrap w:val="0"/>
                  <w:vAlign w:val="center"/>
                </w:tcPr>
                <w:p w14:paraId="6E99A046">
                  <w:pPr>
                    <w:bidi w:val="0"/>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val="en-US" w:eastAsia="zh-CN"/>
                    </w:rPr>
                    <w:t>新建水平潜流式人工湿地6136m</w:t>
                  </w:r>
                  <w:r>
                    <w:rPr>
                      <w:rFonts w:hint="eastAsia" w:ascii="Times New Roman" w:hAnsi="Times New Roman" w:eastAsia="宋体"/>
                      <w:color w:val="auto"/>
                      <w:sz w:val="21"/>
                      <w:szCs w:val="21"/>
                      <w:vertAlign w:val="superscript"/>
                      <w:lang w:val="en-US" w:eastAsia="zh-CN"/>
                    </w:rPr>
                    <w:t>2</w:t>
                  </w:r>
                  <w:r>
                    <w:rPr>
                      <w:rFonts w:hint="eastAsia" w:ascii="Times New Roman" w:hAnsi="Times New Roman" w:eastAsia="宋体"/>
                      <w:color w:val="auto"/>
                      <w:sz w:val="21"/>
                      <w:szCs w:val="21"/>
                      <w:lang w:val="en-US" w:eastAsia="zh-CN"/>
                    </w:rPr>
                    <w:t>，共6个湿地单元，湿地填筑面积5925m</w:t>
                  </w:r>
                  <w:r>
                    <w:rPr>
                      <w:rFonts w:hint="eastAsia" w:ascii="Times New Roman" w:hAnsi="Times New Roman" w:eastAsia="宋体"/>
                      <w:color w:val="auto"/>
                      <w:sz w:val="21"/>
                      <w:szCs w:val="21"/>
                      <w:vertAlign w:val="superscript"/>
                      <w:lang w:val="en-US" w:eastAsia="zh-CN"/>
                    </w:rPr>
                    <w:t>2</w:t>
                  </w:r>
                  <w:r>
                    <w:rPr>
                      <w:rFonts w:hint="eastAsia" w:ascii="Times New Roman" w:hAnsi="Times New Roman" w:eastAsia="宋体"/>
                      <w:color w:val="auto"/>
                      <w:sz w:val="21"/>
                      <w:szCs w:val="21"/>
                      <w:lang w:val="en-US" w:eastAsia="zh-CN"/>
                    </w:rPr>
                    <w:t>，布水渠及集水渠总长169m，配套检查井9座，DN600PE双壁波纹布水管200m，DN600PE双壁波纹集水管295m，管式测流计1套。</w:t>
                  </w:r>
                </w:p>
              </w:tc>
            </w:tr>
            <w:tr w14:paraId="2972C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47" w:type="dxa"/>
                  <w:vMerge w:val="continue"/>
                  <w:noWrap w:val="0"/>
                  <w:vAlign w:val="center"/>
                </w:tcPr>
                <w:p w14:paraId="612EBAC2">
                  <w:pPr>
                    <w:bidi w:val="0"/>
                    <w:jc w:val="center"/>
                    <w:rPr>
                      <w:rFonts w:hint="default" w:ascii="Times New Roman" w:hAnsi="Times New Roman" w:eastAsia="宋体"/>
                      <w:color w:val="auto"/>
                      <w:sz w:val="21"/>
                      <w:szCs w:val="21"/>
                    </w:rPr>
                  </w:pPr>
                </w:p>
              </w:tc>
              <w:tc>
                <w:tcPr>
                  <w:tcW w:w="714" w:type="dxa"/>
                  <w:vMerge w:val="continue"/>
                  <w:noWrap w:val="0"/>
                  <w:vAlign w:val="center"/>
                </w:tcPr>
                <w:p w14:paraId="22B67A1A">
                  <w:pPr>
                    <w:bidi w:val="0"/>
                    <w:jc w:val="center"/>
                    <w:rPr>
                      <w:rFonts w:hint="eastAsia" w:ascii="Times New Roman" w:hAnsi="Times New Roman" w:eastAsia="宋体"/>
                      <w:color w:val="auto"/>
                      <w:sz w:val="21"/>
                      <w:szCs w:val="21"/>
                      <w:lang w:val="en-US" w:eastAsia="zh-CN"/>
                    </w:rPr>
                  </w:pPr>
                </w:p>
              </w:tc>
              <w:tc>
                <w:tcPr>
                  <w:tcW w:w="680" w:type="dxa"/>
                  <w:noWrap w:val="0"/>
                  <w:vAlign w:val="center"/>
                </w:tcPr>
                <w:p w14:paraId="3833B77D">
                  <w:pPr>
                    <w:bidi w:val="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播撒草籽</w:t>
                  </w:r>
                </w:p>
              </w:tc>
              <w:tc>
                <w:tcPr>
                  <w:tcW w:w="6206" w:type="dxa"/>
                  <w:noWrap w:val="0"/>
                  <w:vAlign w:val="center"/>
                </w:tcPr>
                <w:p w14:paraId="7A73C5D9">
                  <w:pPr>
                    <w:bidi w:val="0"/>
                    <w:jc w:val="center"/>
                    <w:rPr>
                      <w:rFonts w:hint="default" w:ascii="Times New Roman" w:hAnsi="Times New Roman" w:eastAsia="宋体"/>
                      <w:color w:val="auto"/>
                      <w:sz w:val="21"/>
                      <w:szCs w:val="21"/>
                    </w:rPr>
                  </w:pPr>
                  <w:r>
                    <w:rPr>
                      <w:rFonts w:hint="eastAsia" w:ascii="Times New Roman" w:hAnsi="Times New Roman" w:eastAsia="宋体"/>
                      <w:color w:val="auto"/>
                      <w:sz w:val="21"/>
                      <w:szCs w:val="21"/>
                      <w:lang w:val="en-US" w:eastAsia="zh-CN"/>
                    </w:rPr>
                    <w:t>在人工湿地边坡共播撒草籽3562m</w:t>
                  </w:r>
                  <w:r>
                    <w:rPr>
                      <w:rFonts w:hint="eastAsia" w:ascii="Times New Roman" w:hAnsi="Times New Roman" w:eastAsia="宋体"/>
                      <w:color w:val="auto"/>
                      <w:sz w:val="21"/>
                      <w:szCs w:val="21"/>
                      <w:vertAlign w:val="superscript"/>
                      <w:lang w:val="en-US" w:eastAsia="zh-CN"/>
                    </w:rPr>
                    <w:t>2</w:t>
                  </w:r>
                  <w:r>
                    <w:rPr>
                      <w:rFonts w:hint="eastAsia" w:ascii="Times New Roman" w:hAnsi="Times New Roman" w:eastAsia="宋体"/>
                      <w:color w:val="auto"/>
                      <w:sz w:val="21"/>
                      <w:szCs w:val="21"/>
                      <w:lang w:val="en-US" w:eastAsia="zh-CN"/>
                    </w:rPr>
                    <w:t>。</w:t>
                  </w:r>
                </w:p>
              </w:tc>
            </w:tr>
            <w:tr w14:paraId="6DF6D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47" w:type="dxa"/>
                  <w:vMerge w:val="continue"/>
                  <w:noWrap w:val="0"/>
                  <w:vAlign w:val="center"/>
                </w:tcPr>
                <w:p w14:paraId="66A0965A">
                  <w:pPr>
                    <w:bidi w:val="0"/>
                    <w:jc w:val="center"/>
                    <w:rPr>
                      <w:rFonts w:hint="default" w:ascii="Times New Roman" w:hAnsi="Times New Roman" w:eastAsia="宋体"/>
                      <w:color w:val="auto"/>
                      <w:sz w:val="21"/>
                      <w:szCs w:val="21"/>
                    </w:rPr>
                  </w:pPr>
                </w:p>
              </w:tc>
              <w:tc>
                <w:tcPr>
                  <w:tcW w:w="714" w:type="dxa"/>
                  <w:vMerge w:val="continue"/>
                  <w:noWrap w:val="0"/>
                  <w:vAlign w:val="center"/>
                </w:tcPr>
                <w:p w14:paraId="03982BDC">
                  <w:pPr>
                    <w:bidi w:val="0"/>
                    <w:jc w:val="center"/>
                    <w:rPr>
                      <w:rFonts w:hint="eastAsia" w:ascii="Times New Roman" w:hAnsi="Times New Roman" w:eastAsia="宋体"/>
                      <w:color w:val="auto"/>
                      <w:sz w:val="21"/>
                      <w:szCs w:val="21"/>
                      <w:lang w:val="en-US" w:eastAsia="zh-CN"/>
                    </w:rPr>
                  </w:pPr>
                </w:p>
              </w:tc>
              <w:tc>
                <w:tcPr>
                  <w:tcW w:w="680" w:type="dxa"/>
                  <w:shd w:val="clear" w:color="auto" w:fill="auto"/>
                  <w:noWrap w:val="0"/>
                  <w:vAlign w:val="center"/>
                </w:tcPr>
                <w:p w14:paraId="2C36E48D">
                  <w:pPr>
                    <w:bidi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szCs w:val="21"/>
                      <w:lang w:val="en-US" w:eastAsia="zh-CN"/>
                    </w:rPr>
                    <w:t>植物种植</w:t>
                  </w:r>
                </w:p>
              </w:tc>
              <w:tc>
                <w:tcPr>
                  <w:tcW w:w="6206" w:type="dxa"/>
                  <w:shd w:val="clear" w:color="auto" w:fill="auto"/>
                  <w:noWrap w:val="0"/>
                  <w:vAlign w:val="center"/>
                </w:tcPr>
                <w:p w14:paraId="6D1CF79E">
                  <w:pPr>
                    <w:bidi w:val="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szCs w:val="21"/>
                      <w:lang w:val="en-US" w:eastAsia="zh-CN"/>
                    </w:rPr>
                    <w:t>湿地植物采用金叶石菖蒲、鸢尾、冬青、芦竹、千屈菜、黄菖蒲。共种植植物5925m</w:t>
                  </w:r>
                  <w:r>
                    <w:rPr>
                      <w:rFonts w:hint="eastAsia" w:ascii="Times New Roman" w:hAnsi="Times New Roman" w:eastAsia="宋体"/>
                      <w:color w:val="auto"/>
                      <w:sz w:val="21"/>
                      <w:szCs w:val="21"/>
                      <w:vertAlign w:val="superscript"/>
                      <w:lang w:val="en-US" w:eastAsia="zh-CN"/>
                    </w:rPr>
                    <w:t>2</w:t>
                  </w:r>
                  <w:r>
                    <w:rPr>
                      <w:rFonts w:hint="eastAsia" w:ascii="Times New Roman" w:hAnsi="Times New Roman" w:eastAsia="宋体"/>
                      <w:color w:val="auto"/>
                      <w:sz w:val="21"/>
                      <w:szCs w:val="21"/>
                      <w:lang w:val="en-US" w:eastAsia="zh-CN"/>
                    </w:rPr>
                    <w:t>。</w:t>
                  </w:r>
                </w:p>
              </w:tc>
            </w:tr>
            <w:tr w14:paraId="6E25D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47" w:type="dxa"/>
                  <w:vMerge w:val="continue"/>
                  <w:noWrap w:val="0"/>
                  <w:vAlign w:val="center"/>
                </w:tcPr>
                <w:p w14:paraId="2241164F">
                  <w:pPr>
                    <w:bidi w:val="0"/>
                    <w:jc w:val="center"/>
                    <w:rPr>
                      <w:rFonts w:hint="default" w:ascii="Times New Roman" w:hAnsi="Times New Roman" w:eastAsia="宋体"/>
                      <w:color w:val="auto"/>
                      <w:sz w:val="21"/>
                      <w:szCs w:val="21"/>
                    </w:rPr>
                  </w:pPr>
                </w:p>
              </w:tc>
              <w:tc>
                <w:tcPr>
                  <w:tcW w:w="714" w:type="dxa"/>
                  <w:vMerge w:val="continue"/>
                  <w:noWrap w:val="0"/>
                  <w:vAlign w:val="center"/>
                </w:tcPr>
                <w:p w14:paraId="277C29E8">
                  <w:pPr>
                    <w:bidi w:val="0"/>
                    <w:jc w:val="center"/>
                    <w:rPr>
                      <w:rFonts w:hint="eastAsia" w:ascii="Times New Roman" w:hAnsi="Times New Roman" w:eastAsia="宋体"/>
                      <w:color w:val="auto"/>
                      <w:sz w:val="21"/>
                      <w:szCs w:val="21"/>
                      <w:lang w:val="en-US" w:eastAsia="zh-CN"/>
                    </w:rPr>
                  </w:pPr>
                </w:p>
              </w:tc>
              <w:tc>
                <w:tcPr>
                  <w:tcW w:w="680" w:type="dxa"/>
                  <w:noWrap w:val="0"/>
                  <w:vAlign w:val="center"/>
                </w:tcPr>
                <w:p w14:paraId="0F3C749B">
                  <w:pPr>
                    <w:bidi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供水管道迁移改线</w:t>
                  </w:r>
                </w:p>
              </w:tc>
              <w:tc>
                <w:tcPr>
                  <w:tcW w:w="6206" w:type="dxa"/>
                  <w:noWrap w:val="0"/>
                  <w:vAlign w:val="center"/>
                </w:tcPr>
                <w:p w14:paraId="776026F5">
                  <w:pPr>
                    <w:bidi w:val="0"/>
                    <w:jc w:val="center"/>
                    <w:rPr>
                      <w:rFonts w:hint="default" w:ascii="Times New Roman" w:hAnsi="Times New Roman" w:eastAsia="宋体"/>
                      <w:color w:val="auto"/>
                      <w:sz w:val="21"/>
                      <w:szCs w:val="21"/>
                      <w:lang w:val="en-US"/>
                    </w:rPr>
                  </w:pPr>
                  <w:r>
                    <w:rPr>
                      <w:rFonts w:hint="eastAsia" w:ascii="Times New Roman" w:hAnsi="Times New Roman" w:eastAsia="宋体"/>
                      <w:color w:val="auto"/>
                      <w:highlight w:val="none"/>
                      <w:lang w:val="en-US" w:eastAsia="zh-CN"/>
                    </w:rPr>
                    <w:t>现状供水管道改线，总长300m。</w:t>
                  </w:r>
                </w:p>
              </w:tc>
            </w:tr>
            <w:tr w14:paraId="774E0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47" w:type="dxa"/>
                  <w:vMerge w:val="continue"/>
                  <w:noWrap w:val="0"/>
                  <w:vAlign w:val="center"/>
                </w:tcPr>
                <w:p w14:paraId="48FC8056">
                  <w:pPr>
                    <w:bidi w:val="0"/>
                    <w:jc w:val="center"/>
                    <w:rPr>
                      <w:rFonts w:hint="default" w:ascii="Times New Roman" w:hAnsi="Times New Roman" w:eastAsia="宋体"/>
                      <w:color w:val="auto"/>
                      <w:sz w:val="21"/>
                      <w:szCs w:val="21"/>
                    </w:rPr>
                  </w:pPr>
                </w:p>
              </w:tc>
              <w:tc>
                <w:tcPr>
                  <w:tcW w:w="714" w:type="dxa"/>
                  <w:vMerge w:val="continue"/>
                  <w:noWrap w:val="0"/>
                  <w:vAlign w:val="center"/>
                </w:tcPr>
                <w:p w14:paraId="688D024D">
                  <w:pPr>
                    <w:bidi w:val="0"/>
                    <w:jc w:val="center"/>
                    <w:rPr>
                      <w:rFonts w:hint="eastAsia" w:ascii="Times New Roman" w:hAnsi="Times New Roman" w:eastAsia="宋体"/>
                      <w:color w:val="auto"/>
                      <w:sz w:val="21"/>
                      <w:szCs w:val="21"/>
                      <w:lang w:val="en-US" w:eastAsia="zh-CN"/>
                    </w:rPr>
                  </w:pPr>
                </w:p>
              </w:tc>
              <w:tc>
                <w:tcPr>
                  <w:tcW w:w="680" w:type="dxa"/>
                  <w:noWrap w:val="0"/>
                  <w:vAlign w:val="center"/>
                </w:tcPr>
                <w:p w14:paraId="448DA458">
                  <w:pPr>
                    <w:bidi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护坡</w:t>
                  </w:r>
                </w:p>
              </w:tc>
              <w:tc>
                <w:tcPr>
                  <w:tcW w:w="6206" w:type="dxa"/>
                  <w:noWrap w:val="0"/>
                  <w:vAlign w:val="center"/>
                </w:tcPr>
                <w:p w14:paraId="65412B26">
                  <w:pPr>
                    <w:bidi w:val="0"/>
                    <w:jc w:val="center"/>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千河河段临河侧新建铰链式生态护坡215m。</w:t>
                  </w:r>
                </w:p>
              </w:tc>
            </w:tr>
            <w:tr w14:paraId="0859C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447" w:type="dxa"/>
                  <w:vMerge w:val="continue"/>
                  <w:noWrap w:val="0"/>
                  <w:vAlign w:val="center"/>
                </w:tcPr>
                <w:p w14:paraId="0D1BBA44">
                  <w:pPr>
                    <w:bidi w:val="0"/>
                    <w:jc w:val="center"/>
                    <w:rPr>
                      <w:rFonts w:hint="default" w:ascii="Times New Roman" w:hAnsi="Times New Roman" w:eastAsia="宋体"/>
                      <w:color w:val="auto"/>
                      <w:sz w:val="21"/>
                      <w:szCs w:val="21"/>
                    </w:rPr>
                  </w:pPr>
                </w:p>
              </w:tc>
              <w:tc>
                <w:tcPr>
                  <w:tcW w:w="714" w:type="dxa"/>
                  <w:vMerge w:val="continue"/>
                  <w:noWrap w:val="0"/>
                  <w:vAlign w:val="center"/>
                </w:tcPr>
                <w:p w14:paraId="3D904762">
                  <w:pPr>
                    <w:bidi w:val="0"/>
                    <w:jc w:val="center"/>
                    <w:rPr>
                      <w:rFonts w:hint="eastAsia" w:ascii="Times New Roman" w:hAnsi="Times New Roman" w:eastAsia="宋体"/>
                      <w:color w:val="auto"/>
                      <w:sz w:val="21"/>
                      <w:szCs w:val="21"/>
                      <w:lang w:val="en-US" w:eastAsia="zh-CN"/>
                    </w:rPr>
                  </w:pPr>
                </w:p>
              </w:tc>
              <w:tc>
                <w:tcPr>
                  <w:tcW w:w="680" w:type="dxa"/>
                  <w:noWrap w:val="0"/>
                  <w:vAlign w:val="center"/>
                </w:tcPr>
                <w:p w14:paraId="201E7392">
                  <w:pPr>
                    <w:bidi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护岸</w:t>
                  </w:r>
                </w:p>
              </w:tc>
              <w:tc>
                <w:tcPr>
                  <w:tcW w:w="6206" w:type="dxa"/>
                  <w:noWrap w:val="0"/>
                  <w:vAlign w:val="center"/>
                </w:tcPr>
                <w:p w14:paraId="3A6AEE4A">
                  <w:pPr>
                    <w:bidi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highlight w:val="none"/>
                      <w:lang w:val="en-US" w:eastAsia="zh-CN"/>
                    </w:rPr>
                    <w:t>千河河段临河侧新建C20埋石砼护岸70m，大杜阳河河段新建C20埋石砼护岸188m，共建设护岸258m。</w:t>
                  </w:r>
                </w:p>
              </w:tc>
            </w:tr>
            <w:tr w14:paraId="35031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447" w:type="dxa"/>
                  <w:vMerge w:val="continue"/>
                  <w:noWrap w:val="0"/>
                  <w:vAlign w:val="center"/>
                </w:tcPr>
                <w:p w14:paraId="0A689D99">
                  <w:pPr>
                    <w:bidi w:val="0"/>
                    <w:jc w:val="center"/>
                    <w:rPr>
                      <w:rFonts w:hint="default" w:ascii="Times New Roman" w:hAnsi="Times New Roman" w:eastAsia="宋体"/>
                      <w:color w:val="auto"/>
                      <w:sz w:val="21"/>
                      <w:szCs w:val="21"/>
                      <w:lang w:val="en-US" w:eastAsia="zh-CN"/>
                    </w:rPr>
                  </w:pPr>
                </w:p>
              </w:tc>
              <w:tc>
                <w:tcPr>
                  <w:tcW w:w="714" w:type="dxa"/>
                  <w:vMerge w:val="continue"/>
                  <w:noWrap w:val="0"/>
                  <w:vAlign w:val="center"/>
                </w:tcPr>
                <w:p w14:paraId="47CE5604">
                  <w:pPr>
                    <w:bidi w:val="0"/>
                    <w:jc w:val="center"/>
                    <w:rPr>
                      <w:rFonts w:hint="eastAsia" w:ascii="Times New Roman" w:hAnsi="Times New Roman" w:eastAsia="宋体"/>
                      <w:color w:val="auto"/>
                      <w:sz w:val="21"/>
                      <w:szCs w:val="21"/>
                      <w:lang w:val="en-US" w:eastAsia="zh-CN"/>
                    </w:rPr>
                  </w:pPr>
                </w:p>
              </w:tc>
              <w:tc>
                <w:tcPr>
                  <w:tcW w:w="680" w:type="dxa"/>
                  <w:noWrap w:val="0"/>
                  <w:vAlign w:val="center"/>
                </w:tcPr>
                <w:p w14:paraId="25CF2DCF">
                  <w:pPr>
                    <w:bidi w:val="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堤顶道路</w:t>
                  </w:r>
                </w:p>
              </w:tc>
              <w:tc>
                <w:tcPr>
                  <w:tcW w:w="6206" w:type="dxa"/>
                  <w:noWrap w:val="0"/>
                  <w:vAlign w:val="center"/>
                </w:tcPr>
                <w:p w14:paraId="1FE0339A">
                  <w:pPr>
                    <w:bidi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eastAsia="zh-CN"/>
                    </w:rPr>
                    <w:t>配套建设</w:t>
                  </w:r>
                  <w:r>
                    <w:rPr>
                      <w:rFonts w:hint="eastAsia" w:ascii="Times New Roman" w:hAnsi="Times New Roman" w:eastAsia="宋体"/>
                      <w:color w:val="auto"/>
                      <w:sz w:val="21"/>
                      <w:szCs w:val="21"/>
                      <w:lang w:val="en-US" w:eastAsia="zh-CN"/>
                    </w:rPr>
                    <w:t>3m宽堤顶道路570m。</w:t>
                  </w:r>
                </w:p>
              </w:tc>
            </w:tr>
            <w:tr w14:paraId="77B7F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447" w:type="dxa"/>
                  <w:vMerge w:val="restart"/>
                  <w:noWrap w:val="0"/>
                  <w:vAlign w:val="center"/>
                </w:tcPr>
                <w:p w14:paraId="12475879">
                  <w:pPr>
                    <w:bidi w:val="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临时工程</w:t>
                  </w:r>
                </w:p>
              </w:tc>
              <w:tc>
                <w:tcPr>
                  <w:tcW w:w="1394" w:type="dxa"/>
                  <w:gridSpan w:val="2"/>
                  <w:noWrap w:val="0"/>
                  <w:vAlign w:val="center"/>
                </w:tcPr>
                <w:p w14:paraId="0140A45B">
                  <w:pPr>
                    <w:bidi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施工工区</w:t>
                  </w:r>
                </w:p>
              </w:tc>
              <w:tc>
                <w:tcPr>
                  <w:tcW w:w="6206" w:type="dxa"/>
                  <w:noWrap w:val="0"/>
                  <w:vAlign w:val="center"/>
                </w:tcPr>
                <w:p w14:paraId="30EE9D48">
                  <w:pPr>
                    <w:shd w:val="clear"/>
                    <w:kinsoku/>
                    <w:wordWrap/>
                    <w:overflowPunct/>
                    <w:topLinePunct w:val="0"/>
                    <w:bidi w:val="0"/>
                    <w:snapToGrid w:val="0"/>
                    <w:rPr>
                      <w:rFonts w:hint="default" w:ascii="Times New Roman" w:hAnsi="Times New Roman" w:eastAsia="宋体"/>
                      <w:color w:val="auto"/>
                      <w:sz w:val="21"/>
                      <w:szCs w:val="21"/>
                      <w:lang w:val="en-US" w:eastAsia="zh-CN"/>
                    </w:rPr>
                  </w:pPr>
                  <w:r>
                    <w:rPr>
                      <w:rFonts w:hint="default" w:ascii="Times New Roman" w:hAnsi="Times New Roman" w:eastAsia="宋体" w:cs="Times New Roman"/>
                      <w:color w:val="auto"/>
                      <w:highlight w:val="none"/>
                    </w:rPr>
                    <w:t>本工程</w:t>
                  </w:r>
                  <w:r>
                    <w:rPr>
                      <w:rFonts w:hint="eastAsia" w:ascii="Times New Roman" w:hAnsi="Times New Roman" w:eastAsia="宋体" w:cs="Times New Roman"/>
                      <w:color w:val="auto"/>
                      <w:highlight w:val="none"/>
                      <w:lang w:eastAsia="zh-CN"/>
                    </w:rPr>
                    <w:t>位于城区附近，施工场地租赁附近的场地和库房，生产设施和机械停放在租赁的施工场地内，</w:t>
                  </w:r>
                  <w:r>
                    <w:rPr>
                      <w:rFonts w:hint="eastAsia" w:ascii="Times New Roman" w:hAnsi="Times New Roman" w:eastAsia="宋体" w:cs="Times New Roman"/>
                      <w:color w:val="auto"/>
                      <w:highlight w:val="none"/>
                      <w:lang w:val="en-US" w:eastAsia="zh-CN"/>
                    </w:rPr>
                    <w:t>施工</w:t>
                  </w:r>
                  <w:r>
                    <w:rPr>
                      <w:rFonts w:hint="eastAsia" w:ascii="Times New Roman" w:hAnsi="Times New Roman" w:eastAsia="宋体" w:cs="Times New Roman"/>
                      <w:color w:val="auto"/>
                      <w:highlight w:val="none"/>
                      <w:lang w:eastAsia="zh-CN"/>
                    </w:rPr>
                    <w:t>材料</w:t>
                  </w:r>
                  <w:r>
                    <w:rPr>
                      <w:rFonts w:hint="eastAsia" w:ascii="Times New Roman" w:hAnsi="Times New Roman" w:eastAsia="宋体" w:cs="Times New Roman"/>
                      <w:color w:val="auto"/>
                      <w:highlight w:val="none"/>
                      <w:lang w:val="en-US" w:eastAsia="zh-CN"/>
                    </w:rPr>
                    <w:t>堆放在施工工区。</w:t>
                  </w:r>
                </w:p>
              </w:tc>
            </w:tr>
            <w:tr w14:paraId="5906F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447" w:type="dxa"/>
                  <w:vMerge w:val="continue"/>
                  <w:noWrap w:val="0"/>
                  <w:vAlign w:val="center"/>
                </w:tcPr>
                <w:p w14:paraId="21BF9B17">
                  <w:pPr>
                    <w:bidi w:val="0"/>
                    <w:jc w:val="center"/>
                    <w:rPr>
                      <w:rFonts w:hint="eastAsia" w:ascii="Times New Roman" w:hAnsi="Times New Roman" w:eastAsia="宋体"/>
                      <w:color w:val="auto"/>
                      <w:sz w:val="21"/>
                      <w:szCs w:val="21"/>
                      <w:lang w:val="en-US" w:eastAsia="zh-CN"/>
                    </w:rPr>
                  </w:pPr>
                </w:p>
              </w:tc>
              <w:tc>
                <w:tcPr>
                  <w:tcW w:w="1394" w:type="dxa"/>
                  <w:gridSpan w:val="2"/>
                  <w:shd w:val="clear" w:color="auto" w:fill="auto"/>
                  <w:noWrap w:val="0"/>
                  <w:vAlign w:val="center"/>
                </w:tcPr>
                <w:p w14:paraId="4FB5F870">
                  <w:pPr>
                    <w:bidi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szCs w:val="21"/>
                      <w:lang w:val="en-US" w:eastAsia="zh-CN"/>
                    </w:rPr>
                    <w:t>施工道路</w:t>
                  </w:r>
                </w:p>
              </w:tc>
              <w:tc>
                <w:tcPr>
                  <w:tcW w:w="6206" w:type="dxa"/>
                  <w:shd w:val="clear" w:color="auto" w:fill="auto"/>
                  <w:noWrap w:val="0"/>
                  <w:vAlign w:val="center"/>
                </w:tcPr>
                <w:p w14:paraId="36A2CFE2">
                  <w:pPr>
                    <w:shd w:val="clear"/>
                    <w:kinsoku/>
                    <w:wordWrap/>
                    <w:overflowPunct/>
                    <w:topLinePunct w:val="0"/>
                    <w:bidi w:val="0"/>
                    <w:snapToGrid w:val="0"/>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highlight w:val="none"/>
                      <w:lang w:val="en-US" w:eastAsia="zh-CN"/>
                    </w:rPr>
                    <w:t>项目位于陇县县城周边，紧邻宝平路、</w:t>
                  </w:r>
                  <w:r>
                    <w:rPr>
                      <w:rFonts w:hint="default" w:ascii="Times New Roman" w:hAnsi="Times New Roman" w:eastAsia="宋体" w:cs="Times New Roman"/>
                      <w:color w:val="auto"/>
                      <w:highlight w:val="none"/>
                      <w:lang w:val="en-US" w:eastAsia="zh-CN"/>
                    </w:rPr>
                    <w:t>344</w:t>
                  </w:r>
                  <w:r>
                    <w:rPr>
                      <w:rFonts w:hint="eastAsia" w:ascii="Times New Roman" w:hAnsi="Times New Roman" w:eastAsia="宋体" w:cs="Times New Roman"/>
                      <w:color w:val="auto"/>
                      <w:highlight w:val="none"/>
                      <w:lang w:val="en-US" w:eastAsia="zh-CN"/>
                    </w:rPr>
                    <w:t>国道（东灵线）、</w:t>
                  </w:r>
                  <w:r>
                    <w:rPr>
                      <w:rFonts w:hint="default" w:ascii="Times New Roman" w:hAnsi="Times New Roman" w:eastAsia="宋体" w:cs="Times New Roman"/>
                      <w:color w:val="auto"/>
                      <w:highlight w:val="none"/>
                      <w:lang w:val="en-US" w:eastAsia="zh-CN"/>
                    </w:rPr>
                    <w:t xml:space="preserve">G85 </w:t>
                  </w:r>
                  <w:r>
                    <w:rPr>
                      <w:rFonts w:hint="eastAsia" w:ascii="Times New Roman" w:hAnsi="Times New Roman" w:eastAsia="宋体" w:cs="Times New Roman"/>
                      <w:color w:val="auto"/>
                      <w:highlight w:val="none"/>
                      <w:lang w:val="en-US" w:eastAsia="zh-CN"/>
                    </w:rPr>
                    <w:t>银昆高速，对外交通便利，建设条件优越，施工道路依托周边村道，不需新建施工道路。</w:t>
                  </w:r>
                </w:p>
              </w:tc>
            </w:tr>
            <w:tr w14:paraId="20B0D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447" w:type="dxa"/>
                  <w:vMerge w:val="continue"/>
                  <w:noWrap w:val="0"/>
                  <w:vAlign w:val="center"/>
                </w:tcPr>
                <w:p w14:paraId="6ACD6582">
                  <w:pPr>
                    <w:bidi w:val="0"/>
                    <w:jc w:val="center"/>
                    <w:rPr>
                      <w:rFonts w:hint="default" w:ascii="Times New Roman" w:hAnsi="Times New Roman" w:eastAsia="宋体"/>
                      <w:color w:val="auto"/>
                      <w:sz w:val="21"/>
                      <w:szCs w:val="21"/>
                    </w:rPr>
                  </w:pPr>
                </w:p>
              </w:tc>
              <w:tc>
                <w:tcPr>
                  <w:tcW w:w="1394" w:type="dxa"/>
                  <w:gridSpan w:val="2"/>
                  <w:noWrap w:val="0"/>
                  <w:vAlign w:val="center"/>
                </w:tcPr>
                <w:p w14:paraId="326AC5A4">
                  <w:pPr>
                    <w:bidi w:val="0"/>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取土场、弃渣场</w:t>
                  </w:r>
                </w:p>
              </w:tc>
              <w:tc>
                <w:tcPr>
                  <w:tcW w:w="6206" w:type="dxa"/>
                  <w:noWrap w:val="0"/>
                  <w:vAlign w:val="center"/>
                </w:tcPr>
                <w:p w14:paraId="055E30A4">
                  <w:pPr>
                    <w:bidi w:val="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工程</w:t>
                  </w:r>
                  <w:r>
                    <w:rPr>
                      <w:rFonts w:hint="default" w:ascii="Times New Roman" w:hAnsi="Times New Roman" w:eastAsia="宋体" w:cs="Times New Roman"/>
                      <w:color w:val="auto"/>
                      <w:highlight w:val="none"/>
                    </w:rPr>
                    <w:t>需</w:t>
                  </w:r>
                  <w:r>
                    <w:rPr>
                      <w:rFonts w:hint="default" w:ascii="Times New Roman" w:hAnsi="Times New Roman" w:eastAsia="宋体" w:cs="Times New Roman"/>
                      <w:color w:val="auto"/>
                      <w:highlight w:val="none"/>
                      <w:lang w:eastAsia="zh-CN"/>
                    </w:rPr>
                    <w:t>弃运</w:t>
                  </w:r>
                  <w:r>
                    <w:rPr>
                      <w:rFonts w:hint="default" w:ascii="Times New Roman" w:hAnsi="Times New Roman" w:eastAsia="宋体" w:cs="Times New Roman"/>
                      <w:color w:val="auto"/>
                      <w:highlight w:val="none"/>
                    </w:rPr>
                    <w:t>土方量</w:t>
                  </w:r>
                  <w:r>
                    <w:rPr>
                      <w:rFonts w:hint="eastAsia" w:ascii="Times New Roman" w:hAnsi="Times New Roman" w:eastAsia="宋体" w:cs="Times New Roman"/>
                      <w:color w:val="auto"/>
                      <w:highlight w:val="none"/>
                      <w:lang w:val="en-US" w:eastAsia="zh-CN"/>
                    </w:rPr>
                    <w:t>5.14万m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外运至</w:t>
                  </w:r>
                  <w:r>
                    <w:rPr>
                      <w:rFonts w:hint="eastAsia" w:ascii="Times New Roman" w:hAnsi="Times New Roman" w:eastAsia="宋体" w:cs="Times New Roman"/>
                      <w:color w:val="auto"/>
                      <w:kern w:val="0"/>
                      <w:sz w:val="21"/>
                      <w:szCs w:val="21"/>
                      <w:highlight w:val="none"/>
                      <w:vertAlign w:val="baseline"/>
                      <w:lang w:val="en-US" w:eastAsia="zh-CN" w:bidi="ar"/>
                    </w:rPr>
                    <w:t>陇县国有化标准砂石厂综合利用</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运距5km</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eastAsia="zh-CN"/>
                    </w:rPr>
                    <w:t>本</w:t>
                  </w:r>
                  <w:r>
                    <w:rPr>
                      <w:rFonts w:hint="eastAsia" w:ascii="Times New Roman" w:hAnsi="Times New Roman" w:eastAsia="宋体" w:cs="Times New Roman"/>
                      <w:color w:val="auto"/>
                      <w:highlight w:val="none"/>
                      <w:lang w:eastAsia="zh-CN"/>
                    </w:rPr>
                    <w:t>项目</w:t>
                  </w:r>
                  <w:r>
                    <w:rPr>
                      <w:rFonts w:hint="eastAsia" w:ascii="Times New Roman" w:hAnsi="Times New Roman" w:eastAsia="宋体"/>
                      <w:color w:val="auto"/>
                      <w:sz w:val="21"/>
                      <w:szCs w:val="21"/>
                      <w:lang w:val="en-US" w:eastAsia="zh-CN"/>
                    </w:rPr>
                    <w:t>不设取土场和弃渣场</w:t>
                  </w:r>
                  <w:r>
                    <w:rPr>
                      <w:rFonts w:hint="eastAsia" w:ascii="Times New Roman" w:hAnsi="Times New Roman" w:eastAsia="宋体"/>
                      <w:color w:val="auto"/>
                      <w:highlight w:val="none"/>
                      <w:lang w:val="en-US" w:eastAsia="zh-CN"/>
                    </w:rPr>
                    <w:t>。</w:t>
                  </w:r>
                </w:p>
              </w:tc>
            </w:tr>
            <w:tr w14:paraId="31378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47" w:type="dxa"/>
                  <w:vMerge w:val="continue"/>
                  <w:noWrap w:val="0"/>
                  <w:vAlign w:val="center"/>
                </w:tcPr>
                <w:p w14:paraId="7567C392">
                  <w:pPr>
                    <w:bidi w:val="0"/>
                    <w:jc w:val="center"/>
                    <w:rPr>
                      <w:rFonts w:hint="default" w:ascii="Times New Roman" w:hAnsi="Times New Roman" w:eastAsia="宋体"/>
                      <w:color w:val="auto"/>
                      <w:sz w:val="21"/>
                      <w:szCs w:val="21"/>
                    </w:rPr>
                  </w:pPr>
                </w:p>
              </w:tc>
              <w:tc>
                <w:tcPr>
                  <w:tcW w:w="1394" w:type="dxa"/>
                  <w:gridSpan w:val="2"/>
                  <w:noWrap w:val="0"/>
                  <w:vAlign w:val="center"/>
                </w:tcPr>
                <w:p w14:paraId="1C4944EC">
                  <w:pPr>
                    <w:bidi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施工生活区</w:t>
                  </w:r>
                </w:p>
              </w:tc>
              <w:tc>
                <w:tcPr>
                  <w:tcW w:w="6206" w:type="dxa"/>
                  <w:noWrap w:val="0"/>
                  <w:vAlign w:val="center"/>
                </w:tcPr>
                <w:p w14:paraId="61D58589">
                  <w:pPr>
                    <w:bidi w:val="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本工程不设施工生活区，办公生活租赁工程附近村民房屋及设施</w:t>
                  </w:r>
                </w:p>
              </w:tc>
            </w:tr>
            <w:tr w14:paraId="2870F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447" w:type="dxa"/>
                  <w:vMerge w:val="continue"/>
                  <w:noWrap w:val="0"/>
                  <w:vAlign w:val="center"/>
                </w:tcPr>
                <w:p w14:paraId="3F7376D1">
                  <w:pPr>
                    <w:bidi w:val="0"/>
                    <w:jc w:val="center"/>
                    <w:rPr>
                      <w:rFonts w:hint="default" w:ascii="Times New Roman" w:hAnsi="Times New Roman" w:eastAsia="宋体"/>
                      <w:color w:val="auto"/>
                      <w:sz w:val="21"/>
                      <w:szCs w:val="21"/>
                    </w:rPr>
                  </w:pPr>
                </w:p>
              </w:tc>
              <w:tc>
                <w:tcPr>
                  <w:tcW w:w="1394" w:type="dxa"/>
                  <w:gridSpan w:val="2"/>
                  <w:noWrap w:val="0"/>
                  <w:vAlign w:val="center"/>
                </w:tcPr>
                <w:p w14:paraId="482D46E8">
                  <w:pPr>
                    <w:bidi w:val="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施工导流</w:t>
                  </w:r>
                </w:p>
              </w:tc>
              <w:tc>
                <w:tcPr>
                  <w:tcW w:w="6206" w:type="dxa"/>
                  <w:noWrap w:val="0"/>
                  <w:vAlign w:val="center"/>
                </w:tcPr>
                <w:p w14:paraId="381DFC17">
                  <w:pPr>
                    <w:shd w:val="clear"/>
                    <w:kinsoku/>
                    <w:wordWrap/>
                    <w:overflowPunct/>
                    <w:topLinePunct w:val="0"/>
                    <w:bidi w:val="0"/>
                    <w:snapToGrid w:val="0"/>
                    <w:rPr>
                      <w:rFonts w:hint="eastAsia" w:ascii="Times New Roman" w:hAnsi="Times New Roman" w:eastAsia="宋体"/>
                      <w:color w:val="auto"/>
                      <w:sz w:val="21"/>
                      <w:szCs w:val="21"/>
                      <w:lang w:val="en-US" w:eastAsia="zh-CN"/>
                    </w:rPr>
                  </w:pPr>
                  <w:r>
                    <w:rPr>
                      <w:rFonts w:hint="default" w:ascii="Times New Roman" w:hAnsi="Times New Roman" w:eastAsia="宋体" w:cs="Times New Roman"/>
                      <w:color w:val="auto"/>
                      <w:highlight w:val="none"/>
                    </w:rPr>
                    <w:t>本次工程</w:t>
                  </w:r>
                  <w:r>
                    <w:rPr>
                      <w:rFonts w:hint="eastAsia" w:ascii="Times New Roman" w:hAnsi="Times New Roman" w:eastAsia="宋体" w:cs="Times New Roman"/>
                      <w:color w:val="auto"/>
                      <w:highlight w:val="none"/>
                      <w:lang w:eastAsia="zh-CN"/>
                    </w:rPr>
                    <w:t>护岸和护坡</w:t>
                  </w:r>
                  <w:r>
                    <w:rPr>
                      <w:rFonts w:hint="default" w:ascii="Times New Roman" w:hAnsi="Times New Roman" w:eastAsia="宋体" w:cs="Times New Roman"/>
                      <w:color w:val="auto"/>
                      <w:highlight w:val="none"/>
                    </w:rPr>
                    <w:t>位置距离主河槽较远，</w:t>
                  </w:r>
                  <w:r>
                    <w:rPr>
                      <w:rFonts w:hint="eastAsia" w:ascii="Times New Roman" w:hAnsi="Times New Roman" w:eastAsia="宋体"/>
                      <w:color w:val="auto"/>
                      <w:sz w:val="21"/>
                      <w:szCs w:val="21"/>
                      <w:lang w:val="en-US" w:eastAsia="zh-CN"/>
                    </w:rPr>
                    <w:t>护岸和护坡安排在枯水期施工</w:t>
                  </w:r>
                  <w:r>
                    <w:rPr>
                      <w:rFonts w:hint="default" w:ascii="Times New Roman" w:hAnsi="Times New Roman" w:eastAsia="宋体" w:cs="Times New Roman"/>
                      <w:color w:val="auto"/>
                      <w:highlight w:val="none"/>
                    </w:rPr>
                    <w:t>，结合项目区实际情况，施工期不易受洪水影响，故不需要修建围堰等导流建筑物。</w:t>
                  </w:r>
                </w:p>
              </w:tc>
            </w:tr>
            <w:tr w14:paraId="670E8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447" w:type="dxa"/>
                  <w:vMerge w:val="restart"/>
                  <w:noWrap w:val="0"/>
                  <w:vAlign w:val="center"/>
                </w:tcPr>
                <w:p w14:paraId="1A9E406F">
                  <w:pPr>
                    <w:bidi w:val="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公用工程</w:t>
                  </w:r>
                </w:p>
              </w:tc>
              <w:tc>
                <w:tcPr>
                  <w:tcW w:w="1394" w:type="dxa"/>
                  <w:gridSpan w:val="2"/>
                  <w:noWrap w:val="0"/>
                  <w:vAlign w:val="center"/>
                </w:tcPr>
                <w:p w14:paraId="65443F18">
                  <w:pPr>
                    <w:bidi w:val="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供水</w:t>
                  </w:r>
                </w:p>
              </w:tc>
              <w:tc>
                <w:tcPr>
                  <w:tcW w:w="6206" w:type="dxa"/>
                  <w:noWrap w:val="0"/>
                  <w:vAlign w:val="center"/>
                </w:tcPr>
                <w:p w14:paraId="544D8877">
                  <w:pPr>
                    <w:bidi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生活用水依托附近村庄用水，生产用水取自就近河道</w:t>
                  </w:r>
                  <w:r>
                    <w:rPr>
                      <w:rFonts w:hint="eastAsia" w:ascii="Times New Roman" w:hAnsi="Times New Roman" w:eastAsia="宋体"/>
                      <w:color w:val="auto"/>
                      <w:highlight w:val="none"/>
                      <w:lang w:val="en-US" w:eastAsia="zh-CN"/>
                    </w:rPr>
                    <w:t>。</w:t>
                  </w:r>
                </w:p>
              </w:tc>
            </w:tr>
            <w:tr w14:paraId="59766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447" w:type="dxa"/>
                  <w:vMerge w:val="continue"/>
                  <w:noWrap w:val="0"/>
                  <w:vAlign w:val="center"/>
                </w:tcPr>
                <w:p w14:paraId="389445F7">
                  <w:pPr>
                    <w:bidi w:val="0"/>
                    <w:jc w:val="center"/>
                    <w:rPr>
                      <w:rFonts w:hint="default" w:ascii="Times New Roman" w:hAnsi="Times New Roman" w:eastAsia="宋体"/>
                      <w:color w:val="auto"/>
                      <w:sz w:val="21"/>
                      <w:szCs w:val="21"/>
                    </w:rPr>
                  </w:pPr>
                </w:p>
              </w:tc>
              <w:tc>
                <w:tcPr>
                  <w:tcW w:w="1394" w:type="dxa"/>
                  <w:gridSpan w:val="2"/>
                  <w:noWrap w:val="0"/>
                  <w:vAlign w:val="center"/>
                </w:tcPr>
                <w:p w14:paraId="373BE491">
                  <w:pPr>
                    <w:bidi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供电</w:t>
                  </w:r>
                </w:p>
              </w:tc>
              <w:tc>
                <w:tcPr>
                  <w:tcW w:w="6206" w:type="dxa"/>
                  <w:noWrap w:val="0"/>
                  <w:vAlign w:val="center"/>
                </w:tcPr>
                <w:p w14:paraId="6BB80EF7">
                  <w:pPr>
                    <w:bidi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当地电网供给。</w:t>
                  </w:r>
                </w:p>
              </w:tc>
            </w:tr>
            <w:tr w14:paraId="6E468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447" w:type="dxa"/>
                  <w:vMerge w:val="continue"/>
                  <w:noWrap w:val="0"/>
                  <w:vAlign w:val="center"/>
                </w:tcPr>
                <w:p w14:paraId="26F24C5C">
                  <w:pPr>
                    <w:bidi w:val="0"/>
                    <w:jc w:val="center"/>
                    <w:rPr>
                      <w:rFonts w:hint="default" w:ascii="Times New Roman" w:hAnsi="Times New Roman" w:eastAsia="宋体"/>
                      <w:color w:val="auto"/>
                      <w:sz w:val="21"/>
                      <w:szCs w:val="21"/>
                    </w:rPr>
                  </w:pPr>
                </w:p>
              </w:tc>
              <w:tc>
                <w:tcPr>
                  <w:tcW w:w="1394" w:type="dxa"/>
                  <w:gridSpan w:val="2"/>
                  <w:noWrap w:val="0"/>
                  <w:vAlign w:val="center"/>
                </w:tcPr>
                <w:p w14:paraId="7B514EEC">
                  <w:pPr>
                    <w:bidi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排水</w:t>
                  </w:r>
                </w:p>
              </w:tc>
              <w:tc>
                <w:tcPr>
                  <w:tcW w:w="6206" w:type="dxa"/>
                  <w:noWrap w:val="0"/>
                  <w:vAlign w:val="center"/>
                </w:tcPr>
                <w:p w14:paraId="19C25652">
                  <w:pPr>
                    <w:bidi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施工人员生活污水依托沿线村民的生活设施，施工废水设置沉淀池，经沉淀池处理后用于施工场地内洒水降尘，施工结束后沉淀池拆除。</w:t>
                  </w:r>
                </w:p>
              </w:tc>
            </w:tr>
            <w:tr w14:paraId="1D8A2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447" w:type="dxa"/>
                  <w:vMerge w:val="restart"/>
                  <w:noWrap w:val="0"/>
                  <w:vAlign w:val="center"/>
                </w:tcPr>
                <w:p w14:paraId="3836D8EF">
                  <w:pPr>
                    <w:bidi w:val="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环保工程</w:t>
                  </w:r>
                </w:p>
              </w:tc>
              <w:tc>
                <w:tcPr>
                  <w:tcW w:w="1394" w:type="dxa"/>
                  <w:gridSpan w:val="2"/>
                  <w:noWrap w:val="0"/>
                  <w:vAlign w:val="center"/>
                </w:tcPr>
                <w:p w14:paraId="4B6A9668">
                  <w:pPr>
                    <w:bidi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废气</w:t>
                  </w:r>
                </w:p>
              </w:tc>
              <w:tc>
                <w:tcPr>
                  <w:tcW w:w="6206" w:type="dxa"/>
                  <w:noWrap w:val="0"/>
                  <w:vAlign w:val="center"/>
                </w:tcPr>
                <w:p w14:paraId="4F214756">
                  <w:pPr>
                    <w:bidi w:val="0"/>
                    <w:jc w:val="center"/>
                    <w:rPr>
                      <w:rFonts w:hint="eastAsia" w:ascii="Times New Roman" w:hAnsi="Times New Roman" w:eastAsia="宋体"/>
                      <w:color w:val="auto"/>
                      <w:sz w:val="21"/>
                      <w:szCs w:val="21"/>
                      <w:lang w:val="en-US" w:eastAsia="zh-CN"/>
                    </w:rPr>
                  </w:pPr>
                  <w:r>
                    <w:rPr>
                      <w:rFonts w:hint="default" w:ascii="Times New Roman" w:hAnsi="Times New Roman" w:eastAsia="宋体" w:cs="Times New Roman"/>
                      <w:color w:val="auto"/>
                      <w:spacing w:val="-4"/>
                      <w:szCs w:val="21"/>
                      <w:lang w:val="en-US" w:eastAsia="zh-CN"/>
                    </w:rPr>
                    <w:t>①</w:t>
                  </w:r>
                  <w:r>
                    <w:rPr>
                      <w:rFonts w:hint="eastAsia" w:ascii="Times New Roman" w:hAnsi="Times New Roman" w:eastAsia="宋体" w:cs="Times New Roman"/>
                      <w:color w:val="auto"/>
                      <w:spacing w:val="-4"/>
                      <w:szCs w:val="21"/>
                      <w:lang w:val="en-US" w:eastAsia="zh-CN"/>
                    </w:rPr>
                    <w:t>人工湿地</w:t>
                  </w:r>
                  <w:r>
                    <w:rPr>
                      <w:rFonts w:hint="default" w:ascii="Times New Roman" w:hAnsi="Times New Roman" w:eastAsia="宋体" w:cs="Times New Roman"/>
                      <w:color w:val="auto"/>
                      <w:spacing w:val="-4"/>
                      <w:szCs w:val="21"/>
                      <w:lang w:val="en-US" w:eastAsia="zh-CN"/>
                    </w:rPr>
                    <w:t>围</w:t>
                  </w:r>
                  <w:r>
                    <w:rPr>
                      <w:rFonts w:hint="eastAsia" w:ascii="Times New Roman" w:hAnsi="Times New Roman" w:eastAsia="宋体" w:cs="Times New Roman"/>
                      <w:color w:val="auto"/>
                      <w:spacing w:val="-4"/>
                      <w:szCs w:val="21"/>
                      <w:lang w:val="en-US" w:eastAsia="zh-CN"/>
                    </w:rPr>
                    <w:t>挡施工，施工作业面及道路定时洒水抑</w:t>
                  </w:r>
                  <w:r>
                    <w:rPr>
                      <w:rFonts w:hint="default" w:ascii="Times New Roman" w:hAnsi="Times New Roman" w:eastAsia="宋体" w:cs="Times New Roman"/>
                      <w:color w:val="auto"/>
                      <w:spacing w:val="-4"/>
                      <w:szCs w:val="21"/>
                      <w:lang w:val="en-US" w:eastAsia="zh-CN"/>
                    </w:rPr>
                    <w:t>尘②对</w:t>
                  </w:r>
                  <w:r>
                    <w:rPr>
                      <w:rFonts w:hint="eastAsia" w:ascii="Times New Roman" w:hAnsi="Times New Roman" w:eastAsia="宋体" w:cs="Times New Roman"/>
                      <w:color w:val="auto"/>
                      <w:spacing w:val="-4"/>
                      <w:szCs w:val="21"/>
                      <w:lang w:val="en-US" w:eastAsia="zh-CN"/>
                    </w:rPr>
                    <w:t>建筑材料和</w:t>
                  </w:r>
                  <w:r>
                    <w:rPr>
                      <w:rFonts w:hint="default" w:ascii="Times New Roman" w:hAnsi="Times New Roman" w:eastAsia="宋体" w:cs="Times New Roman"/>
                      <w:color w:val="auto"/>
                      <w:spacing w:val="-4"/>
                      <w:szCs w:val="21"/>
                      <w:lang w:val="en-US" w:eastAsia="zh-CN"/>
                    </w:rPr>
                    <w:t>开挖</w:t>
                  </w:r>
                  <w:r>
                    <w:rPr>
                      <w:rFonts w:hint="eastAsia" w:ascii="Times New Roman" w:hAnsi="Times New Roman" w:eastAsia="宋体" w:cs="Times New Roman"/>
                      <w:color w:val="auto"/>
                      <w:spacing w:val="-4"/>
                      <w:szCs w:val="21"/>
                      <w:lang w:val="en-US" w:eastAsia="zh-CN"/>
                    </w:rPr>
                    <w:t>的土石方采用防尘网进行覆盖</w:t>
                  </w:r>
                  <w:r>
                    <w:rPr>
                      <w:rFonts w:hint="default" w:ascii="Times New Roman" w:hAnsi="Times New Roman" w:eastAsia="宋体" w:cs="Times New Roman"/>
                      <w:color w:val="auto"/>
                      <w:spacing w:val="-4"/>
                      <w:szCs w:val="21"/>
                      <w:lang w:val="en-US" w:eastAsia="zh-CN"/>
                    </w:rPr>
                    <w:t>③</w:t>
                  </w:r>
                  <w:r>
                    <w:rPr>
                      <w:rFonts w:hint="eastAsia" w:ascii="Times New Roman" w:hAnsi="Times New Roman" w:eastAsia="宋体" w:cs="Times New Roman"/>
                      <w:color w:val="auto"/>
                      <w:spacing w:val="-4"/>
                      <w:szCs w:val="21"/>
                      <w:lang w:val="en-US" w:eastAsia="zh-CN"/>
                    </w:rPr>
                    <w:t>采用符合相关环境标准的机械和车辆。</w:t>
                  </w:r>
                </w:p>
              </w:tc>
            </w:tr>
            <w:tr w14:paraId="09353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47" w:type="dxa"/>
                  <w:vMerge w:val="continue"/>
                  <w:noWrap w:val="0"/>
                  <w:vAlign w:val="center"/>
                </w:tcPr>
                <w:p w14:paraId="14B88A29">
                  <w:pPr>
                    <w:bidi w:val="0"/>
                    <w:jc w:val="center"/>
                    <w:rPr>
                      <w:rFonts w:hint="eastAsia" w:ascii="Times New Roman" w:hAnsi="Times New Roman" w:eastAsia="宋体"/>
                      <w:color w:val="auto"/>
                      <w:sz w:val="21"/>
                      <w:szCs w:val="21"/>
                      <w:lang w:val="en-US" w:eastAsia="zh-CN"/>
                    </w:rPr>
                  </w:pPr>
                </w:p>
              </w:tc>
              <w:tc>
                <w:tcPr>
                  <w:tcW w:w="1394" w:type="dxa"/>
                  <w:gridSpan w:val="2"/>
                  <w:noWrap w:val="0"/>
                  <w:vAlign w:val="center"/>
                </w:tcPr>
                <w:p w14:paraId="29675EDF">
                  <w:pPr>
                    <w:bidi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废水</w:t>
                  </w:r>
                </w:p>
              </w:tc>
              <w:tc>
                <w:tcPr>
                  <w:tcW w:w="6206" w:type="dxa"/>
                  <w:noWrap w:val="0"/>
                  <w:vAlign w:val="center"/>
                </w:tcPr>
                <w:p w14:paraId="7F13EDF4">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①</w:t>
                  </w:r>
                  <w:r>
                    <w:rPr>
                      <w:rFonts w:hint="eastAsia" w:cs="Times New Roman"/>
                      <w:color w:val="auto"/>
                      <w:sz w:val="21"/>
                      <w:szCs w:val="21"/>
                      <w:lang w:val="en-US" w:eastAsia="zh-CN"/>
                    </w:rPr>
                    <w:t>项目位于城区，</w:t>
                  </w:r>
                  <w:r>
                    <w:rPr>
                      <w:rFonts w:hint="eastAsia" w:ascii="Times New Roman" w:hAnsi="Times New Roman" w:eastAsia="宋体" w:cs="Times New Roman"/>
                      <w:color w:val="auto"/>
                      <w:sz w:val="21"/>
                      <w:szCs w:val="21"/>
                      <w:lang w:val="en-US" w:eastAsia="zh-CN"/>
                    </w:rPr>
                    <w:t>施工人员生活污水依托</w:t>
                  </w:r>
                  <w:r>
                    <w:rPr>
                      <w:rFonts w:hint="eastAsia" w:cs="Times New Roman"/>
                      <w:color w:val="auto"/>
                      <w:sz w:val="21"/>
                      <w:szCs w:val="21"/>
                      <w:lang w:val="en-US" w:eastAsia="zh-CN"/>
                    </w:rPr>
                    <w:t>附近</w:t>
                  </w:r>
                  <w:r>
                    <w:rPr>
                      <w:rFonts w:hint="eastAsia" w:ascii="Times New Roman" w:hAnsi="Times New Roman" w:eastAsia="宋体" w:cs="Times New Roman"/>
                      <w:color w:val="auto"/>
                      <w:sz w:val="21"/>
                      <w:szCs w:val="21"/>
                      <w:lang w:val="en-US" w:eastAsia="zh-CN"/>
                    </w:rPr>
                    <w:t>村民化粪池收集后</w:t>
                  </w:r>
                  <w:r>
                    <w:rPr>
                      <w:rFonts w:hint="eastAsia" w:cs="Times New Roman"/>
                      <w:color w:val="auto"/>
                      <w:sz w:val="21"/>
                      <w:szCs w:val="21"/>
                      <w:lang w:val="en-US" w:eastAsia="zh-CN"/>
                    </w:rPr>
                    <w:t>进入市政污水管网</w:t>
                  </w:r>
                  <w:r>
                    <w:rPr>
                      <w:rFonts w:hint="default" w:ascii="Times New Roman" w:hAnsi="Times New Roman" w:eastAsia="宋体" w:cs="Times New Roman"/>
                      <w:color w:val="auto"/>
                      <w:sz w:val="21"/>
                      <w:szCs w:val="21"/>
                      <w:lang w:val="en-US" w:eastAsia="zh-CN"/>
                    </w:rPr>
                    <w:t>②</w:t>
                  </w:r>
                  <w:r>
                    <w:rPr>
                      <w:rFonts w:hint="eastAsia" w:ascii="Times New Roman" w:hAnsi="Times New Roman" w:eastAsia="宋体" w:cs="Times New Roman"/>
                      <w:color w:val="auto"/>
                      <w:sz w:val="21"/>
                      <w:szCs w:val="21"/>
                      <w:lang w:val="en-US" w:eastAsia="zh-CN"/>
                    </w:rPr>
                    <w:t>施工废水设置沉淀池，经沉淀池处理后用于施工场地内洒水降尘。</w:t>
                  </w:r>
                </w:p>
              </w:tc>
            </w:tr>
            <w:tr w14:paraId="1C83C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447" w:type="dxa"/>
                  <w:vMerge w:val="continue"/>
                  <w:noWrap w:val="0"/>
                  <w:vAlign w:val="center"/>
                </w:tcPr>
                <w:p w14:paraId="441AF192">
                  <w:pPr>
                    <w:bidi w:val="0"/>
                    <w:jc w:val="center"/>
                    <w:rPr>
                      <w:rFonts w:hint="eastAsia" w:ascii="Times New Roman" w:hAnsi="Times New Roman" w:eastAsia="宋体"/>
                      <w:color w:val="auto"/>
                      <w:sz w:val="21"/>
                      <w:szCs w:val="21"/>
                      <w:lang w:val="en-US" w:eastAsia="zh-CN"/>
                    </w:rPr>
                  </w:pPr>
                </w:p>
              </w:tc>
              <w:tc>
                <w:tcPr>
                  <w:tcW w:w="1394" w:type="dxa"/>
                  <w:gridSpan w:val="2"/>
                  <w:noWrap w:val="0"/>
                  <w:vAlign w:val="center"/>
                </w:tcPr>
                <w:p w14:paraId="38F61EC4">
                  <w:pPr>
                    <w:bidi w:val="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噪声</w:t>
                  </w:r>
                </w:p>
              </w:tc>
              <w:tc>
                <w:tcPr>
                  <w:tcW w:w="6206" w:type="dxa"/>
                  <w:noWrap w:val="0"/>
                  <w:vAlign w:val="center"/>
                </w:tcPr>
                <w:p w14:paraId="756CC9FF">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4"/>
                      <w:szCs w:val="21"/>
                      <w:lang w:val="en-US" w:eastAsia="zh-CN"/>
                    </w:rPr>
                    <w:t>①</w:t>
                  </w:r>
                  <w:r>
                    <w:rPr>
                      <w:rFonts w:hint="eastAsia" w:ascii="Times New Roman" w:hAnsi="Times New Roman" w:eastAsia="宋体" w:cs="Times New Roman"/>
                      <w:color w:val="auto"/>
                      <w:sz w:val="21"/>
                      <w:szCs w:val="21"/>
                      <w:lang w:val="en-US" w:eastAsia="zh-CN"/>
                    </w:rPr>
                    <w:t>合理安排施工进度和时间、严禁</w:t>
                  </w:r>
                  <w:r>
                    <w:rPr>
                      <w:rFonts w:hint="default" w:ascii="Times New Roman" w:hAnsi="Times New Roman" w:eastAsia="宋体" w:cs="Times New Roman"/>
                      <w:color w:val="auto"/>
                      <w:sz w:val="21"/>
                      <w:szCs w:val="21"/>
                      <w:lang w:val="en-US" w:eastAsia="zh-CN"/>
                    </w:rPr>
                    <w:t>夜间施工</w:t>
                  </w:r>
                  <w:r>
                    <w:rPr>
                      <w:rFonts w:hint="default" w:ascii="Times New Roman" w:hAnsi="Times New Roman" w:eastAsia="宋体" w:cs="Times New Roman"/>
                      <w:color w:val="auto"/>
                      <w:spacing w:val="-4"/>
                      <w:szCs w:val="21"/>
                      <w:lang w:val="en-US" w:eastAsia="zh-CN"/>
                    </w:rPr>
                    <w:t>②</w:t>
                  </w:r>
                  <w:r>
                    <w:rPr>
                      <w:rFonts w:hint="default" w:ascii="Times New Roman" w:hAnsi="Times New Roman" w:eastAsia="宋体" w:cs="Times New Roman"/>
                      <w:color w:val="auto"/>
                      <w:sz w:val="21"/>
                      <w:szCs w:val="21"/>
                      <w:lang w:val="en-US" w:eastAsia="zh-CN"/>
                    </w:rPr>
                    <w:t>选用低噪声</w:t>
                  </w:r>
                  <w:r>
                    <w:rPr>
                      <w:rFonts w:hint="eastAsia" w:ascii="Times New Roman" w:hAnsi="Times New Roman" w:eastAsia="宋体" w:cs="Times New Roman"/>
                      <w:color w:val="auto"/>
                      <w:sz w:val="21"/>
                      <w:szCs w:val="21"/>
                      <w:lang w:val="en-US" w:eastAsia="zh-CN"/>
                    </w:rPr>
                    <w:t>施工</w:t>
                  </w:r>
                  <w:r>
                    <w:rPr>
                      <w:rFonts w:hint="default" w:ascii="Times New Roman" w:hAnsi="Times New Roman" w:eastAsia="宋体" w:cs="Times New Roman"/>
                      <w:color w:val="auto"/>
                      <w:sz w:val="21"/>
                      <w:szCs w:val="21"/>
                      <w:lang w:val="en-US" w:eastAsia="zh-CN"/>
                    </w:rPr>
                    <w:t>设备</w:t>
                  </w:r>
                  <w:r>
                    <w:rPr>
                      <w:rFonts w:hint="eastAsia" w:ascii="Times New Roman" w:hAnsi="Times New Roman" w:eastAsia="宋体" w:cs="Times New Roman"/>
                      <w:color w:val="auto"/>
                      <w:sz w:val="21"/>
                      <w:szCs w:val="21"/>
                      <w:lang w:val="en-US" w:eastAsia="zh-CN"/>
                    </w:rPr>
                    <w:t>，加强施工机械维护保养</w:t>
                  </w:r>
                  <w:r>
                    <w:rPr>
                      <w:rFonts w:hint="default" w:ascii="Times New Roman" w:hAnsi="Times New Roman" w:eastAsia="宋体" w:cs="Times New Roman"/>
                      <w:color w:val="auto"/>
                      <w:spacing w:val="-4"/>
                      <w:szCs w:val="21"/>
                      <w:lang w:val="en-US" w:eastAsia="zh-CN"/>
                    </w:rPr>
                    <w:t>③</w:t>
                  </w:r>
                  <w:r>
                    <w:rPr>
                      <w:rFonts w:hint="eastAsia" w:ascii="Times New Roman" w:hAnsi="Times New Roman" w:eastAsia="宋体" w:cs="Times New Roman"/>
                      <w:color w:val="auto"/>
                      <w:sz w:val="21"/>
                      <w:szCs w:val="21"/>
                      <w:lang w:val="en-US" w:eastAsia="zh-CN"/>
                    </w:rPr>
                    <w:t>控制车速，</w:t>
                  </w:r>
                  <w:r>
                    <w:rPr>
                      <w:rFonts w:hint="default" w:ascii="Times New Roman" w:hAnsi="Times New Roman" w:eastAsia="宋体"/>
                      <w:color w:val="auto"/>
                      <w:sz w:val="21"/>
                      <w:szCs w:val="21"/>
                      <w:vertAlign w:val="baseline"/>
                      <w:lang w:val="en-US" w:eastAsia="zh-CN"/>
                    </w:rPr>
                    <w:t>途经声环境保护目标处减速缓行，并禁止鸣笛</w:t>
                  </w:r>
                  <w:r>
                    <w:rPr>
                      <w:rFonts w:hint="eastAsia" w:ascii="Times New Roman" w:hAnsi="Times New Roman" w:eastAsia="宋体" w:cs="微软雅黑"/>
                      <w:color w:val="auto"/>
                      <w:sz w:val="21"/>
                      <w:szCs w:val="21"/>
                      <w:vertAlign w:val="baseline"/>
                      <w:lang w:val="en-US" w:eastAsia="zh-CN"/>
                    </w:rPr>
                    <w:t>④</w:t>
                  </w:r>
                  <w:r>
                    <w:rPr>
                      <w:rFonts w:hint="default" w:ascii="Times New Roman" w:hAnsi="Times New Roman" w:eastAsia="宋体"/>
                      <w:color w:val="auto"/>
                      <w:sz w:val="21"/>
                      <w:szCs w:val="21"/>
                      <w:vertAlign w:val="baseline"/>
                      <w:lang w:val="en-US" w:eastAsia="zh-CN"/>
                    </w:rPr>
                    <w:t>优化施工场地布设，使施工场地远离居民点；尽量避免所有机械同时施工，振动较大的机械设备采取基座减振</w:t>
                  </w:r>
                </w:p>
              </w:tc>
            </w:tr>
            <w:tr w14:paraId="2220E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447" w:type="dxa"/>
                  <w:vMerge w:val="continue"/>
                  <w:noWrap w:val="0"/>
                  <w:vAlign w:val="center"/>
                </w:tcPr>
                <w:p w14:paraId="6E621CAD">
                  <w:pPr>
                    <w:bidi w:val="0"/>
                    <w:jc w:val="center"/>
                    <w:rPr>
                      <w:rFonts w:hint="eastAsia" w:ascii="Times New Roman" w:hAnsi="Times New Roman" w:eastAsia="宋体"/>
                      <w:color w:val="auto"/>
                      <w:sz w:val="21"/>
                      <w:szCs w:val="21"/>
                      <w:lang w:val="en-US" w:eastAsia="zh-CN"/>
                    </w:rPr>
                  </w:pPr>
                </w:p>
              </w:tc>
              <w:tc>
                <w:tcPr>
                  <w:tcW w:w="1394" w:type="dxa"/>
                  <w:gridSpan w:val="2"/>
                  <w:noWrap w:val="0"/>
                  <w:vAlign w:val="center"/>
                </w:tcPr>
                <w:p w14:paraId="4E717DFE">
                  <w:pPr>
                    <w:bidi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固体废物</w:t>
                  </w:r>
                </w:p>
              </w:tc>
              <w:tc>
                <w:tcPr>
                  <w:tcW w:w="6206" w:type="dxa"/>
                  <w:noWrap w:val="0"/>
                  <w:vAlign w:val="center"/>
                </w:tcPr>
                <w:p w14:paraId="1EDFCEAA">
                  <w:pPr>
                    <w:bidi w:val="0"/>
                    <w:jc w:val="center"/>
                    <w:rPr>
                      <w:rFonts w:hint="default" w:ascii="Times New Roman" w:hAnsi="Times New Roman" w:eastAsia="宋体"/>
                      <w:color w:val="auto"/>
                      <w:lang w:val="en-US" w:eastAsia="zh-CN"/>
                    </w:rPr>
                  </w:pPr>
                  <w:r>
                    <w:rPr>
                      <w:rFonts w:hint="default" w:ascii="Times New Roman" w:hAnsi="Times New Roman" w:eastAsia="宋体" w:cs="Times New Roman"/>
                      <w:color w:val="auto"/>
                      <w:sz w:val="21"/>
                      <w:szCs w:val="21"/>
                      <w:lang w:val="en-US" w:eastAsia="zh-CN"/>
                    </w:rPr>
                    <w:t>①</w:t>
                  </w:r>
                  <w:r>
                    <w:rPr>
                      <w:rFonts w:hint="eastAsia" w:ascii="Times New Roman" w:hAnsi="Times New Roman" w:eastAsia="宋体"/>
                      <w:color w:val="auto"/>
                      <w:sz w:val="21"/>
                      <w:szCs w:val="21"/>
                      <w:lang w:val="en-US" w:eastAsia="zh-CN"/>
                    </w:rPr>
                    <w:t>生活垃圾经垃圾桶收集后运送至最近环卫垃圾收集点，由环卫部门统一清运</w:t>
                  </w:r>
                  <w:r>
                    <w:rPr>
                      <w:rFonts w:hint="default" w:ascii="Times New Roman" w:hAnsi="Times New Roman" w:eastAsia="宋体" w:cs="Times New Roman"/>
                      <w:color w:val="auto"/>
                      <w:sz w:val="21"/>
                      <w:szCs w:val="21"/>
                      <w:lang w:val="en-US" w:eastAsia="zh-CN"/>
                    </w:rPr>
                    <w:t>②</w:t>
                  </w:r>
                  <w:r>
                    <w:rPr>
                      <w:rFonts w:hint="eastAsia" w:ascii="Times New Roman" w:hAnsi="Times New Roman" w:eastAsia="宋体" w:cs="Times New Roman"/>
                      <w:color w:val="auto"/>
                      <w:sz w:val="21"/>
                      <w:szCs w:val="21"/>
                      <w:lang w:val="en-US" w:eastAsia="zh-CN"/>
                    </w:rPr>
                    <w:t>弃方</w:t>
                  </w:r>
                  <w:r>
                    <w:rPr>
                      <w:rFonts w:hint="eastAsia" w:ascii="Times New Roman" w:hAnsi="Times New Roman" w:eastAsia="宋体" w:cs="Times New Roman"/>
                      <w:color w:val="auto"/>
                      <w:highlight w:val="none"/>
                      <w:lang w:val="en-US" w:eastAsia="zh-CN"/>
                    </w:rPr>
                    <w:t>5.14万m</w:t>
                  </w:r>
                  <w:r>
                    <w:rPr>
                      <w:rFonts w:hint="eastAsia"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rPr>
                    <w:t>外运至</w:t>
                  </w:r>
                  <w:r>
                    <w:rPr>
                      <w:rFonts w:hint="eastAsia" w:ascii="Times New Roman" w:hAnsi="Times New Roman" w:eastAsia="宋体" w:cs="Times New Roman"/>
                      <w:color w:val="auto"/>
                      <w:kern w:val="0"/>
                      <w:sz w:val="21"/>
                      <w:szCs w:val="21"/>
                      <w:highlight w:val="none"/>
                      <w:vertAlign w:val="baseline"/>
                      <w:lang w:val="en-US" w:eastAsia="zh-CN" w:bidi="ar"/>
                    </w:rPr>
                    <w:t>陇县国有化标准砂石厂综合利用</w:t>
                  </w:r>
                  <w:r>
                    <w:rPr>
                      <w:rFonts w:hint="default" w:ascii="Times New Roman" w:hAnsi="Times New Roman" w:eastAsia="宋体" w:cs="Times New Roman"/>
                      <w:color w:val="auto"/>
                      <w:spacing w:val="-4"/>
                      <w:szCs w:val="21"/>
                      <w:lang w:val="en-US" w:eastAsia="zh-CN"/>
                    </w:rPr>
                    <w:t>③</w:t>
                  </w:r>
                  <w:r>
                    <w:rPr>
                      <w:rFonts w:hint="eastAsia" w:ascii="Times New Roman" w:hAnsi="Times New Roman" w:eastAsia="宋体"/>
                      <w:color w:val="auto"/>
                      <w:sz w:val="21"/>
                      <w:szCs w:val="21"/>
                      <w:vertAlign w:val="baseline"/>
                      <w:lang w:val="en-US" w:eastAsia="zh-CN"/>
                    </w:rPr>
                    <w:t>施工产生的建筑废料及时外运，施工结束后要清理施工现场。</w:t>
                  </w:r>
                </w:p>
              </w:tc>
            </w:tr>
            <w:tr w14:paraId="7DB8B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447" w:type="dxa"/>
                  <w:vMerge w:val="continue"/>
                  <w:noWrap w:val="0"/>
                  <w:vAlign w:val="center"/>
                </w:tcPr>
                <w:p w14:paraId="516BDACC">
                  <w:pPr>
                    <w:bidi w:val="0"/>
                    <w:jc w:val="center"/>
                    <w:rPr>
                      <w:rFonts w:hint="eastAsia" w:ascii="Times New Roman" w:hAnsi="Times New Roman" w:eastAsia="宋体"/>
                      <w:color w:val="auto"/>
                      <w:sz w:val="21"/>
                      <w:szCs w:val="21"/>
                      <w:lang w:val="en-US" w:eastAsia="zh-CN"/>
                    </w:rPr>
                  </w:pPr>
                </w:p>
              </w:tc>
              <w:tc>
                <w:tcPr>
                  <w:tcW w:w="1394" w:type="dxa"/>
                  <w:gridSpan w:val="2"/>
                  <w:noWrap w:val="0"/>
                  <w:vAlign w:val="center"/>
                </w:tcPr>
                <w:p w14:paraId="2030C8FA">
                  <w:pPr>
                    <w:bidi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生态环境</w:t>
                  </w:r>
                </w:p>
              </w:tc>
              <w:tc>
                <w:tcPr>
                  <w:tcW w:w="6206" w:type="dxa"/>
                  <w:noWrap w:val="0"/>
                  <w:vAlign w:val="center"/>
                </w:tcPr>
                <w:p w14:paraId="1EA24EE3">
                  <w:pPr>
                    <w:keepNext w:val="0"/>
                    <w:keepLines w:val="0"/>
                    <w:widowControl/>
                    <w:suppressLineNumbers w:val="0"/>
                    <w:jc w:val="left"/>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本工程占地均位于河道管理范围线外，施工过程中应注意对已建堤防的保护；</w:t>
                  </w:r>
                  <w:r>
                    <w:rPr>
                      <w:rFonts w:hint="default" w:ascii="Times New Roman" w:hAnsi="Times New Roman" w:eastAsia="宋体"/>
                      <w:color w:val="auto"/>
                      <w:sz w:val="21"/>
                      <w:szCs w:val="21"/>
                      <w:lang w:val="en-US" w:eastAsia="zh-CN"/>
                    </w:rPr>
                    <w:t>尽量减少施工占地面积和扰动面积</w:t>
                  </w:r>
                  <w:r>
                    <w:rPr>
                      <w:rFonts w:hint="eastAsia" w:ascii="Times New Roman" w:hAnsi="Times New Roman" w:eastAsia="宋体"/>
                      <w:color w:val="auto"/>
                      <w:sz w:val="21"/>
                      <w:szCs w:val="21"/>
                      <w:lang w:val="en-US" w:eastAsia="zh-CN"/>
                    </w:rPr>
                    <w:t>；对施工人员加强生态环境保护的宣传教育；禁止向河道内堆放各类</w:t>
                  </w:r>
                  <w:r>
                    <w:rPr>
                      <w:rFonts w:hint="default" w:ascii="Times New Roman" w:hAnsi="Times New Roman" w:eastAsia="宋体"/>
                      <w:color w:val="auto"/>
                      <w:sz w:val="21"/>
                      <w:szCs w:val="21"/>
                      <w:lang w:val="en-US" w:eastAsia="zh-CN"/>
                    </w:rPr>
                    <w:t>固体废物</w:t>
                  </w:r>
                  <w:r>
                    <w:rPr>
                      <w:rFonts w:hint="eastAsia" w:ascii="Times New Roman" w:hAnsi="Times New Roman" w:eastAsia="宋体"/>
                      <w:color w:val="auto"/>
                      <w:sz w:val="21"/>
                      <w:szCs w:val="21"/>
                      <w:lang w:val="en-US" w:eastAsia="zh-CN"/>
                    </w:rPr>
                    <w:t>；在施工过程中对表土进行剥离，单独堆存，后用于占地的覆土进行植被恢复；施工结束后根据临时占地植被全部恢复，不得遗留裸露地面</w:t>
                  </w:r>
                </w:p>
              </w:tc>
            </w:tr>
          </w:tbl>
          <w:p w14:paraId="61B251A1">
            <w:pPr>
              <w:pStyle w:val="27"/>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4、工程设计方案</w:t>
            </w:r>
          </w:p>
          <w:p w14:paraId="1B5BEF66">
            <w:pPr>
              <w:keepNext w:val="0"/>
              <w:keepLines w:val="0"/>
              <w:pageBreakBefore w:val="0"/>
              <w:widowControl w:val="0"/>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eastAsia="宋体" w:cs="楷体"/>
                <w:b/>
                <w:bCs/>
                <w:color w:val="auto"/>
                <w:kern w:val="0"/>
                <w:sz w:val="24"/>
                <w:szCs w:val="24"/>
                <w:lang w:val="en-US" w:eastAsia="zh-CN" w:bidi="ar"/>
              </w:rPr>
            </w:pPr>
            <w:r>
              <w:rPr>
                <w:rFonts w:hint="eastAsia" w:ascii="Times New Roman" w:hAnsi="Times New Roman" w:eastAsia="宋体" w:cs="Times New Roman"/>
                <w:b/>
                <w:bCs/>
                <w:color w:val="auto"/>
                <w:kern w:val="0"/>
                <w:sz w:val="24"/>
                <w:szCs w:val="24"/>
                <w:lang w:val="en-US" w:eastAsia="zh-CN" w:bidi="ar"/>
              </w:rPr>
              <w:t>（1）工艺流程</w:t>
            </w:r>
          </w:p>
          <w:p w14:paraId="09C7EC99">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初步设计文件，本工程处理对象为陇县污水处理厂和陇县千河南岸新城污水处理厂的出水，污水中污染物浓度相对较低，适宜采用以人工湿地为核心的污水生态处理工艺。根据本工程所在地及周边的实际情况，确定采用的处理工艺流程如下图所示。</w:t>
            </w:r>
          </w:p>
          <w:p w14:paraId="1AE59673">
            <w:pPr>
              <w:spacing w:line="808" w:lineRule="exact"/>
              <w:rPr>
                <w:rFonts w:ascii="Times New Roman" w:hAnsi="Times New Roman" w:eastAsia="宋体"/>
              </w:rPr>
            </w:pPr>
            <w:r>
              <w:rPr>
                <w:rFonts w:ascii="Times New Roman" w:hAnsi="Times New Roman" w:eastAsia="宋体"/>
                <w:position w:val="-16"/>
              </w:rPr>
              <w:drawing>
                <wp:inline distT="0" distB="0" distL="0" distR="0">
                  <wp:extent cx="4947920" cy="513080"/>
                  <wp:effectExtent l="0" t="0" r="5080" b="1270"/>
                  <wp:docPr id="1" name="IM 38"/>
                  <wp:cNvGraphicFramePr/>
                  <a:graphic xmlns:a="http://schemas.openxmlformats.org/drawingml/2006/main">
                    <a:graphicData uri="http://schemas.openxmlformats.org/drawingml/2006/picture">
                      <pic:pic xmlns:pic="http://schemas.openxmlformats.org/drawingml/2006/picture">
                        <pic:nvPicPr>
                          <pic:cNvPr id="1" name="IM 38"/>
                          <pic:cNvPicPr/>
                        </pic:nvPicPr>
                        <pic:blipFill>
                          <a:blip r:embed="rId10"/>
                          <a:stretch>
                            <a:fillRect/>
                          </a:stretch>
                        </pic:blipFill>
                        <pic:spPr>
                          <a:xfrm>
                            <a:off x="0" y="0"/>
                            <a:ext cx="4947920" cy="513588"/>
                          </a:xfrm>
                          <a:prstGeom prst="rect">
                            <a:avLst/>
                          </a:prstGeom>
                        </pic:spPr>
                      </pic:pic>
                    </a:graphicData>
                  </a:graphic>
                </wp:inline>
              </w:drawing>
            </w:r>
          </w:p>
          <w:p w14:paraId="2BC9FBE5">
            <w:pPr>
              <w:pStyle w:val="28"/>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图</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本工程所采用的工艺流程图</w:t>
            </w:r>
          </w:p>
          <w:p w14:paraId="2C7CAB31">
            <w:pPr>
              <w:spacing w:before="28" w:line="355" w:lineRule="auto"/>
              <w:ind w:left="10" w:firstLine="480"/>
              <w:jc w:val="both"/>
              <w:rPr>
                <w:rFonts w:ascii="Times New Roman" w:hAnsi="Times New Roman" w:eastAsia="宋体" w:cs="宋体"/>
                <w:sz w:val="24"/>
                <w:szCs w:val="24"/>
              </w:rPr>
            </w:pPr>
            <w:r>
              <w:rPr>
                <w:rFonts w:ascii="Times New Roman" w:hAnsi="Times New Roman" w:eastAsia="宋体" w:cs="宋体"/>
                <w:sz w:val="24"/>
                <w:szCs w:val="24"/>
              </w:rPr>
              <w:t>人工湿地去除污染物主要通过填料介质、水生植物和微生物群所发生的复杂物理、</w:t>
            </w:r>
            <w:r>
              <w:rPr>
                <w:rFonts w:ascii="Times New Roman" w:hAnsi="Times New Roman" w:eastAsia="宋体" w:cs="宋体"/>
                <w:spacing w:val="1"/>
                <w:sz w:val="24"/>
                <w:szCs w:val="24"/>
              </w:rPr>
              <w:t>化学和生物作用完成。物理作用主要包括对悬浮固体、</w:t>
            </w:r>
            <w:r>
              <w:rPr>
                <w:rFonts w:ascii="Times New Roman" w:hAnsi="Times New Roman" w:eastAsia="宋体" w:cs="Times New Roman"/>
                <w:sz w:val="24"/>
                <w:szCs w:val="24"/>
              </w:rPr>
              <w:t>BOD</w:t>
            </w:r>
            <w:r>
              <w:rPr>
                <w:rFonts w:ascii="Times New Roman" w:hAnsi="Times New Roman" w:eastAsia="宋体" w:cs="Times New Roman"/>
                <w:spacing w:val="1"/>
                <w:position w:val="-1"/>
                <w:sz w:val="15"/>
                <w:szCs w:val="15"/>
              </w:rPr>
              <w:t>5</w:t>
            </w:r>
            <w:r>
              <w:rPr>
                <w:rFonts w:ascii="Times New Roman" w:hAnsi="Times New Roman" w:eastAsia="宋体" w:cs="Times New Roman"/>
                <w:spacing w:val="2"/>
                <w:position w:val="-1"/>
                <w:sz w:val="15"/>
                <w:szCs w:val="15"/>
              </w:rPr>
              <w:t xml:space="preserve"> </w:t>
            </w:r>
            <w:r>
              <w:rPr>
                <w:rFonts w:ascii="Times New Roman" w:hAnsi="Times New Roman" w:eastAsia="宋体" w:cs="宋体"/>
                <w:spacing w:val="1"/>
                <w:sz w:val="24"/>
                <w:szCs w:val="24"/>
              </w:rPr>
              <w:t>、氮、磷、难溶有机物等</w:t>
            </w:r>
            <w:r>
              <w:rPr>
                <w:rFonts w:ascii="Times New Roman" w:hAnsi="Times New Roman" w:eastAsia="宋体" w:cs="宋体"/>
                <w:spacing w:val="-2"/>
                <w:sz w:val="24"/>
                <w:szCs w:val="24"/>
              </w:rPr>
              <w:t>的沉淀作用、填料介质和水生植物对污染物的过滤和吸附等。化学作用则包括人工湿地</w:t>
            </w:r>
            <w:r>
              <w:rPr>
                <w:rFonts w:ascii="Times New Roman" w:hAnsi="Times New Roman" w:eastAsia="宋体" w:cs="宋体"/>
                <w:spacing w:val="-6"/>
                <w:sz w:val="24"/>
                <w:szCs w:val="24"/>
              </w:rPr>
              <w:t>系统中由于植物、填料、微生物及酶而产生的各类化学反应过程，包括化学沉淀、吸附、</w:t>
            </w:r>
            <w:r>
              <w:rPr>
                <w:rFonts w:ascii="Times New Roman" w:hAnsi="Times New Roman" w:eastAsia="宋体" w:cs="宋体"/>
                <w:spacing w:val="-2"/>
                <w:sz w:val="24"/>
                <w:szCs w:val="24"/>
              </w:rPr>
              <w:t>离子交换、氧化还原等。生物作用是人工湿地系统所发挥的最关键的一种作用，主要依靠微生物的代谢（包括同化、异化作用）、细菌的硝化与反硝化、植物的代谢与吸收等</w:t>
            </w:r>
            <w:r>
              <w:rPr>
                <w:rFonts w:ascii="Times New Roman" w:hAnsi="Times New Roman" w:eastAsia="宋体" w:cs="宋体"/>
                <w:spacing w:val="-1"/>
                <w:sz w:val="24"/>
                <w:szCs w:val="24"/>
              </w:rPr>
              <w:t>作用，达到对污染物的去除。</w:t>
            </w:r>
          </w:p>
          <w:p w14:paraId="31170593">
            <w:pPr>
              <w:keepNext w:val="0"/>
              <w:keepLines w:val="0"/>
              <w:pageBreakBefore w:val="0"/>
              <w:widowControl w:val="0"/>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auto"/>
                <w:kern w:val="0"/>
                <w:sz w:val="24"/>
                <w:szCs w:val="24"/>
                <w:lang w:val="en-US" w:eastAsia="zh-CN" w:bidi="ar"/>
              </w:rPr>
            </w:pPr>
            <w:r>
              <w:rPr>
                <w:rFonts w:hint="eastAsia" w:ascii="Times New Roman" w:hAnsi="Times New Roman" w:eastAsia="宋体" w:cs="Times New Roman"/>
                <w:b/>
                <w:bCs/>
                <w:color w:val="auto"/>
                <w:kern w:val="0"/>
                <w:sz w:val="24"/>
                <w:szCs w:val="24"/>
                <w:lang w:val="en-US" w:eastAsia="zh-CN" w:bidi="ar"/>
              </w:rPr>
              <w:t>（2）人工湿地设计</w:t>
            </w:r>
          </w:p>
          <w:p w14:paraId="16244701">
            <w:pPr>
              <w:keepNext w:val="0"/>
              <w:keepLines w:val="0"/>
              <w:pageBreakBefore w:val="0"/>
              <w:widowControl w:val="0"/>
              <w:suppressLineNumbers w:val="0"/>
              <w:kinsoku/>
              <w:wordWrap/>
              <w:overflowPunct/>
              <w:topLinePunct w:val="0"/>
              <w:autoSpaceDE/>
              <w:autoSpaceDN/>
              <w:bidi w:val="0"/>
              <w:adjustRightInd/>
              <w:snapToGrid/>
              <w:spacing w:line="360" w:lineRule="auto"/>
              <w:ind w:firstLine="500" w:firstLineChars="200"/>
              <w:jc w:val="both"/>
              <w:textAlignment w:val="auto"/>
              <w:rPr>
                <w:rFonts w:hint="eastAsia" w:ascii="Times New Roman" w:hAnsi="Times New Roman" w:eastAsia="宋体" w:cs="宋体"/>
                <w:spacing w:val="5"/>
                <w:sz w:val="24"/>
                <w:szCs w:val="24"/>
                <w:lang w:val="en-US" w:eastAsia="zh-CN"/>
              </w:rPr>
            </w:pPr>
            <w:r>
              <w:rPr>
                <w:rFonts w:hint="eastAsia" w:ascii="Times New Roman" w:hAnsi="Times New Roman" w:eastAsia="宋体" w:cs="宋体"/>
                <w:spacing w:val="5"/>
                <w:sz w:val="24"/>
                <w:szCs w:val="24"/>
                <w:lang w:val="en-US" w:eastAsia="zh-CN"/>
              </w:rPr>
              <w:t>1）人工湿地结构形式</w:t>
            </w:r>
          </w:p>
          <w:p w14:paraId="219E00FA">
            <w:pPr>
              <w:keepNext w:val="0"/>
              <w:keepLines w:val="0"/>
              <w:pageBreakBefore w:val="0"/>
              <w:widowControl w:val="0"/>
              <w:suppressLineNumbers w:val="0"/>
              <w:kinsoku/>
              <w:wordWrap/>
              <w:overflowPunct/>
              <w:topLinePunct w:val="0"/>
              <w:autoSpaceDE/>
              <w:autoSpaceDN/>
              <w:bidi w:val="0"/>
              <w:adjustRightInd/>
              <w:snapToGrid/>
              <w:spacing w:line="360" w:lineRule="auto"/>
              <w:ind w:firstLine="500" w:firstLineChars="200"/>
              <w:jc w:val="both"/>
              <w:textAlignment w:val="auto"/>
              <w:rPr>
                <w:rFonts w:ascii="Times New Roman" w:hAnsi="Times New Roman" w:eastAsia="宋体" w:cs="宋体"/>
                <w:spacing w:val="-3"/>
                <w:sz w:val="24"/>
                <w:szCs w:val="24"/>
              </w:rPr>
            </w:pPr>
            <w:r>
              <w:rPr>
                <w:rFonts w:ascii="Times New Roman" w:hAnsi="Times New Roman" w:eastAsia="宋体" w:cs="宋体"/>
                <w:spacing w:val="5"/>
                <w:sz w:val="24"/>
                <w:szCs w:val="24"/>
              </w:rPr>
              <w:t>本次建设的人工湿地分别位于陇县污水处理厂和陇县千河南岸新城污水处理厂出</w:t>
            </w:r>
            <w:r>
              <w:rPr>
                <w:rFonts w:ascii="Times New Roman" w:hAnsi="Times New Roman" w:eastAsia="宋体" w:cs="宋体"/>
                <w:spacing w:val="-2"/>
                <w:sz w:val="24"/>
                <w:szCs w:val="24"/>
              </w:rPr>
              <w:t>水口附近，且紧邻河道已成堤防，用地紧张。基于因地制宜原则，两处污水处理厂出水净水工艺均选择净水能力较强，占地面积、气候影响、构造与管理程度一般的水平潜流</w:t>
            </w:r>
            <w:r>
              <w:rPr>
                <w:rFonts w:ascii="Times New Roman" w:hAnsi="Times New Roman" w:eastAsia="宋体" w:cs="宋体"/>
                <w:spacing w:val="-3"/>
                <w:sz w:val="24"/>
                <w:szCs w:val="24"/>
              </w:rPr>
              <w:t>人工湿地。</w:t>
            </w:r>
          </w:p>
          <w:p w14:paraId="6305D042">
            <w:pPr>
              <w:keepNext w:val="0"/>
              <w:keepLines w:val="0"/>
              <w:pageBreakBefore w:val="0"/>
              <w:widowControl w:val="0"/>
              <w:suppressLineNumbers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spacing w:val="-3"/>
                <w:sz w:val="24"/>
                <w:szCs w:val="24"/>
                <w:lang w:val="en-US" w:eastAsia="zh-CN"/>
              </w:rPr>
            </w:pPr>
            <w:r>
              <w:rPr>
                <w:rFonts w:ascii="Times New Roman" w:hAnsi="Times New Roman" w:eastAsia="宋体"/>
                <w:position w:val="-64"/>
              </w:rPr>
              <w:drawing>
                <wp:inline distT="0" distB="0" distL="0" distR="0">
                  <wp:extent cx="5027295" cy="1964055"/>
                  <wp:effectExtent l="0" t="0" r="1905" b="17145"/>
                  <wp:docPr id="16" name="IM 44"/>
                  <wp:cNvGraphicFramePr/>
                  <a:graphic xmlns:a="http://schemas.openxmlformats.org/drawingml/2006/main">
                    <a:graphicData uri="http://schemas.openxmlformats.org/drawingml/2006/picture">
                      <pic:pic xmlns:pic="http://schemas.openxmlformats.org/drawingml/2006/picture">
                        <pic:nvPicPr>
                          <pic:cNvPr id="16" name="IM 44"/>
                          <pic:cNvPicPr/>
                        </pic:nvPicPr>
                        <pic:blipFill>
                          <a:blip r:embed="rId11"/>
                          <a:stretch>
                            <a:fillRect/>
                          </a:stretch>
                        </pic:blipFill>
                        <pic:spPr>
                          <a:xfrm>
                            <a:off x="0" y="0"/>
                            <a:ext cx="5027295" cy="1964055"/>
                          </a:xfrm>
                          <a:prstGeom prst="rect">
                            <a:avLst/>
                          </a:prstGeom>
                        </pic:spPr>
                      </pic:pic>
                    </a:graphicData>
                  </a:graphic>
                </wp:inline>
              </w:drawing>
            </w:r>
          </w:p>
          <w:p w14:paraId="16E0BAE7">
            <w:pPr>
              <w:pStyle w:val="28"/>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图</w:t>
            </w:r>
            <w:r>
              <w:rPr>
                <w:rFonts w:hint="eastAsia" w:ascii="Times New Roman" w:hAnsi="Times New Roman" w:eastAsia="宋体" w:cs="Times New Roman"/>
                <w:color w:val="auto"/>
                <w:sz w:val="21"/>
                <w:szCs w:val="21"/>
                <w:lang w:val="en-US" w:eastAsia="zh-CN"/>
              </w:rPr>
              <w:t xml:space="preserve">2-2  </w:t>
            </w:r>
            <w:r>
              <w:rPr>
                <w:rFonts w:hint="eastAsia" w:ascii="Times New Roman" w:hAnsi="Times New Roman" w:eastAsia="宋体" w:cs="Times New Roman"/>
                <w:color w:val="auto"/>
                <w:sz w:val="21"/>
                <w:szCs w:val="21"/>
                <w:lang w:eastAsia="zh-CN"/>
              </w:rPr>
              <w:t>水平潜流人工湿地结构</w:t>
            </w:r>
            <w:r>
              <w:rPr>
                <w:rFonts w:hint="default" w:ascii="Times New Roman" w:hAnsi="Times New Roman" w:eastAsia="宋体" w:cs="Times New Roman"/>
                <w:color w:val="auto"/>
                <w:sz w:val="21"/>
                <w:szCs w:val="21"/>
              </w:rPr>
              <w:t>图</w:t>
            </w:r>
          </w:p>
          <w:p w14:paraId="57D5C6F7">
            <w:pPr>
              <w:keepNext w:val="0"/>
              <w:keepLines w:val="0"/>
              <w:pageBreakBefore w:val="0"/>
              <w:widowControl w:val="0"/>
              <w:suppressLineNumbers w:val="0"/>
              <w:kinsoku/>
              <w:wordWrap/>
              <w:overflowPunct/>
              <w:topLinePunct w:val="0"/>
              <w:autoSpaceDE/>
              <w:autoSpaceDN/>
              <w:bidi w:val="0"/>
              <w:adjustRightInd/>
              <w:snapToGrid/>
              <w:spacing w:line="360" w:lineRule="auto"/>
              <w:ind w:firstLine="500" w:firstLineChars="200"/>
              <w:jc w:val="both"/>
              <w:textAlignment w:val="auto"/>
              <w:rPr>
                <w:rFonts w:hint="default" w:ascii="Times New Roman" w:hAnsi="Times New Roman" w:eastAsia="宋体" w:cs="宋体"/>
                <w:spacing w:val="5"/>
                <w:sz w:val="24"/>
                <w:szCs w:val="24"/>
                <w:lang w:val="en-US" w:eastAsia="zh-CN"/>
              </w:rPr>
            </w:pPr>
            <w:r>
              <w:rPr>
                <w:rFonts w:hint="eastAsia" w:ascii="Times New Roman" w:hAnsi="Times New Roman" w:eastAsia="宋体" w:cs="宋体"/>
                <w:spacing w:val="5"/>
                <w:sz w:val="24"/>
                <w:szCs w:val="24"/>
                <w:lang w:val="en-US" w:eastAsia="zh-CN"/>
              </w:rPr>
              <w:t>2）几何尺寸设计</w:t>
            </w:r>
          </w:p>
          <w:p w14:paraId="73EA9115">
            <w:pPr>
              <w:keepNext w:val="0"/>
              <w:keepLines w:val="0"/>
              <w:pageBreakBefore w:val="0"/>
              <w:widowControl w:val="0"/>
              <w:suppressLineNumbers w:val="0"/>
              <w:kinsoku/>
              <w:wordWrap/>
              <w:overflowPunct/>
              <w:topLinePunct w:val="0"/>
              <w:autoSpaceDE/>
              <w:autoSpaceDN/>
              <w:bidi w:val="0"/>
              <w:adjustRightInd/>
              <w:snapToGrid/>
              <w:spacing w:line="360" w:lineRule="auto"/>
              <w:ind w:firstLine="500" w:firstLineChars="200"/>
              <w:jc w:val="both"/>
              <w:textAlignment w:val="auto"/>
              <w:rPr>
                <w:rFonts w:hint="eastAsia" w:ascii="Times New Roman" w:hAnsi="Times New Roman" w:eastAsia="宋体" w:cs="宋体"/>
                <w:spacing w:val="5"/>
                <w:sz w:val="24"/>
                <w:szCs w:val="24"/>
                <w:lang w:val="en-US" w:eastAsia="zh-CN"/>
              </w:rPr>
            </w:pPr>
            <w:r>
              <w:rPr>
                <w:rFonts w:ascii="Times New Roman" w:hAnsi="Times New Roman" w:eastAsia="宋体" w:cs="宋体"/>
                <w:spacing w:val="5"/>
                <w:sz w:val="24"/>
                <w:szCs w:val="24"/>
              </w:rPr>
              <w:t>根据</w:t>
            </w:r>
            <w:r>
              <w:rPr>
                <w:rFonts w:hint="eastAsia" w:ascii="Times New Roman" w:hAnsi="Times New Roman" w:eastAsia="宋体" w:cs="宋体"/>
                <w:spacing w:val="5"/>
                <w:sz w:val="24"/>
                <w:szCs w:val="24"/>
                <w:lang w:eastAsia="zh-CN"/>
              </w:rPr>
              <w:t>设计文件</w:t>
            </w:r>
            <w:r>
              <w:rPr>
                <w:rFonts w:ascii="Times New Roman" w:hAnsi="Times New Roman" w:eastAsia="宋体" w:cs="宋体"/>
                <w:spacing w:val="5"/>
                <w:sz w:val="24"/>
                <w:szCs w:val="24"/>
              </w:rPr>
              <w:t>，陇县污水处理厂人工</w:t>
            </w:r>
            <w:r>
              <w:rPr>
                <w:rFonts w:hint="eastAsia" w:ascii="Times New Roman" w:hAnsi="Times New Roman" w:eastAsia="宋体" w:cs="宋体"/>
                <w:spacing w:val="5"/>
                <w:sz w:val="24"/>
                <w:szCs w:val="24"/>
                <w:lang w:eastAsia="zh-CN"/>
              </w:rPr>
              <w:t>湿地</w:t>
            </w:r>
            <w:r>
              <w:rPr>
                <w:rFonts w:ascii="Times New Roman" w:hAnsi="Times New Roman" w:eastAsia="宋体" w:cs="宋体"/>
                <w:spacing w:val="5"/>
                <w:sz w:val="24"/>
                <w:szCs w:val="24"/>
              </w:rPr>
              <w:t>分为8个湿地单元，陇县干河南岸新城污水处理厂人工湿地分为6 个湿地单元。本次新建人工湿地各单元几何尺寸见表</w:t>
            </w:r>
            <w:r>
              <w:rPr>
                <w:rFonts w:hint="eastAsia" w:ascii="Times New Roman" w:hAnsi="Times New Roman" w:eastAsia="宋体" w:cs="宋体"/>
                <w:spacing w:val="5"/>
                <w:sz w:val="24"/>
                <w:szCs w:val="24"/>
                <w:lang w:val="en-US" w:eastAsia="zh-CN"/>
              </w:rPr>
              <w:t>2-3。</w:t>
            </w:r>
          </w:p>
          <w:p w14:paraId="68EBCAC8">
            <w:pPr>
              <w:pStyle w:val="28"/>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w:t>
            </w:r>
            <w:r>
              <w:rPr>
                <w:rFonts w:hint="eastAsia" w:ascii="Times New Roman" w:hAnsi="Times New Roman" w:eastAsia="宋体" w:cs="Times New Roman"/>
                <w:color w:val="auto"/>
                <w:sz w:val="21"/>
                <w:szCs w:val="21"/>
                <w:lang w:val="en-US" w:eastAsia="zh-CN"/>
              </w:rPr>
              <w:t>2-3</w:t>
            </w:r>
            <w:r>
              <w:rPr>
                <w:rFonts w:hint="default" w:ascii="Times New Roman" w:hAnsi="Times New Roman" w:eastAsia="宋体" w:cs="Times New Roman"/>
                <w:color w:val="auto"/>
                <w:sz w:val="21"/>
                <w:szCs w:val="21"/>
              </w:rPr>
              <w:t xml:space="preserve">  陇县污水处理厂人工湿地各单元参数</w:t>
            </w:r>
          </w:p>
          <w:tbl>
            <w:tblPr>
              <w:tblStyle w:val="36"/>
              <w:tblW w:w="808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8"/>
              <w:gridCol w:w="1350"/>
              <w:gridCol w:w="1450"/>
              <w:gridCol w:w="1650"/>
              <w:gridCol w:w="1700"/>
              <w:gridCol w:w="996"/>
            </w:tblGrid>
            <w:tr w14:paraId="1F0121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jc w:val="center"/>
              </w:trPr>
              <w:tc>
                <w:tcPr>
                  <w:tcW w:w="938" w:type="dxa"/>
                  <w:vAlign w:val="center"/>
                </w:tcPr>
                <w:p w14:paraId="1280B6FD">
                  <w:pPr>
                    <w:bidi w:val="0"/>
                    <w:spacing w:line="240" w:lineRule="auto"/>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单元序号</w:t>
                  </w:r>
                </w:p>
              </w:tc>
              <w:tc>
                <w:tcPr>
                  <w:tcW w:w="1350" w:type="dxa"/>
                  <w:vAlign w:val="center"/>
                </w:tcPr>
                <w:p w14:paraId="0D3B4337">
                  <w:pPr>
                    <w:bidi w:val="0"/>
                    <w:spacing w:line="240" w:lineRule="auto"/>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长/宽（m）</w:t>
                  </w:r>
                </w:p>
              </w:tc>
              <w:tc>
                <w:tcPr>
                  <w:tcW w:w="1450" w:type="dxa"/>
                  <w:vAlign w:val="center"/>
                </w:tcPr>
                <w:p w14:paraId="26E057F6">
                  <w:pPr>
                    <w:bidi w:val="0"/>
                    <w:spacing w:line="240" w:lineRule="auto"/>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植物面积（m</w:t>
                  </w:r>
                  <w:r>
                    <w:rPr>
                      <w:rFonts w:hint="default" w:ascii="Times New Roman" w:hAnsi="Times New Roman" w:eastAsia="宋体"/>
                      <w:color w:val="auto"/>
                      <w:sz w:val="21"/>
                      <w:szCs w:val="21"/>
                      <w:vertAlign w:val="superscript"/>
                      <w:lang w:val="en-US" w:eastAsia="zh-CN"/>
                    </w:rPr>
                    <w:t>2</w:t>
                  </w:r>
                  <w:r>
                    <w:rPr>
                      <w:rFonts w:hint="default" w:ascii="Times New Roman" w:hAnsi="Times New Roman" w:eastAsia="宋体"/>
                      <w:color w:val="auto"/>
                      <w:sz w:val="21"/>
                      <w:szCs w:val="21"/>
                      <w:vertAlign w:val="baseline"/>
                      <w:lang w:val="en-US" w:eastAsia="zh-CN"/>
                    </w:rPr>
                    <w:t>）</w:t>
                  </w:r>
                </w:p>
              </w:tc>
              <w:tc>
                <w:tcPr>
                  <w:tcW w:w="1650" w:type="dxa"/>
                  <w:vAlign w:val="center"/>
                </w:tcPr>
                <w:p w14:paraId="72A916CD">
                  <w:pPr>
                    <w:bidi w:val="0"/>
                    <w:spacing w:line="240" w:lineRule="auto"/>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池高/超高（m）</w:t>
                  </w:r>
                </w:p>
              </w:tc>
              <w:tc>
                <w:tcPr>
                  <w:tcW w:w="1700" w:type="dxa"/>
                  <w:vAlign w:val="center"/>
                </w:tcPr>
                <w:p w14:paraId="54AF8FF0">
                  <w:pPr>
                    <w:bidi w:val="0"/>
                    <w:spacing w:line="240" w:lineRule="auto"/>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水力坡度（%）</w:t>
                  </w:r>
                </w:p>
              </w:tc>
              <w:tc>
                <w:tcPr>
                  <w:tcW w:w="996" w:type="dxa"/>
                  <w:vAlign w:val="center"/>
                </w:tcPr>
                <w:p w14:paraId="56B5CD71">
                  <w:pPr>
                    <w:bidi w:val="0"/>
                    <w:spacing w:line="240" w:lineRule="auto"/>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备注</w:t>
                  </w:r>
                </w:p>
              </w:tc>
            </w:tr>
            <w:tr w14:paraId="659359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jc w:val="center"/>
              </w:trPr>
              <w:tc>
                <w:tcPr>
                  <w:tcW w:w="938" w:type="dxa"/>
                  <w:vAlign w:val="center"/>
                </w:tcPr>
                <w:p w14:paraId="3125B80F">
                  <w:pPr>
                    <w:bidi w:val="0"/>
                    <w:spacing w:line="240" w:lineRule="auto"/>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1</w:t>
                  </w:r>
                </w:p>
              </w:tc>
              <w:tc>
                <w:tcPr>
                  <w:tcW w:w="1350" w:type="dxa"/>
                  <w:vAlign w:val="center"/>
                </w:tcPr>
                <w:p w14:paraId="4D1F5782">
                  <w:pPr>
                    <w:bidi w:val="0"/>
                    <w:spacing w:line="240" w:lineRule="auto"/>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17/10</w:t>
                  </w:r>
                </w:p>
              </w:tc>
              <w:tc>
                <w:tcPr>
                  <w:tcW w:w="1450" w:type="dxa"/>
                  <w:vAlign w:val="center"/>
                </w:tcPr>
                <w:p w14:paraId="055F0A1F">
                  <w:pPr>
                    <w:bidi w:val="0"/>
                    <w:spacing w:line="240" w:lineRule="auto"/>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170.00</w:t>
                  </w:r>
                </w:p>
              </w:tc>
              <w:tc>
                <w:tcPr>
                  <w:tcW w:w="1650" w:type="dxa"/>
                  <w:vAlign w:val="center"/>
                </w:tcPr>
                <w:p w14:paraId="499867AE">
                  <w:pPr>
                    <w:bidi w:val="0"/>
                    <w:spacing w:line="240" w:lineRule="auto"/>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2.35/0.3</w:t>
                  </w:r>
                </w:p>
              </w:tc>
              <w:tc>
                <w:tcPr>
                  <w:tcW w:w="1700" w:type="dxa"/>
                  <w:vAlign w:val="center"/>
                </w:tcPr>
                <w:p w14:paraId="1A3D95F6">
                  <w:pPr>
                    <w:bidi w:val="0"/>
                    <w:spacing w:line="240" w:lineRule="auto"/>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0~0.5（可调节）</w:t>
                  </w:r>
                </w:p>
              </w:tc>
              <w:tc>
                <w:tcPr>
                  <w:tcW w:w="996" w:type="dxa"/>
                  <w:vAlign w:val="center"/>
                </w:tcPr>
                <w:p w14:paraId="7C8A3749">
                  <w:pPr>
                    <w:bidi w:val="0"/>
                    <w:spacing w:line="240" w:lineRule="auto"/>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矩形</w:t>
                  </w:r>
                </w:p>
              </w:tc>
            </w:tr>
            <w:tr w14:paraId="5D6C0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jc w:val="center"/>
              </w:trPr>
              <w:tc>
                <w:tcPr>
                  <w:tcW w:w="938" w:type="dxa"/>
                  <w:vAlign w:val="center"/>
                </w:tcPr>
                <w:p w14:paraId="45B313E4">
                  <w:pPr>
                    <w:bidi w:val="0"/>
                    <w:spacing w:line="240" w:lineRule="auto"/>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2</w:t>
                  </w:r>
                </w:p>
              </w:tc>
              <w:tc>
                <w:tcPr>
                  <w:tcW w:w="1350" w:type="dxa"/>
                  <w:vAlign w:val="center"/>
                </w:tcPr>
                <w:p w14:paraId="493076F3">
                  <w:pPr>
                    <w:bidi w:val="0"/>
                    <w:spacing w:line="240" w:lineRule="auto"/>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49.5/25</w:t>
                  </w:r>
                </w:p>
              </w:tc>
              <w:tc>
                <w:tcPr>
                  <w:tcW w:w="1450" w:type="dxa"/>
                  <w:vAlign w:val="center"/>
                </w:tcPr>
                <w:p w14:paraId="5683A0B2">
                  <w:pPr>
                    <w:bidi w:val="0"/>
                    <w:spacing w:line="240" w:lineRule="auto"/>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862.50</w:t>
                  </w:r>
                </w:p>
              </w:tc>
              <w:tc>
                <w:tcPr>
                  <w:tcW w:w="1650" w:type="dxa"/>
                  <w:vAlign w:val="center"/>
                </w:tcPr>
                <w:p w14:paraId="5270B347">
                  <w:pPr>
                    <w:bidi w:val="0"/>
                    <w:spacing w:line="240" w:lineRule="auto"/>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2.35/0.3</w:t>
                  </w:r>
                </w:p>
              </w:tc>
              <w:tc>
                <w:tcPr>
                  <w:tcW w:w="1700" w:type="dxa"/>
                  <w:vAlign w:val="center"/>
                </w:tcPr>
                <w:p w14:paraId="55C87774">
                  <w:pPr>
                    <w:bidi w:val="0"/>
                    <w:spacing w:line="240" w:lineRule="auto"/>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0~0.5（可调节）</w:t>
                  </w:r>
                </w:p>
              </w:tc>
              <w:tc>
                <w:tcPr>
                  <w:tcW w:w="996" w:type="dxa"/>
                  <w:vAlign w:val="center"/>
                </w:tcPr>
                <w:p w14:paraId="097CD42F">
                  <w:pPr>
                    <w:bidi w:val="0"/>
                    <w:spacing w:line="240" w:lineRule="auto"/>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梯形</w:t>
                  </w:r>
                </w:p>
              </w:tc>
            </w:tr>
            <w:tr w14:paraId="40B7FD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jc w:val="center"/>
              </w:trPr>
              <w:tc>
                <w:tcPr>
                  <w:tcW w:w="938" w:type="dxa"/>
                  <w:vAlign w:val="center"/>
                </w:tcPr>
                <w:p w14:paraId="598212A3">
                  <w:pPr>
                    <w:bidi w:val="0"/>
                    <w:spacing w:line="240" w:lineRule="auto"/>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3</w:t>
                  </w:r>
                </w:p>
              </w:tc>
              <w:tc>
                <w:tcPr>
                  <w:tcW w:w="1350" w:type="dxa"/>
                  <w:vAlign w:val="center"/>
                </w:tcPr>
                <w:p w14:paraId="00BB96A0">
                  <w:pPr>
                    <w:bidi w:val="0"/>
                    <w:spacing w:line="240" w:lineRule="auto"/>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49.5/25</w:t>
                  </w:r>
                </w:p>
              </w:tc>
              <w:tc>
                <w:tcPr>
                  <w:tcW w:w="1450" w:type="dxa"/>
                  <w:vAlign w:val="center"/>
                </w:tcPr>
                <w:p w14:paraId="5F1B4CBC">
                  <w:pPr>
                    <w:bidi w:val="0"/>
                    <w:spacing w:line="240" w:lineRule="auto"/>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1237.50</w:t>
                  </w:r>
                </w:p>
              </w:tc>
              <w:tc>
                <w:tcPr>
                  <w:tcW w:w="1650" w:type="dxa"/>
                  <w:vAlign w:val="center"/>
                </w:tcPr>
                <w:p w14:paraId="6B580708">
                  <w:pPr>
                    <w:bidi w:val="0"/>
                    <w:spacing w:line="240" w:lineRule="auto"/>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2.35/0.3</w:t>
                  </w:r>
                </w:p>
              </w:tc>
              <w:tc>
                <w:tcPr>
                  <w:tcW w:w="1700" w:type="dxa"/>
                  <w:vAlign w:val="center"/>
                </w:tcPr>
                <w:p w14:paraId="1BDA4EC6">
                  <w:pPr>
                    <w:bidi w:val="0"/>
                    <w:spacing w:line="240" w:lineRule="auto"/>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0~0.5（可调节）</w:t>
                  </w:r>
                </w:p>
              </w:tc>
              <w:tc>
                <w:tcPr>
                  <w:tcW w:w="996" w:type="dxa"/>
                  <w:vAlign w:val="center"/>
                </w:tcPr>
                <w:p w14:paraId="7798391F">
                  <w:pPr>
                    <w:bidi w:val="0"/>
                    <w:spacing w:line="240" w:lineRule="auto"/>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矩形</w:t>
                  </w:r>
                </w:p>
              </w:tc>
            </w:tr>
            <w:tr w14:paraId="77A940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jc w:val="center"/>
              </w:trPr>
              <w:tc>
                <w:tcPr>
                  <w:tcW w:w="938" w:type="dxa"/>
                  <w:vAlign w:val="center"/>
                </w:tcPr>
                <w:p w14:paraId="60481E0B">
                  <w:pPr>
                    <w:bidi w:val="0"/>
                    <w:spacing w:line="240" w:lineRule="auto"/>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4</w:t>
                  </w:r>
                </w:p>
              </w:tc>
              <w:tc>
                <w:tcPr>
                  <w:tcW w:w="1350" w:type="dxa"/>
                  <w:vAlign w:val="center"/>
                </w:tcPr>
                <w:p w14:paraId="5D6C1F7A">
                  <w:pPr>
                    <w:bidi w:val="0"/>
                    <w:spacing w:line="240" w:lineRule="auto"/>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49.5/25</w:t>
                  </w:r>
                </w:p>
              </w:tc>
              <w:tc>
                <w:tcPr>
                  <w:tcW w:w="1450" w:type="dxa"/>
                  <w:vAlign w:val="center"/>
                </w:tcPr>
                <w:p w14:paraId="19A92A89">
                  <w:pPr>
                    <w:bidi w:val="0"/>
                    <w:spacing w:line="240" w:lineRule="auto"/>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1237.50</w:t>
                  </w:r>
                </w:p>
              </w:tc>
              <w:tc>
                <w:tcPr>
                  <w:tcW w:w="1650" w:type="dxa"/>
                  <w:vAlign w:val="center"/>
                </w:tcPr>
                <w:p w14:paraId="45F37375">
                  <w:pPr>
                    <w:bidi w:val="0"/>
                    <w:spacing w:line="240" w:lineRule="auto"/>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2.35/0.3</w:t>
                  </w:r>
                </w:p>
              </w:tc>
              <w:tc>
                <w:tcPr>
                  <w:tcW w:w="1700" w:type="dxa"/>
                  <w:vAlign w:val="center"/>
                </w:tcPr>
                <w:p w14:paraId="1D818070">
                  <w:pPr>
                    <w:bidi w:val="0"/>
                    <w:spacing w:line="240" w:lineRule="auto"/>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0~0.5（可调节）</w:t>
                  </w:r>
                </w:p>
              </w:tc>
              <w:tc>
                <w:tcPr>
                  <w:tcW w:w="996" w:type="dxa"/>
                  <w:vAlign w:val="center"/>
                </w:tcPr>
                <w:p w14:paraId="76EA109D">
                  <w:pPr>
                    <w:bidi w:val="0"/>
                    <w:spacing w:line="240" w:lineRule="auto"/>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矩形</w:t>
                  </w:r>
                </w:p>
              </w:tc>
            </w:tr>
            <w:tr w14:paraId="032275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jc w:val="center"/>
              </w:trPr>
              <w:tc>
                <w:tcPr>
                  <w:tcW w:w="938" w:type="dxa"/>
                  <w:vAlign w:val="center"/>
                </w:tcPr>
                <w:p w14:paraId="1910EED7">
                  <w:pPr>
                    <w:bidi w:val="0"/>
                    <w:spacing w:line="240" w:lineRule="auto"/>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5</w:t>
                  </w:r>
                </w:p>
              </w:tc>
              <w:tc>
                <w:tcPr>
                  <w:tcW w:w="1350" w:type="dxa"/>
                  <w:vAlign w:val="center"/>
                </w:tcPr>
                <w:p w14:paraId="1BC2F864">
                  <w:pPr>
                    <w:bidi w:val="0"/>
                    <w:spacing w:line="240" w:lineRule="auto"/>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49.5/25</w:t>
                  </w:r>
                </w:p>
              </w:tc>
              <w:tc>
                <w:tcPr>
                  <w:tcW w:w="1450" w:type="dxa"/>
                  <w:vAlign w:val="center"/>
                </w:tcPr>
                <w:p w14:paraId="7CF2737D">
                  <w:pPr>
                    <w:bidi w:val="0"/>
                    <w:spacing w:line="240" w:lineRule="auto"/>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1237.50</w:t>
                  </w:r>
                </w:p>
              </w:tc>
              <w:tc>
                <w:tcPr>
                  <w:tcW w:w="1650" w:type="dxa"/>
                  <w:vAlign w:val="center"/>
                </w:tcPr>
                <w:p w14:paraId="048C4E28">
                  <w:pPr>
                    <w:bidi w:val="0"/>
                    <w:spacing w:line="240" w:lineRule="auto"/>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2.35/0.3</w:t>
                  </w:r>
                </w:p>
              </w:tc>
              <w:tc>
                <w:tcPr>
                  <w:tcW w:w="1700" w:type="dxa"/>
                  <w:vAlign w:val="center"/>
                </w:tcPr>
                <w:p w14:paraId="7A2AA725">
                  <w:pPr>
                    <w:bidi w:val="0"/>
                    <w:spacing w:line="240" w:lineRule="auto"/>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0~0.5（可调节）</w:t>
                  </w:r>
                </w:p>
              </w:tc>
              <w:tc>
                <w:tcPr>
                  <w:tcW w:w="996" w:type="dxa"/>
                  <w:vAlign w:val="center"/>
                </w:tcPr>
                <w:p w14:paraId="0A98C89A">
                  <w:pPr>
                    <w:bidi w:val="0"/>
                    <w:spacing w:line="240" w:lineRule="auto"/>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矩形</w:t>
                  </w:r>
                </w:p>
              </w:tc>
            </w:tr>
            <w:tr w14:paraId="78043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jc w:val="center"/>
              </w:trPr>
              <w:tc>
                <w:tcPr>
                  <w:tcW w:w="938" w:type="dxa"/>
                  <w:vAlign w:val="center"/>
                </w:tcPr>
                <w:p w14:paraId="356DCD09">
                  <w:pPr>
                    <w:bidi w:val="0"/>
                    <w:spacing w:line="240" w:lineRule="auto"/>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6</w:t>
                  </w:r>
                </w:p>
              </w:tc>
              <w:tc>
                <w:tcPr>
                  <w:tcW w:w="1350" w:type="dxa"/>
                  <w:vAlign w:val="center"/>
                </w:tcPr>
                <w:p w14:paraId="3B896C27">
                  <w:pPr>
                    <w:bidi w:val="0"/>
                    <w:spacing w:line="240" w:lineRule="auto"/>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48/30</w:t>
                  </w:r>
                </w:p>
              </w:tc>
              <w:tc>
                <w:tcPr>
                  <w:tcW w:w="1450" w:type="dxa"/>
                  <w:vAlign w:val="center"/>
                </w:tcPr>
                <w:p w14:paraId="33274123">
                  <w:pPr>
                    <w:bidi w:val="0"/>
                    <w:spacing w:line="240" w:lineRule="auto"/>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1245.00</w:t>
                  </w:r>
                </w:p>
              </w:tc>
              <w:tc>
                <w:tcPr>
                  <w:tcW w:w="1650" w:type="dxa"/>
                  <w:vAlign w:val="center"/>
                </w:tcPr>
                <w:p w14:paraId="2E94F471">
                  <w:pPr>
                    <w:bidi w:val="0"/>
                    <w:spacing w:line="240" w:lineRule="auto"/>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2.35/0.3</w:t>
                  </w:r>
                </w:p>
              </w:tc>
              <w:tc>
                <w:tcPr>
                  <w:tcW w:w="1700" w:type="dxa"/>
                  <w:vAlign w:val="center"/>
                </w:tcPr>
                <w:p w14:paraId="67BF18C4">
                  <w:pPr>
                    <w:bidi w:val="0"/>
                    <w:spacing w:line="240" w:lineRule="auto"/>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0~0.5（可调节）</w:t>
                  </w:r>
                </w:p>
              </w:tc>
              <w:tc>
                <w:tcPr>
                  <w:tcW w:w="996" w:type="dxa"/>
                  <w:vAlign w:val="center"/>
                </w:tcPr>
                <w:p w14:paraId="48CB428E">
                  <w:pPr>
                    <w:bidi w:val="0"/>
                    <w:spacing w:line="240" w:lineRule="auto"/>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梯形</w:t>
                  </w:r>
                </w:p>
              </w:tc>
            </w:tr>
            <w:tr w14:paraId="52CDA6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jc w:val="center"/>
              </w:trPr>
              <w:tc>
                <w:tcPr>
                  <w:tcW w:w="938" w:type="dxa"/>
                  <w:vAlign w:val="center"/>
                </w:tcPr>
                <w:p w14:paraId="5A773567">
                  <w:pPr>
                    <w:bidi w:val="0"/>
                    <w:spacing w:line="240" w:lineRule="auto"/>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7</w:t>
                  </w:r>
                </w:p>
              </w:tc>
              <w:tc>
                <w:tcPr>
                  <w:tcW w:w="1350" w:type="dxa"/>
                  <w:vAlign w:val="center"/>
                </w:tcPr>
                <w:p w14:paraId="0634FC85">
                  <w:pPr>
                    <w:bidi w:val="0"/>
                    <w:spacing w:line="240" w:lineRule="auto"/>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35/25</w:t>
                  </w:r>
                </w:p>
              </w:tc>
              <w:tc>
                <w:tcPr>
                  <w:tcW w:w="1450" w:type="dxa"/>
                  <w:vAlign w:val="center"/>
                </w:tcPr>
                <w:p w14:paraId="35677426">
                  <w:pPr>
                    <w:bidi w:val="0"/>
                    <w:spacing w:line="240" w:lineRule="auto"/>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875.00</w:t>
                  </w:r>
                </w:p>
              </w:tc>
              <w:tc>
                <w:tcPr>
                  <w:tcW w:w="1650" w:type="dxa"/>
                  <w:vAlign w:val="center"/>
                </w:tcPr>
                <w:p w14:paraId="1881403F">
                  <w:pPr>
                    <w:bidi w:val="0"/>
                    <w:spacing w:line="240" w:lineRule="auto"/>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2.35/0.3</w:t>
                  </w:r>
                </w:p>
              </w:tc>
              <w:tc>
                <w:tcPr>
                  <w:tcW w:w="1700" w:type="dxa"/>
                  <w:vAlign w:val="center"/>
                </w:tcPr>
                <w:p w14:paraId="2117C500">
                  <w:pPr>
                    <w:bidi w:val="0"/>
                    <w:spacing w:line="240" w:lineRule="auto"/>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0~0.5（可调节）</w:t>
                  </w:r>
                </w:p>
              </w:tc>
              <w:tc>
                <w:tcPr>
                  <w:tcW w:w="996" w:type="dxa"/>
                  <w:vAlign w:val="center"/>
                </w:tcPr>
                <w:p w14:paraId="1EC75C59">
                  <w:pPr>
                    <w:bidi w:val="0"/>
                    <w:spacing w:line="240" w:lineRule="auto"/>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矩形</w:t>
                  </w:r>
                </w:p>
              </w:tc>
            </w:tr>
            <w:tr w14:paraId="124925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jc w:val="center"/>
              </w:trPr>
              <w:tc>
                <w:tcPr>
                  <w:tcW w:w="938" w:type="dxa"/>
                  <w:vAlign w:val="center"/>
                </w:tcPr>
                <w:p w14:paraId="49BA7A7E">
                  <w:pPr>
                    <w:bidi w:val="0"/>
                    <w:spacing w:line="240" w:lineRule="auto"/>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8</w:t>
                  </w:r>
                </w:p>
              </w:tc>
              <w:tc>
                <w:tcPr>
                  <w:tcW w:w="1350" w:type="dxa"/>
                  <w:vAlign w:val="center"/>
                </w:tcPr>
                <w:p w14:paraId="0B2ED724">
                  <w:pPr>
                    <w:bidi w:val="0"/>
                    <w:spacing w:line="240" w:lineRule="auto"/>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35/18</w:t>
                  </w:r>
                </w:p>
              </w:tc>
              <w:tc>
                <w:tcPr>
                  <w:tcW w:w="1450" w:type="dxa"/>
                  <w:vAlign w:val="center"/>
                </w:tcPr>
                <w:p w14:paraId="20E1CB3C">
                  <w:pPr>
                    <w:bidi w:val="0"/>
                    <w:spacing w:line="240" w:lineRule="auto"/>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472.77</w:t>
                  </w:r>
                </w:p>
              </w:tc>
              <w:tc>
                <w:tcPr>
                  <w:tcW w:w="1650" w:type="dxa"/>
                  <w:vAlign w:val="center"/>
                </w:tcPr>
                <w:p w14:paraId="42A851C6">
                  <w:pPr>
                    <w:bidi w:val="0"/>
                    <w:spacing w:line="240" w:lineRule="auto"/>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2.35/0.3</w:t>
                  </w:r>
                </w:p>
              </w:tc>
              <w:tc>
                <w:tcPr>
                  <w:tcW w:w="1700" w:type="dxa"/>
                  <w:vAlign w:val="center"/>
                </w:tcPr>
                <w:p w14:paraId="6EB0E355">
                  <w:pPr>
                    <w:bidi w:val="0"/>
                    <w:spacing w:line="240" w:lineRule="auto"/>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0~0.5（可调节）</w:t>
                  </w:r>
                </w:p>
              </w:tc>
              <w:tc>
                <w:tcPr>
                  <w:tcW w:w="996" w:type="dxa"/>
                  <w:vAlign w:val="center"/>
                </w:tcPr>
                <w:p w14:paraId="4AEC005D">
                  <w:pPr>
                    <w:bidi w:val="0"/>
                    <w:spacing w:line="240" w:lineRule="auto"/>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异形</w:t>
                  </w:r>
                </w:p>
              </w:tc>
            </w:tr>
          </w:tbl>
          <w:p w14:paraId="5F8FB2CC">
            <w:pPr>
              <w:spacing w:line="107" w:lineRule="exact"/>
              <w:rPr>
                <w:rFonts w:ascii="Times New Roman" w:hAnsi="Times New Roman" w:eastAsia="宋体"/>
              </w:rPr>
            </w:pPr>
          </w:p>
          <w:tbl>
            <w:tblPr>
              <w:tblStyle w:val="36"/>
              <w:tblpPr w:leftFromText="180" w:rightFromText="180" w:vertAnchor="text" w:horzAnchor="page" w:tblpXSpec="center" w:tblpY="274"/>
              <w:tblOverlap w:val="never"/>
              <w:tblW w:w="814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4"/>
              <w:gridCol w:w="1350"/>
              <w:gridCol w:w="1450"/>
              <w:gridCol w:w="1688"/>
              <w:gridCol w:w="1662"/>
              <w:gridCol w:w="1038"/>
            </w:tblGrid>
            <w:tr w14:paraId="2F447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jc w:val="center"/>
              </w:trPr>
              <w:tc>
                <w:tcPr>
                  <w:tcW w:w="954" w:type="dxa"/>
                  <w:vAlign w:val="center"/>
                </w:tcPr>
                <w:p w14:paraId="743E423C">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单元序号</w:t>
                  </w:r>
                </w:p>
              </w:tc>
              <w:tc>
                <w:tcPr>
                  <w:tcW w:w="1350" w:type="dxa"/>
                  <w:vAlign w:val="center"/>
                </w:tcPr>
                <w:p w14:paraId="6ED2059D">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长/宽（m）</w:t>
                  </w:r>
                </w:p>
              </w:tc>
              <w:tc>
                <w:tcPr>
                  <w:tcW w:w="1450" w:type="dxa"/>
                  <w:vAlign w:val="center"/>
                </w:tcPr>
                <w:p w14:paraId="6591F87C">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植物面积（m</w:t>
                  </w:r>
                  <w:r>
                    <w:rPr>
                      <w:rFonts w:hint="default" w:ascii="Times New Roman" w:hAnsi="Times New Roman" w:eastAsia="宋体"/>
                      <w:color w:val="auto"/>
                      <w:sz w:val="21"/>
                      <w:szCs w:val="21"/>
                      <w:vertAlign w:val="superscript"/>
                      <w:lang w:val="en-US" w:eastAsia="zh-CN"/>
                    </w:rPr>
                    <w:t>2</w:t>
                  </w:r>
                  <w:r>
                    <w:rPr>
                      <w:rFonts w:hint="default" w:ascii="Times New Roman" w:hAnsi="Times New Roman" w:eastAsia="宋体"/>
                      <w:color w:val="auto"/>
                      <w:sz w:val="21"/>
                      <w:szCs w:val="21"/>
                      <w:vertAlign w:val="baseline"/>
                      <w:lang w:val="en-US" w:eastAsia="zh-CN"/>
                    </w:rPr>
                    <w:t>）</w:t>
                  </w:r>
                </w:p>
              </w:tc>
              <w:tc>
                <w:tcPr>
                  <w:tcW w:w="1688" w:type="dxa"/>
                  <w:vAlign w:val="center"/>
                </w:tcPr>
                <w:p w14:paraId="3D3BA14E">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池高/超高（m）</w:t>
                  </w:r>
                </w:p>
              </w:tc>
              <w:tc>
                <w:tcPr>
                  <w:tcW w:w="1662" w:type="dxa"/>
                  <w:vAlign w:val="center"/>
                </w:tcPr>
                <w:p w14:paraId="51E547BD">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水力坡度（%）</w:t>
                  </w:r>
                </w:p>
              </w:tc>
              <w:tc>
                <w:tcPr>
                  <w:tcW w:w="1038" w:type="dxa"/>
                  <w:vAlign w:val="center"/>
                </w:tcPr>
                <w:p w14:paraId="46D521EB">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备注</w:t>
                  </w:r>
                </w:p>
              </w:tc>
            </w:tr>
            <w:tr w14:paraId="434E07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jc w:val="center"/>
              </w:trPr>
              <w:tc>
                <w:tcPr>
                  <w:tcW w:w="954" w:type="dxa"/>
                  <w:vAlign w:val="center"/>
                </w:tcPr>
                <w:p w14:paraId="0F2E9906">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1</w:t>
                  </w:r>
                </w:p>
              </w:tc>
              <w:tc>
                <w:tcPr>
                  <w:tcW w:w="1350" w:type="dxa"/>
                  <w:vAlign w:val="center"/>
                </w:tcPr>
                <w:p w14:paraId="46D84612">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40/20</w:t>
                  </w:r>
                </w:p>
              </w:tc>
              <w:tc>
                <w:tcPr>
                  <w:tcW w:w="1450" w:type="dxa"/>
                  <w:vAlign w:val="center"/>
                </w:tcPr>
                <w:p w14:paraId="5054A20B">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780</w:t>
                  </w:r>
                </w:p>
              </w:tc>
              <w:tc>
                <w:tcPr>
                  <w:tcW w:w="1688" w:type="dxa"/>
                  <w:vAlign w:val="center"/>
                </w:tcPr>
                <w:p w14:paraId="0467C8C1">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2.35/0.3</w:t>
                  </w:r>
                </w:p>
              </w:tc>
              <w:tc>
                <w:tcPr>
                  <w:tcW w:w="1662" w:type="dxa"/>
                  <w:vAlign w:val="center"/>
                </w:tcPr>
                <w:p w14:paraId="4B3FA2CA">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0~0.5（可调节）</w:t>
                  </w:r>
                </w:p>
              </w:tc>
              <w:tc>
                <w:tcPr>
                  <w:tcW w:w="1038" w:type="dxa"/>
                  <w:vAlign w:val="center"/>
                </w:tcPr>
                <w:p w14:paraId="1EE6E13E">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梯形</w:t>
                  </w:r>
                </w:p>
              </w:tc>
            </w:tr>
            <w:tr w14:paraId="00B9F6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jc w:val="center"/>
              </w:trPr>
              <w:tc>
                <w:tcPr>
                  <w:tcW w:w="954" w:type="dxa"/>
                  <w:vAlign w:val="center"/>
                </w:tcPr>
                <w:p w14:paraId="576F2668">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2</w:t>
                  </w:r>
                </w:p>
              </w:tc>
              <w:tc>
                <w:tcPr>
                  <w:tcW w:w="1350" w:type="dxa"/>
                  <w:vAlign w:val="center"/>
                </w:tcPr>
                <w:p w14:paraId="6AA8D84C">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40/22</w:t>
                  </w:r>
                </w:p>
              </w:tc>
              <w:tc>
                <w:tcPr>
                  <w:tcW w:w="1450" w:type="dxa"/>
                  <w:vAlign w:val="center"/>
                </w:tcPr>
                <w:p w14:paraId="680108EB">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840</w:t>
                  </w:r>
                </w:p>
              </w:tc>
              <w:tc>
                <w:tcPr>
                  <w:tcW w:w="1688" w:type="dxa"/>
                  <w:vAlign w:val="center"/>
                </w:tcPr>
                <w:p w14:paraId="3BCE8E74">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2.35/0.3</w:t>
                  </w:r>
                </w:p>
              </w:tc>
              <w:tc>
                <w:tcPr>
                  <w:tcW w:w="1662" w:type="dxa"/>
                  <w:vAlign w:val="center"/>
                </w:tcPr>
                <w:p w14:paraId="338CEB75">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0~0.5（可调节）</w:t>
                  </w:r>
                </w:p>
              </w:tc>
              <w:tc>
                <w:tcPr>
                  <w:tcW w:w="1038" w:type="dxa"/>
                  <w:vAlign w:val="center"/>
                </w:tcPr>
                <w:p w14:paraId="06C53165">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梯形</w:t>
                  </w:r>
                </w:p>
              </w:tc>
            </w:tr>
            <w:tr w14:paraId="7AD9D8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jc w:val="center"/>
              </w:trPr>
              <w:tc>
                <w:tcPr>
                  <w:tcW w:w="954" w:type="dxa"/>
                  <w:vAlign w:val="center"/>
                </w:tcPr>
                <w:p w14:paraId="2B36E988">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3</w:t>
                  </w:r>
                </w:p>
              </w:tc>
              <w:tc>
                <w:tcPr>
                  <w:tcW w:w="1350" w:type="dxa"/>
                  <w:vAlign w:val="center"/>
                </w:tcPr>
                <w:p w14:paraId="5FBE29B2">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40/24</w:t>
                  </w:r>
                </w:p>
              </w:tc>
              <w:tc>
                <w:tcPr>
                  <w:tcW w:w="1450" w:type="dxa"/>
                  <w:vAlign w:val="center"/>
                </w:tcPr>
                <w:p w14:paraId="4B5D7497">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920</w:t>
                  </w:r>
                </w:p>
              </w:tc>
              <w:tc>
                <w:tcPr>
                  <w:tcW w:w="1688" w:type="dxa"/>
                  <w:vAlign w:val="center"/>
                </w:tcPr>
                <w:p w14:paraId="07677DAE">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2.35/0.3</w:t>
                  </w:r>
                </w:p>
              </w:tc>
              <w:tc>
                <w:tcPr>
                  <w:tcW w:w="1662" w:type="dxa"/>
                  <w:vAlign w:val="center"/>
                </w:tcPr>
                <w:p w14:paraId="2C3D2C0F">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0~0.5（可调节）</w:t>
                  </w:r>
                </w:p>
              </w:tc>
              <w:tc>
                <w:tcPr>
                  <w:tcW w:w="1038" w:type="dxa"/>
                  <w:vAlign w:val="center"/>
                </w:tcPr>
                <w:p w14:paraId="1D4829CB">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梯形</w:t>
                  </w:r>
                </w:p>
              </w:tc>
            </w:tr>
            <w:tr w14:paraId="236299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jc w:val="center"/>
              </w:trPr>
              <w:tc>
                <w:tcPr>
                  <w:tcW w:w="954" w:type="dxa"/>
                  <w:vAlign w:val="center"/>
                </w:tcPr>
                <w:p w14:paraId="4D3AB3CD">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4</w:t>
                  </w:r>
                </w:p>
              </w:tc>
              <w:tc>
                <w:tcPr>
                  <w:tcW w:w="1350" w:type="dxa"/>
                  <w:vAlign w:val="center"/>
                </w:tcPr>
                <w:p w14:paraId="34A10984">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40/26</w:t>
                  </w:r>
                </w:p>
              </w:tc>
              <w:tc>
                <w:tcPr>
                  <w:tcW w:w="1450" w:type="dxa"/>
                  <w:vAlign w:val="center"/>
                </w:tcPr>
                <w:p w14:paraId="2ED722E0">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1000.00</w:t>
                  </w:r>
                </w:p>
              </w:tc>
              <w:tc>
                <w:tcPr>
                  <w:tcW w:w="1688" w:type="dxa"/>
                  <w:vAlign w:val="center"/>
                </w:tcPr>
                <w:p w14:paraId="171E70A2">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2.35/0.3</w:t>
                  </w:r>
                </w:p>
              </w:tc>
              <w:tc>
                <w:tcPr>
                  <w:tcW w:w="1662" w:type="dxa"/>
                  <w:vAlign w:val="center"/>
                </w:tcPr>
                <w:p w14:paraId="356F7C0A">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0~0.5（可调节）</w:t>
                  </w:r>
                </w:p>
              </w:tc>
              <w:tc>
                <w:tcPr>
                  <w:tcW w:w="1038" w:type="dxa"/>
                  <w:vAlign w:val="center"/>
                </w:tcPr>
                <w:p w14:paraId="4D643309">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梯形</w:t>
                  </w:r>
                </w:p>
              </w:tc>
            </w:tr>
            <w:tr w14:paraId="6E074E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jc w:val="center"/>
              </w:trPr>
              <w:tc>
                <w:tcPr>
                  <w:tcW w:w="954" w:type="dxa"/>
                  <w:vAlign w:val="center"/>
                </w:tcPr>
                <w:p w14:paraId="73C81BD3">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5</w:t>
                  </w:r>
                </w:p>
              </w:tc>
              <w:tc>
                <w:tcPr>
                  <w:tcW w:w="1350" w:type="dxa"/>
                  <w:vAlign w:val="center"/>
                </w:tcPr>
                <w:p w14:paraId="2125F4C5">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40/28</w:t>
                  </w:r>
                </w:p>
              </w:tc>
              <w:tc>
                <w:tcPr>
                  <w:tcW w:w="1450" w:type="dxa"/>
                  <w:vAlign w:val="center"/>
                </w:tcPr>
                <w:p w14:paraId="75294D0B">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1080</w:t>
                  </w:r>
                </w:p>
              </w:tc>
              <w:tc>
                <w:tcPr>
                  <w:tcW w:w="1688" w:type="dxa"/>
                  <w:vAlign w:val="center"/>
                </w:tcPr>
                <w:p w14:paraId="505143CF">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2.35/0.3</w:t>
                  </w:r>
                </w:p>
              </w:tc>
              <w:tc>
                <w:tcPr>
                  <w:tcW w:w="1662" w:type="dxa"/>
                  <w:vAlign w:val="center"/>
                </w:tcPr>
                <w:p w14:paraId="38BCB6B7">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0~0.5（可调节）</w:t>
                  </w:r>
                </w:p>
              </w:tc>
              <w:tc>
                <w:tcPr>
                  <w:tcW w:w="1038" w:type="dxa"/>
                  <w:vAlign w:val="center"/>
                </w:tcPr>
                <w:p w14:paraId="3EDE7938">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梯形</w:t>
                  </w:r>
                </w:p>
              </w:tc>
            </w:tr>
            <w:tr w14:paraId="71D464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jc w:val="center"/>
              </w:trPr>
              <w:tc>
                <w:tcPr>
                  <w:tcW w:w="954" w:type="dxa"/>
                  <w:vAlign w:val="center"/>
                </w:tcPr>
                <w:p w14:paraId="21B5C3CC">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6</w:t>
                  </w:r>
                </w:p>
              </w:tc>
              <w:tc>
                <w:tcPr>
                  <w:tcW w:w="1350" w:type="dxa"/>
                  <w:vAlign w:val="center"/>
                </w:tcPr>
                <w:p w14:paraId="60023500">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45/30</w:t>
                  </w:r>
                </w:p>
              </w:tc>
              <w:tc>
                <w:tcPr>
                  <w:tcW w:w="1450" w:type="dxa"/>
                  <w:vAlign w:val="center"/>
                </w:tcPr>
                <w:p w14:paraId="25451996">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1305</w:t>
                  </w:r>
                </w:p>
              </w:tc>
              <w:tc>
                <w:tcPr>
                  <w:tcW w:w="1688" w:type="dxa"/>
                  <w:vAlign w:val="center"/>
                </w:tcPr>
                <w:p w14:paraId="7DB0968A">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2.35/0.3</w:t>
                  </w:r>
                </w:p>
              </w:tc>
              <w:tc>
                <w:tcPr>
                  <w:tcW w:w="1662" w:type="dxa"/>
                  <w:vAlign w:val="center"/>
                </w:tcPr>
                <w:p w14:paraId="5628B2BB">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0~0.5（可调节）</w:t>
                  </w:r>
                </w:p>
              </w:tc>
              <w:tc>
                <w:tcPr>
                  <w:tcW w:w="1038" w:type="dxa"/>
                  <w:vAlign w:val="center"/>
                </w:tcPr>
                <w:p w14:paraId="2C923B11">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梯形</w:t>
                  </w:r>
                </w:p>
              </w:tc>
            </w:tr>
          </w:tbl>
          <w:p w14:paraId="1E4A790F">
            <w:pPr>
              <w:pStyle w:val="28"/>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w:t>
            </w:r>
            <w:r>
              <w:rPr>
                <w:rFonts w:hint="eastAsia" w:ascii="Times New Roman" w:hAnsi="Times New Roman" w:eastAsia="宋体" w:cs="Times New Roman"/>
                <w:color w:val="auto"/>
                <w:sz w:val="21"/>
                <w:szCs w:val="21"/>
                <w:lang w:val="en-US" w:eastAsia="zh-CN"/>
              </w:rPr>
              <w:t>2-4</w:t>
            </w:r>
            <w:r>
              <w:rPr>
                <w:rFonts w:hint="default" w:ascii="Times New Roman" w:hAnsi="Times New Roman" w:eastAsia="宋体" w:cs="Times New Roman"/>
                <w:color w:val="auto"/>
                <w:sz w:val="21"/>
                <w:szCs w:val="21"/>
              </w:rPr>
              <w:t xml:space="preserve">  陇县千河南岸新城污水处理厂人工湿地各单元参数</w:t>
            </w:r>
          </w:p>
          <w:p w14:paraId="31A5D3ED">
            <w:pPr>
              <w:spacing w:before="37" w:line="360" w:lineRule="auto"/>
              <w:ind w:left="122" w:right="108" w:firstLine="480"/>
              <w:jc w:val="both"/>
              <w:rPr>
                <w:rFonts w:ascii="Times New Roman" w:hAnsi="Times New Roman" w:eastAsia="宋体" w:cs="宋体"/>
                <w:sz w:val="24"/>
                <w:szCs w:val="24"/>
              </w:rPr>
            </w:pPr>
            <w:r>
              <w:rPr>
                <w:rFonts w:ascii="Times New Roman" w:hAnsi="Times New Roman" w:eastAsia="宋体" w:cs="宋体"/>
                <w:spacing w:val="-2"/>
                <w:sz w:val="24"/>
                <w:szCs w:val="24"/>
              </w:rPr>
              <w:t>根据单元划分，并除去防渗体及集布水系统占地，计算可得：陇县污水处理厂人工</w:t>
            </w:r>
            <w:r>
              <w:rPr>
                <w:rFonts w:ascii="Times New Roman" w:hAnsi="Times New Roman" w:eastAsia="宋体" w:cs="宋体"/>
                <w:spacing w:val="-5"/>
                <w:sz w:val="24"/>
                <w:szCs w:val="24"/>
              </w:rPr>
              <w:t>湿地总面积</w:t>
            </w:r>
            <w:r>
              <w:rPr>
                <w:rFonts w:ascii="Times New Roman" w:hAnsi="Times New Roman" w:eastAsia="宋体" w:cs="Times New Roman"/>
                <w:spacing w:val="-5"/>
                <w:sz w:val="24"/>
                <w:szCs w:val="24"/>
              </w:rPr>
              <w:t>7947m</w:t>
            </w:r>
            <w:r>
              <w:rPr>
                <w:rFonts w:ascii="Times New Roman" w:hAnsi="Times New Roman" w:eastAsia="宋体" w:cs="Times New Roman"/>
                <w:spacing w:val="-5"/>
                <w:position w:val="7"/>
                <w:sz w:val="15"/>
                <w:szCs w:val="15"/>
              </w:rPr>
              <w:t>2</w:t>
            </w:r>
            <w:r>
              <w:rPr>
                <w:rFonts w:ascii="Times New Roman" w:hAnsi="Times New Roman" w:eastAsia="宋体" w:cs="宋体"/>
                <w:spacing w:val="-5"/>
                <w:sz w:val="24"/>
                <w:szCs w:val="24"/>
              </w:rPr>
              <w:t>，水生植物表面积</w:t>
            </w:r>
            <w:r>
              <w:rPr>
                <w:rFonts w:ascii="Times New Roman" w:hAnsi="Times New Roman" w:eastAsia="宋体" w:cs="宋体"/>
                <w:spacing w:val="-59"/>
                <w:sz w:val="24"/>
                <w:szCs w:val="24"/>
              </w:rPr>
              <w:t xml:space="preserve"> </w:t>
            </w:r>
            <w:r>
              <w:rPr>
                <w:rFonts w:ascii="Times New Roman" w:hAnsi="Times New Roman" w:eastAsia="宋体" w:cs="Times New Roman"/>
                <w:spacing w:val="-5"/>
                <w:sz w:val="24"/>
                <w:szCs w:val="24"/>
              </w:rPr>
              <w:t>7305m</w:t>
            </w:r>
            <w:r>
              <w:rPr>
                <w:rFonts w:ascii="Times New Roman" w:hAnsi="Times New Roman" w:eastAsia="宋体" w:cs="Times New Roman"/>
                <w:spacing w:val="-5"/>
                <w:position w:val="7"/>
                <w:sz w:val="15"/>
                <w:szCs w:val="15"/>
              </w:rPr>
              <w:t>2</w:t>
            </w:r>
            <w:r>
              <w:rPr>
                <w:rFonts w:ascii="Times New Roman" w:hAnsi="Times New Roman" w:eastAsia="宋体" w:cs="宋体"/>
                <w:spacing w:val="-5"/>
                <w:sz w:val="24"/>
                <w:szCs w:val="24"/>
              </w:rPr>
              <w:t>；陇县千河南岸新城污水处理厂新建</w:t>
            </w:r>
            <w:r>
              <w:rPr>
                <w:rFonts w:ascii="Times New Roman" w:hAnsi="Times New Roman" w:eastAsia="宋体" w:cs="宋体"/>
                <w:spacing w:val="-71"/>
                <w:sz w:val="24"/>
                <w:szCs w:val="24"/>
              </w:rPr>
              <w:t xml:space="preserve"> </w:t>
            </w:r>
            <w:r>
              <w:rPr>
                <w:rFonts w:ascii="Times New Roman" w:hAnsi="Times New Roman" w:eastAsia="宋体" w:cs="Times New Roman"/>
                <w:spacing w:val="-5"/>
                <w:sz w:val="24"/>
                <w:szCs w:val="24"/>
              </w:rPr>
              <w:t>6136m</w:t>
            </w:r>
            <w:r>
              <w:rPr>
                <w:rFonts w:ascii="Times New Roman" w:hAnsi="Times New Roman" w:eastAsia="宋体" w:cs="Times New Roman"/>
                <w:spacing w:val="-5"/>
                <w:position w:val="7"/>
                <w:sz w:val="15"/>
                <w:szCs w:val="15"/>
              </w:rPr>
              <w:t>2</w:t>
            </w:r>
            <w:r>
              <w:rPr>
                <w:rFonts w:ascii="Times New Roman" w:hAnsi="Times New Roman" w:eastAsia="宋体" w:cs="宋体"/>
                <w:spacing w:val="-2"/>
                <w:sz w:val="24"/>
                <w:szCs w:val="24"/>
              </w:rPr>
              <w:t>湿地面积，水生植物表面积</w:t>
            </w:r>
            <w:r>
              <w:rPr>
                <w:rFonts w:ascii="Times New Roman" w:hAnsi="Times New Roman" w:eastAsia="宋体" w:cs="宋体"/>
                <w:spacing w:val="-32"/>
                <w:sz w:val="24"/>
                <w:szCs w:val="24"/>
              </w:rPr>
              <w:t xml:space="preserve"> </w:t>
            </w:r>
            <w:r>
              <w:rPr>
                <w:rFonts w:ascii="Times New Roman" w:hAnsi="Times New Roman" w:eastAsia="宋体" w:cs="Times New Roman"/>
                <w:spacing w:val="-2"/>
                <w:sz w:val="24"/>
                <w:szCs w:val="24"/>
              </w:rPr>
              <w:t>5925m</w:t>
            </w:r>
            <w:r>
              <w:rPr>
                <w:rFonts w:ascii="Times New Roman" w:hAnsi="Times New Roman" w:eastAsia="宋体" w:cs="Times New Roman"/>
                <w:spacing w:val="-2"/>
                <w:position w:val="8"/>
                <w:sz w:val="15"/>
                <w:szCs w:val="15"/>
              </w:rPr>
              <w:t>2</w:t>
            </w:r>
            <w:r>
              <w:rPr>
                <w:rFonts w:ascii="Times New Roman" w:hAnsi="Times New Roman" w:eastAsia="宋体" w:cs="宋体"/>
                <w:spacing w:val="-2"/>
                <w:sz w:val="24"/>
                <w:szCs w:val="24"/>
              </w:rPr>
              <w:t>。</w:t>
            </w:r>
          </w:p>
          <w:p w14:paraId="2EA58108">
            <w:pPr>
              <w:keepNext w:val="0"/>
              <w:keepLines w:val="0"/>
              <w:pageBreakBefore w:val="0"/>
              <w:widowControl w:val="0"/>
              <w:suppressLineNumbers w:val="0"/>
              <w:kinsoku/>
              <w:wordWrap/>
              <w:overflowPunct/>
              <w:topLinePunct w:val="0"/>
              <w:autoSpaceDE/>
              <w:autoSpaceDN/>
              <w:bidi w:val="0"/>
              <w:adjustRightInd/>
              <w:snapToGrid/>
              <w:spacing w:line="360" w:lineRule="auto"/>
              <w:ind w:firstLine="500" w:firstLineChars="200"/>
              <w:jc w:val="both"/>
              <w:textAlignment w:val="auto"/>
              <w:rPr>
                <w:rFonts w:hint="eastAsia" w:ascii="Times New Roman" w:hAnsi="Times New Roman" w:eastAsia="宋体" w:cs="宋体"/>
                <w:spacing w:val="5"/>
                <w:sz w:val="24"/>
                <w:szCs w:val="24"/>
                <w:lang w:val="en-US" w:eastAsia="zh-CN"/>
              </w:rPr>
            </w:pPr>
            <w:r>
              <w:rPr>
                <w:rFonts w:hint="eastAsia" w:ascii="Times New Roman" w:hAnsi="Times New Roman" w:eastAsia="宋体" w:cs="宋体"/>
                <w:spacing w:val="5"/>
                <w:sz w:val="24"/>
                <w:szCs w:val="24"/>
                <w:lang w:val="en-US" w:eastAsia="zh-CN"/>
              </w:rPr>
              <w:t>3）集布水系统设计</w:t>
            </w:r>
          </w:p>
          <w:p w14:paraId="74371866">
            <w:pPr>
              <w:spacing w:before="37" w:line="360" w:lineRule="auto"/>
              <w:ind w:left="122" w:right="108" w:firstLine="480"/>
              <w:jc w:val="both"/>
              <w:rPr>
                <w:rFonts w:ascii="Times New Roman" w:hAnsi="Times New Roman" w:eastAsia="宋体" w:cs="宋体"/>
                <w:spacing w:val="-5"/>
                <w:sz w:val="24"/>
                <w:szCs w:val="24"/>
              </w:rPr>
            </w:pPr>
            <w:r>
              <w:rPr>
                <w:rFonts w:ascii="Times New Roman" w:hAnsi="Times New Roman" w:eastAsia="宋体" w:cs="宋体"/>
                <w:spacing w:val="-5"/>
                <w:sz w:val="24"/>
                <w:szCs w:val="24"/>
              </w:rPr>
              <w:t>人工湿地处理单元的进出水系统设计，设置了防止水量冲击的溢流设施，保障布水和集水的均匀性和可调性。</w:t>
            </w:r>
          </w:p>
          <w:p w14:paraId="195DD512">
            <w:pPr>
              <w:spacing w:before="37" w:line="360" w:lineRule="auto"/>
              <w:ind w:left="122" w:right="108" w:firstLine="480"/>
              <w:jc w:val="both"/>
              <w:rPr>
                <w:rFonts w:ascii="Times New Roman" w:hAnsi="Times New Roman" w:eastAsia="宋体" w:cs="宋体"/>
                <w:spacing w:val="-5"/>
                <w:sz w:val="24"/>
                <w:szCs w:val="24"/>
              </w:rPr>
            </w:pPr>
            <w:r>
              <w:rPr>
                <w:rFonts w:hint="default" w:ascii="Times New Roman" w:hAnsi="Times New Roman" w:eastAsia="宋体" w:cs="Calibri"/>
                <w:spacing w:val="-5"/>
                <w:sz w:val="24"/>
                <w:szCs w:val="24"/>
              </w:rPr>
              <w:t>①</w:t>
            </w:r>
            <w:r>
              <w:rPr>
                <w:rFonts w:ascii="Times New Roman" w:hAnsi="Times New Roman" w:eastAsia="宋体" w:cs="宋体"/>
                <w:spacing w:val="-5"/>
                <w:sz w:val="24"/>
                <w:szCs w:val="24"/>
              </w:rPr>
              <w:t>陇县污水处理厂人工湿地</w:t>
            </w:r>
          </w:p>
          <w:p w14:paraId="424483BC">
            <w:pPr>
              <w:spacing w:before="37" w:line="360" w:lineRule="auto"/>
              <w:ind w:left="122" w:right="108" w:firstLine="480"/>
              <w:jc w:val="both"/>
              <w:rPr>
                <w:rFonts w:ascii="Times New Roman" w:hAnsi="Times New Roman" w:eastAsia="宋体" w:cs="宋体"/>
                <w:spacing w:val="-5"/>
                <w:sz w:val="24"/>
                <w:szCs w:val="24"/>
              </w:rPr>
            </w:pPr>
            <w:r>
              <w:rPr>
                <w:rFonts w:ascii="Times New Roman" w:hAnsi="Times New Roman" w:eastAsia="宋体" w:cs="宋体"/>
                <w:spacing w:val="-5"/>
                <w:sz w:val="24"/>
                <w:szCs w:val="24"/>
              </w:rPr>
              <w:t>现状污水处理厂出水管设分水井，采用dn600HDPE双壁波纹布水管连接至布水渠，管道首端设1个检修闸阀及电磁流量计，各布水检查井内设控制闸门。8个单元共设1条布水渠，1条集水渠。各布水渠净空尺寸2.1m×1.0m，离渠底1.5m处设0.3m×0.25m过水孔，过水孔间距1.0m。湿地单元末端底部dn110PE 弯管与集水渠连接，弯管出口高程可调节，各集水渠净空尺寸2.1m×1.0m，集水渠末端设dn600HDPE双壁波纹集水管连接至现状排水管，排入千河。共有布水渠及集水渠432m，配套检查井3座，dn600HDPE双壁波纹管143m，管式测流计1套。</w:t>
            </w:r>
          </w:p>
          <w:p w14:paraId="666739F0">
            <w:pPr>
              <w:spacing w:before="37" w:line="360" w:lineRule="auto"/>
              <w:ind w:left="122" w:right="108" w:firstLine="480"/>
              <w:jc w:val="both"/>
              <w:rPr>
                <w:rFonts w:ascii="Times New Roman" w:hAnsi="Times New Roman" w:eastAsia="宋体" w:cs="宋体"/>
                <w:spacing w:val="-5"/>
                <w:sz w:val="24"/>
                <w:szCs w:val="24"/>
              </w:rPr>
            </w:pPr>
            <w:r>
              <w:rPr>
                <w:rFonts w:ascii="Times New Roman" w:hAnsi="Times New Roman" w:eastAsia="宋体" w:cs="宋体"/>
                <w:spacing w:val="-5"/>
                <w:sz w:val="24"/>
                <w:szCs w:val="24"/>
              </w:rPr>
              <w:drawing>
                <wp:inline distT="0" distB="0" distL="0" distR="0">
                  <wp:extent cx="4582795" cy="1134745"/>
                  <wp:effectExtent l="0" t="0" r="8255" b="8255"/>
                  <wp:docPr id="18" name="IM 48"/>
                  <wp:cNvGraphicFramePr/>
                  <a:graphic xmlns:a="http://schemas.openxmlformats.org/drawingml/2006/main">
                    <a:graphicData uri="http://schemas.openxmlformats.org/drawingml/2006/picture">
                      <pic:pic xmlns:pic="http://schemas.openxmlformats.org/drawingml/2006/picture">
                        <pic:nvPicPr>
                          <pic:cNvPr id="18" name="IM 48"/>
                          <pic:cNvPicPr/>
                        </pic:nvPicPr>
                        <pic:blipFill>
                          <a:blip r:embed="rId12"/>
                          <a:stretch>
                            <a:fillRect/>
                          </a:stretch>
                        </pic:blipFill>
                        <pic:spPr>
                          <a:xfrm>
                            <a:off x="0" y="0"/>
                            <a:ext cx="4582795" cy="1134745"/>
                          </a:xfrm>
                          <a:prstGeom prst="rect">
                            <a:avLst/>
                          </a:prstGeom>
                        </pic:spPr>
                      </pic:pic>
                    </a:graphicData>
                  </a:graphic>
                </wp:inline>
              </w:drawing>
            </w:r>
          </w:p>
          <w:p w14:paraId="0A7F8454">
            <w:pPr>
              <w:pStyle w:val="28"/>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图</w:t>
            </w:r>
            <w:r>
              <w:rPr>
                <w:rFonts w:hint="eastAsia" w:ascii="Times New Roman" w:hAnsi="Times New Roman" w:eastAsia="宋体" w:cs="Times New Roman"/>
                <w:color w:val="auto"/>
                <w:sz w:val="21"/>
                <w:szCs w:val="21"/>
                <w:lang w:val="en-US" w:eastAsia="zh-CN"/>
              </w:rPr>
              <w:t>2-3</w:t>
            </w:r>
            <w:r>
              <w:rPr>
                <w:rFonts w:hint="eastAsia" w:ascii="Times New Roman" w:hAnsi="Times New Roman" w:eastAsia="宋体" w:cs="Times New Roman"/>
                <w:color w:val="auto"/>
                <w:sz w:val="21"/>
                <w:szCs w:val="21"/>
                <w:lang w:eastAsia="zh-CN"/>
              </w:rPr>
              <w:t xml:space="preserve">  陇县污水处理厂人工湿地集布水系统示意图</w:t>
            </w:r>
          </w:p>
          <w:p w14:paraId="677C36DE">
            <w:pPr>
              <w:spacing w:before="37" w:line="360" w:lineRule="auto"/>
              <w:ind w:left="122" w:right="108" w:firstLine="480"/>
              <w:jc w:val="both"/>
              <w:rPr>
                <w:rFonts w:ascii="Times New Roman" w:hAnsi="Times New Roman" w:eastAsia="宋体" w:cs="宋体"/>
                <w:spacing w:val="-5"/>
                <w:sz w:val="24"/>
                <w:szCs w:val="24"/>
              </w:rPr>
            </w:pPr>
            <w:r>
              <w:rPr>
                <w:rFonts w:hint="default" w:ascii="Times New Roman" w:hAnsi="Times New Roman" w:eastAsia="宋体" w:cs="Calibri"/>
                <w:spacing w:val="-5"/>
                <w:sz w:val="24"/>
                <w:szCs w:val="24"/>
              </w:rPr>
              <w:t>②</w:t>
            </w:r>
            <w:r>
              <w:rPr>
                <w:rFonts w:ascii="Times New Roman" w:hAnsi="Times New Roman" w:eastAsia="宋体" w:cs="宋体"/>
                <w:spacing w:val="-5"/>
                <w:sz w:val="24"/>
                <w:szCs w:val="24"/>
              </w:rPr>
              <w:t>陇县千河南岸新城污水处理厂人工湿地</w:t>
            </w:r>
          </w:p>
          <w:p w14:paraId="07D36F51">
            <w:pPr>
              <w:spacing w:before="37" w:line="360" w:lineRule="auto"/>
              <w:ind w:left="122" w:right="108" w:firstLine="480"/>
              <w:jc w:val="both"/>
              <w:rPr>
                <w:rFonts w:ascii="Times New Roman" w:hAnsi="Times New Roman" w:eastAsia="宋体" w:cs="宋体"/>
                <w:spacing w:val="-5"/>
                <w:sz w:val="24"/>
                <w:szCs w:val="24"/>
              </w:rPr>
            </w:pPr>
            <w:r>
              <w:rPr>
                <w:rFonts w:ascii="Times New Roman" w:hAnsi="Times New Roman" w:eastAsia="宋体" w:cs="宋体"/>
                <w:spacing w:val="-5"/>
                <w:sz w:val="24"/>
                <w:szCs w:val="24"/>
              </w:rPr>
              <w:t>现状污水处理厂出水管设分水井，采用dn600HDPE 双壁波纹布水管连接至各单元布水渠，管道首端设1个检修闸阀及电磁流量计，各布水检查井内设控制闸门。6个单元共设3条布水渠，4条集水渠。各布水渠净空尺寸2.1m×1.0m，离渠底1.5m处设0.3m×0.25m过水孔，过水孔间距1.0m。湿地单元末端底部dn110PE弯管与集水渠连接，弯管出口高程可调节，各集水渠净空尺寸2.1m×1.0m，集水渠末端设检查井，再由dn600HDPE双壁波纹集水管排入千河。共有布水渠及排水渠总长169m，配套检查井9座，dn600HDPE双壁波纹水管495m，管式测流计</w:t>
            </w:r>
            <w:r>
              <w:rPr>
                <w:rFonts w:hint="eastAsia" w:ascii="Times New Roman" w:hAnsi="Times New Roman" w:eastAsia="宋体" w:cs="宋体"/>
                <w:spacing w:val="-5"/>
                <w:sz w:val="24"/>
                <w:szCs w:val="24"/>
                <w:lang w:val="en-US" w:eastAsia="zh-CN"/>
              </w:rPr>
              <w:t>1</w:t>
            </w:r>
            <w:r>
              <w:rPr>
                <w:rFonts w:ascii="Times New Roman" w:hAnsi="Times New Roman" w:eastAsia="宋体" w:cs="宋体"/>
                <w:spacing w:val="-5"/>
                <w:sz w:val="24"/>
                <w:szCs w:val="24"/>
              </w:rPr>
              <w:t>套。</w:t>
            </w:r>
          </w:p>
          <w:p w14:paraId="6BEE10C3">
            <w:pPr>
              <w:spacing w:before="37" w:line="360" w:lineRule="auto"/>
              <w:ind w:right="108"/>
              <w:jc w:val="both"/>
              <w:rPr>
                <w:rFonts w:ascii="Times New Roman" w:hAnsi="Times New Roman" w:eastAsia="宋体" w:cs="宋体"/>
                <w:spacing w:val="-5"/>
                <w:sz w:val="24"/>
                <w:szCs w:val="24"/>
              </w:rPr>
            </w:pPr>
            <w:r>
              <w:rPr>
                <w:rFonts w:ascii="Times New Roman" w:hAnsi="Times New Roman" w:eastAsia="宋体" w:cs="宋体"/>
                <w:spacing w:val="-5"/>
                <w:sz w:val="24"/>
                <w:szCs w:val="24"/>
              </w:rPr>
              <w:drawing>
                <wp:inline distT="0" distB="0" distL="0" distR="0">
                  <wp:extent cx="5092700" cy="822325"/>
                  <wp:effectExtent l="0" t="0" r="12700" b="15875"/>
                  <wp:docPr id="27" name="IM 50"/>
                  <wp:cNvGraphicFramePr/>
                  <a:graphic xmlns:a="http://schemas.openxmlformats.org/drawingml/2006/main">
                    <a:graphicData uri="http://schemas.openxmlformats.org/drawingml/2006/picture">
                      <pic:pic xmlns:pic="http://schemas.openxmlformats.org/drawingml/2006/picture">
                        <pic:nvPicPr>
                          <pic:cNvPr id="27" name="IM 50"/>
                          <pic:cNvPicPr/>
                        </pic:nvPicPr>
                        <pic:blipFill>
                          <a:blip r:embed="rId13"/>
                          <a:stretch>
                            <a:fillRect/>
                          </a:stretch>
                        </pic:blipFill>
                        <pic:spPr>
                          <a:xfrm>
                            <a:off x="0" y="0"/>
                            <a:ext cx="5092700" cy="822959"/>
                          </a:xfrm>
                          <a:prstGeom prst="rect">
                            <a:avLst/>
                          </a:prstGeom>
                        </pic:spPr>
                      </pic:pic>
                    </a:graphicData>
                  </a:graphic>
                </wp:inline>
              </w:drawing>
            </w:r>
          </w:p>
          <w:p w14:paraId="60DF3CB8">
            <w:pPr>
              <w:pStyle w:val="28"/>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图</w:t>
            </w:r>
            <w:r>
              <w:rPr>
                <w:rFonts w:hint="eastAsia" w:ascii="Times New Roman" w:hAnsi="Times New Roman" w:eastAsia="宋体" w:cs="Times New Roman"/>
                <w:color w:val="auto"/>
                <w:sz w:val="21"/>
                <w:szCs w:val="21"/>
                <w:lang w:val="en-US" w:eastAsia="zh-CN"/>
              </w:rPr>
              <w:t>2-4</w:t>
            </w:r>
            <w:r>
              <w:rPr>
                <w:rFonts w:hint="eastAsia" w:ascii="Times New Roman" w:hAnsi="Times New Roman" w:eastAsia="宋体" w:cs="Times New Roman"/>
                <w:color w:val="auto"/>
                <w:sz w:val="21"/>
                <w:szCs w:val="21"/>
                <w:lang w:eastAsia="zh-CN"/>
              </w:rPr>
              <w:t xml:space="preserve">  陇县千河南岸新城污水处理厂人工湿地集布水系统示意图</w:t>
            </w:r>
          </w:p>
          <w:p w14:paraId="1EED28C2">
            <w:pPr>
              <w:keepNext w:val="0"/>
              <w:keepLines w:val="0"/>
              <w:pageBreakBefore w:val="0"/>
              <w:widowControl w:val="0"/>
              <w:suppressLineNumbers w:val="0"/>
              <w:kinsoku/>
              <w:wordWrap/>
              <w:overflowPunct/>
              <w:topLinePunct w:val="0"/>
              <w:autoSpaceDE/>
              <w:autoSpaceDN/>
              <w:bidi w:val="0"/>
              <w:adjustRightInd/>
              <w:snapToGrid/>
              <w:spacing w:line="360" w:lineRule="auto"/>
              <w:ind w:firstLine="500" w:firstLineChars="200"/>
              <w:jc w:val="both"/>
              <w:textAlignment w:val="auto"/>
              <w:rPr>
                <w:rFonts w:hint="eastAsia" w:ascii="Times New Roman" w:hAnsi="Times New Roman" w:eastAsia="宋体" w:cs="宋体"/>
                <w:spacing w:val="5"/>
                <w:sz w:val="24"/>
                <w:szCs w:val="24"/>
                <w:lang w:val="en-US" w:eastAsia="zh-CN"/>
              </w:rPr>
            </w:pPr>
            <w:r>
              <w:rPr>
                <w:rFonts w:hint="eastAsia" w:ascii="Times New Roman" w:hAnsi="Times New Roman" w:eastAsia="宋体" w:cs="宋体"/>
                <w:spacing w:val="5"/>
                <w:sz w:val="24"/>
                <w:szCs w:val="24"/>
                <w:lang w:val="en-US" w:eastAsia="zh-CN"/>
              </w:rPr>
              <w:t>4）清淤</w:t>
            </w:r>
          </w:p>
          <w:p w14:paraId="18F0A365">
            <w:pPr>
              <w:spacing w:before="37" w:line="360" w:lineRule="auto"/>
              <w:ind w:left="122" w:right="108" w:firstLine="480"/>
              <w:jc w:val="both"/>
              <w:rPr>
                <w:rFonts w:ascii="Times New Roman" w:hAnsi="Times New Roman" w:eastAsia="宋体" w:cs="宋体"/>
                <w:spacing w:val="-5"/>
                <w:sz w:val="24"/>
                <w:szCs w:val="24"/>
              </w:rPr>
            </w:pPr>
            <w:r>
              <w:rPr>
                <w:rFonts w:ascii="Times New Roman" w:hAnsi="Times New Roman" w:eastAsia="宋体" w:cs="宋体"/>
                <w:spacing w:val="-5"/>
                <w:sz w:val="24"/>
                <w:szCs w:val="24"/>
              </w:rPr>
              <w:t>为保障人工湿地系统长期稳定运行，需针对水平潜流湿地易出现轻微堵塞的特性制定定期清淤方案。系统运行期间，每1</w:t>
            </w:r>
            <w:r>
              <w:rPr>
                <w:rFonts w:hint="eastAsia" w:ascii="Times New Roman" w:hAnsi="Times New Roman" w:eastAsia="宋体" w:cs="宋体"/>
                <w:spacing w:val="-5"/>
                <w:sz w:val="24"/>
                <w:szCs w:val="24"/>
                <w:lang w:eastAsia="zh-CN"/>
              </w:rPr>
              <w:t>—</w:t>
            </w:r>
            <w:r>
              <w:rPr>
                <w:rFonts w:ascii="Times New Roman" w:hAnsi="Times New Roman" w:eastAsia="宋体" w:cs="宋体"/>
                <w:spacing w:val="-5"/>
                <w:sz w:val="24"/>
                <w:szCs w:val="24"/>
              </w:rPr>
              <w:t>2年开展一次填料层堵塞情况监测，通过取样分析填料孔隙率、水力渗透系数等指标，判断清淤时机。清淤作业优先采用机械抽吸结合人工辅助的方式，对堵塞严重区域的表层填料（0.3</w:t>
            </w:r>
            <w:r>
              <w:rPr>
                <w:rFonts w:hint="eastAsia" w:ascii="Times New Roman" w:hAnsi="Times New Roman" w:eastAsia="宋体" w:cs="宋体"/>
                <w:spacing w:val="-5"/>
                <w:sz w:val="24"/>
                <w:szCs w:val="24"/>
                <w:lang w:eastAsia="zh-CN"/>
              </w:rPr>
              <w:t>—</w:t>
            </w:r>
            <w:r>
              <w:rPr>
                <w:rFonts w:ascii="Times New Roman" w:hAnsi="Times New Roman" w:eastAsia="宋体" w:cs="宋体"/>
                <w:spacing w:val="-5"/>
                <w:sz w:val="24"/>
                <w:szCs w:val="24"/>
              </w:rPr>
              <w:t>0.5m深度）进行适度清理，避免过度扰动深层填料及水生植物根系，清出的淤积物经脱水处理后可作为绿化用土或合规处置。清淤过程中需临时调整湿地单元运行模式，采用单元轮换清淤的方式，确保整体处理能力不受影响。</w:t>
            </w:r>
          </w:p>
          <w:p w14:paraId="028AEFF7">
            <w:pPr>
              <w:keepNext w:val="0"/>
              <w:keepLines w:val="0"/>
              <w:pageBreakBefore w:val="0"/>
              <w:widowControl w:val="0"/>
              <w:suppressLineNumbers w:val="0"/>
              <w:kinsoku/>
              <w:wordWrap/>
              <w:overflowPunct/>
              <w:topLinePunct w:val="0"/>
              <w:autoSpaceDE/>
              <w:autoSpaceDN/>
              <w:bidi w:val="0"/>
              <w:adjustRightInd/>
              <w:snapToGrid/>
              <w:spacing w:line="360" w:lineRule="auto"/>
              <w:ind w:firstLine="500" w:firstLineChars="200"/>
              <w:jc w:val="both"/>
              <w:textAlignment w:val="auto"/>
              <w:rPr>
                <w:rFonts w:hint="eastAsia" w:ascii="Times New Roman" w:hAnsi="Times New Roman" w:eastAsia="宋体" w:cs="宋体"/>
                <w:spacing w:val="5"/>
                <w:sz w:val="24"/>
                <w:szCs w:val="24"/>
                <w:lang w:val="en-US" w:eastAsia="zh-CN"/>
              </w:rPr>
            </w:pPr>
            <w:r>
              <w:rPr>
                <w:rFonts w:hint="eastAsia" w:ascii="Times New Roman" w:hAnsi="Times New Roman" w:eastAsia="宋体" w:cs="宋体"/>
                <w:spacing w:val="5"/>
                <w:sz w:val="24"/>
                <w:szCs w:val="24"/>
                <w:lang w:val="en-US" w:eastAsia="zh-CN"/>
              </w:rPr>
              <w:t>5）基质</w:t>
            </w:r>
          </w:p>
          <w:p w14:paraId="42AFBBA8">
            <w:pPr>
              <w:spacing w:before="37" w:line="360" w:lineRule="auto"/>
              <w:ind w:left="122" w:right="108" w:firstLine="480"/>
              <w:jc w:val="both"/>
              <w:rPr>
                <w:rFonts w:ascii="Times New Roman" w:hAnsi="Times New Roman" w:eastAsia="宋体" w:cs="宋体"/>
                <w:spacing w:val="-5"/>
                <w:sz w:val="24"/>
                <w:szCs w:val="24"/>
              </w:rPr>
            </w:pPr>
            <w:r>
              <w:rPr>
                <w:rFonts w:ascii="Times New Roman" w:hAnsi="Times New Roman" w:eastAsia="宋体" w:cs="宋体"/>
                <w:spacing w:val="-5"/>
                <w:sz w:val="24"/>
                <w:szCs w:val="24"/>
              </w:rPr>
              <w:t>水平潜流人工湿地的填料铺设区域可分为进水区、主体区和出水区，各分区填料参数见</w:t>
            </w:r>
            <w:r>
              <w:rPr>
                <w:rFonts w:ascii="Times New Roman" w:hAnsi="Times New Roman" w:eastAsia="宋体" w:cs="宋体"/>
                <w:spacing w:val="-5"/>
                <w:sz w:val="24"/>
                <w:szCs w:val="24"/>
              </w:rPr>
              <w:fldChar w:fldCharType="begin"/>
            </w:r>
            <w:r>
              <w:rPr>
                <w:rFonts w:ascii="Times New Roman" w:hAnsi="Times New Roman" w:eastAsia="宋体" w:cs="宋体"/>
                <w:spacing w:val="-5"/>
                <w:sz w:val="24"/>
                <w:szCs w:val="24"/>
              </w:rPr>
              <w:instrText xml:space="preserve"> HYPERLINK \l "bookmark79" </w:instrText>
            </w:r>
            <w:r>
              <w:rPr>
                <w:rFonts w:ascii="Times New Roman" w:hAnsi="Times New Roman" w:eastAsia="宋体" w:cs="宋体"/>
                <w:spacing w:val="-5"/>
                <w:sz w:val="24"/>
                <w:szCs w:val="24"/>
              </w:rPr>
              <w:fldChar w:fldCharType="separate"/>
            </w:r>
            <w:r>
              <w:rPr>
                <w:rFonts w:ascii="Times New Roman" w:hAnsi="Times New Roman" w:eastAsia="宋体" w:cs="宋体"/>
                <w:spacing w:val="-5"/>
                <w:sz w:val="24"/>
                <w:szCs w:val="24"/>
              </w:rPr>
              <w:t>表</w:t>
            </w:r>
            <w:r>
              <w:rPr>
                <w:rFonts w:hint="eastAsia" w:ascii="Times New Roman" w:hAnsi="Times New Roman" w:eastAsia="宋体" w:cs="宋体"/>
                <w:spacing w:val="-5"/>
                <w:sz w:val="24"/>
                <w:szCs w:val="24"/>
                <w:lang w:val="en-US" w:eastAsia="zh-CN"/>
              </w:rPr>
              <w:t>2</w:t>
            </w:r>
            <w:r>
              <w:rPr>
                <w:rFonts w:ascii="Times New Roman" w:hAnsi="Times New Roman" w:eastAsia="宋体" w:cs="宋体"/>
                <w:spacing w:val="-5"/>
                <w:sz w:val="24"/>
                <w:szCs w:val="24"/>
              </w:rPr>
              <w:t>-</w:t>
            </w:r>
            <w:r>
              <w:rPr>
                <w:rFonts w:hint="eastAsia" w:ascii="Times New Roman" w:hAnsi="Times New Roman" w:eastAsia="宋体" w:cs="宋体"/>
                <w:spacing w:val="-5"/>
                <w:sz w:val="24"/>
                <w:szCs w:val="24"/>
                <w:lang w:val="en-US" w:eastAsia="zh-CN"/>
              </w:rPr>
              <w:t>5</w:t>
            </w:r>
            <w:r>
              <w:rPr>
                <w:rFonts w:ascii="Times New Roman" w:hAnsi="Times New Roman" w:eastAsia="宋体" w:cs="宋体"/>
                <w:spacing w:val="-5"/>
                <w:sz w:val="24"/>
                <w:szCs w:val="24"/>
              </w:rPr>
              <w:fldChar w:fldCharType="end"/>
            </w:r>
            <w:r>
              <w:rPr>
                <w:rFonts w:ascii="Times New Roman" w:hAnsi="Times New Roman" w:eastAsia="宋体" w:cs="宋体"/>
                <w:spacing w:val="-5"/>
                <w:sz w:val="24"/>
                <w:szCs w:val="24"/>
              </w:rPr>
              <w:t xml:space="preserve"> 。顶部</w:t>
            </w:r>
            <w:r>
              <w:rPr>
                <w:rFonts w:hint="eastAsia" w:ascii="Times New Roman" w:hAnsi="Times New Roman" w:eastAsia="宋体" w:cs="宋体"/>
                <w:spacing w:val="-5"/>
                <w:sz w:val="24"/>
                <w:szCs w:val="24"/>
                <w:lang w:eastAsia="zh-CN"/>
              </w:rPr>
              <w:t>覆盖</w:t>
            </w:r>
            <w:r>
              <w:rPr>
                <w:rFonts w:ascii="Times New Roman" w:hAnsi="Times New Roman" w:eastAsia="宋体" w:cs="宋体"/>
                <w:spacing w:val="-5"/>
                <w:sz w:val="24"/>
                <w:szCs w:val="24"/>
              </w:rPr>
              <w:t>0.4m厚种植土。</w:t>
            </w:r>
          </w:p>
          <w:p w14:paraId="38E49AA0">
            <w:pPr>
              <w:spacing w:before="37" w:line="360" w:lineRule="auto"/>
              <w:ind w:left="122" w:right="108" w:firstLine="480"/>
              <w:jc w:val="both"/>
              <w:rPr>
                <w:rFonts w:ascii="Times New Roman" w:hAnsi="Times New Roman" w:eastAsia="宋体" w:cs="宋体"/>
                <w:spacing w:val="-5"/>
                <w:sz w:val="24"/>
                <w:szCs w:val="24"/>
              </w:rPr>
            </w:pPr>
            <w:r>
              <w:rPr>
                <w:rFonts w:ascii="Times New Roman" w:hAnsi="Times New Roman" w:eastAsia="宋体" w:cs="宋体"/>
                <w:spacing w:val="-5"/>
                <w:sz w:val="24"/>
                <w:szCs w:val="24"/>
              </w:rPr>
              <w:t>根据本工程水质净化需求，结合当地材料供应，为保证处理效果，本工程人工湿地主体区选用沸石作为填料，进水区及出水区采用卵石作为填料。沸石由于内部有很多孔径、均匀的管状孔道和内表面积很大的孔穴，因而具有独特的吸附、筛分、交换阴阳离子以及催化性能。它能吸收水中氨态氮、有机物和重金属离子，能有效地降低池底硫化氢毒性，调节pH值，增加水中溶解氧，为浮游植物生长提供充足碳素，提高水体光合作用强度，同时也是一种良好的微量元素肥料。</w:t>
            </w:r>
          </w:p>
          <w:p w14:paraId="0465083A">
            <w:pPr>
              <w:pStyle w:val="28"/>
              <w:rPr>
                <w:rFonts w:hint="default" w:ascii="Times New Roman" w:hAnsi="Times New Roman" w:eastAsia="宋体" w:cs="Times New Roman"/>
                <w:color w:val="auto"/>
                <w:sz w:val="21"/>
                <w:szCs w:val="21"/>
              </w:rPr>
            </w:pPr>
            <w:bookmarkStart w:id="2" w:name="bookmark79"/>
            <w:bookmarkEnd w:id="2"/>
            <w:r>
              <w:rPr>
                <w:rFonts w:hint="default" w:ascii="Times New Roman" w:hAnsi="Times New Roman" w:eastAsia="宋体" w:cs="Times New Roman"/>
                <w:color w:val="auto"/>
                <w:sz w:val="21"/>
                <w:szCs w:val="21"/>
              </w:rPr>
              <w:t xml:space="preserve">表 </w:t>
            </w:r>
            <w:r>
              <w:rPr>
                <w:rFonts w:hint="eastAsia" w:ascii="Times New Roman" w:hAnsi="Times New Roman" w:eastAsia="宋体" w:cs="Times New Roman"/>
                <w:color w:val="auto"/>
                <w:sz w:val="21"/>
                <w:szCs w:val="21"/>
                <w:lang w:val="en-US" w:eastAsia="zh-CN"/>
              </w:rPr>
              <w:t>2-5</w:t>
            </w:r>
            <w:r>
              <w:rPr>
                <w:rFonts w:hint="default" w:ascii="Times New Roman" w:hAnsi="Times New Roman" w:eastAsia="宋体" w:cs="Times New Roman"/>
                <w:color w:val="auto"/>
                <w:sz w:val="21"/>
                <w:szCs w:val="21"/>
              </w:rPr>
              <w:t xml:space="preserve">  填料层主要设计参数</w:t>
            </w:r>
          </w:p>
          <w:tbl>
            <w:tblPr>
              <w:tblStyle w:val="36"/>
              <w:tblW w:w="783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14"/>
              <w:gridCol w:w="1951"/>
              <w:gridCol w:w="1725"/>
              <w:gridCol w:w="1445"/>
            </w:tblGrid>
            <w:tr w14:paraId="052E56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jc w:val="center"/>
              </w:trPr>
              <w:tc>
                <w:tcPr>
                  <w:tcW w:w="2714" w:type="dxa"/>
                  <w:vAlign w:val="center"/>
                </w:tcPr>
                <w:p w14:paraId="2C9BB04E">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drawing>
                      <wp:anchor distT="0" distB="0" distL="0" distR="0" simplePos="0" relativeHeight="251676672" behindDoc="1" locked="0" layoutInCell="1" allowOverlap="1">
                        <wp:simplePos x="0" y="0"/>
                        <wp:positionH relativeFrom="column">
                          <wp:posOffset>5715</wp:posOffset>
                        </wp:positionH>
                        <wp:positionV relativeFrom="paragraph">
                          <wp:posOffset>0</wp:posOffset>
                        </wp:positionV>
                        <wp:extent cx="1692275" cy="360680"/>
                        <wp:effectExtent l="0" t="0" r="3175" b="127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4"/>
                                <a:stretch>
                                  <a:fillRect/>
                                </a:stretch>
                              </pic:blipFill>
                              <pic:spPr>
                                <a:xfrm>
                                  <a:off x="0" y="0"/>
                                  <a:ext cx="1692275" cy="360528"/>
                                </a:xfrm>
                                <a:prstGeom prst="rect">
                                  <a:avLst/>
                                </a:prstGeom>
                              </pic:spPr>
                            </pic:pic>
                          </a:graphicData>
                        </a:graphic>
                      </wp:anchor>
                    </w:drawing>
                  </w:r>
                  <w:r>
                    <w:rPr>
                      <w:rFonts w:hint="eastAsia" w:ascii="Times New Roman" w:hAnsi="Times New Roman" w:eastAsia="宋体"/>
                      <w:color w:val="auto"/>
                      <w:sz w:val="21"/>
                      <w:szCs w:val="21"/>
                      <w:vertAlign w:val="baseline"/>
                      <w:lang w:val="en-US" w:eastAsia="zh-CN"/>
                    </w:rPr>
                    <w:t xml:space="preserve">           </w:t>
                  </w:r>
                  <w:r>
                    <w:rPr>
                      <w:rFonts w:hint="default" w:ascii="Times New Roman" w:hAnsi="Times New Roman" w:eastAsia="宋体"/>
                      <w:color w:val="auto"/>
                      <w:sz w:val="21"/>
                      <w:szCs w:val="21"/>
                      <w:vertAlign w:val="baseline"/>
                      <w:lang w:val="en-US" w:eastAsia="zh-CN"/>
                    </w:rPr>
                    <w:t>湿地类型</w:t>
                  </w:r>
                </w:p>
                <w:p w14:paraId="603E1181">
                  <w:pPr>
                    <w:bidi w:val="0"/>
                    <w:ind w:firstLine="420" w:firstLineChars="200"/>
                    <w:jc w:val="both"/>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设计参数</w:t>
                  </w:r>
                </w:p>
              </w:tc>
              <w:tc>
                <w:tcPr>
                  <w:tcW w:w="1951" w:type="dxa"/>
                  <w:vAlign w:val="center"/>
                </w:tcPr>
                <w:p w14:paraId="20B7C89F">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进水区</w:t>
                  </w:r>
                </w:p>
              </w:tc>
              <w:tc>
                <w:tcPr>
                  <w:tcW w:w="1725" w:type="dxa"/>
                  <w:vAlign w:val="center"/>
                </w:tcPr>
                <w:p w14:paraId="1F433618">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主体区</w:t>
                  </w:r>
                </w:p>
              </w:tc>
              <w:tc>
                <w:tcPr>
                  <w:tcW w:w="1445" w:type="dxa"/>
                  <w:vAlign w:val="center"/>
                </w:tcPr>
                <w:p w14:paraId="5881F4AE">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出水区</w:t>
                  </w:r>
                </w:p>
              </w:tc>
            </w:tr>
            <w:tr w14:paraId="5A96B7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2714" w:type="dxa"/>
                  <w:vAlign w:val="center"/>
                </w:tcPr>
                <w:p w14:paraId="3BD6D84F">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填料粒径（mm）</w:t>
                  </w:r>
                </w:p>
              </w:tc>
              <w:tc>
                <w:tcPr>
                  <w:tcW w:w="1951" w:type="dxa"/>
                  <w:vAlign w:val="center"/>
                </w:tcPr>
                <w:p w14:paraId="18B5F5D3">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50~80</w:t>
                  </w:r>
                </w:p>
              </w:tc>
              <w:tc>
                <w:tcPr>
                  <w:tcW w:w="1725" w:type="dxa"/>
                  <w:vAlign w:val="center"/>
                </w:tcPr>
                <w:p w14:paraId="5B37CB80">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10~50</w:t>
                  </w:r>
                </w:p>
              </w:tc>
              <w:tc>
                <w:tcPr>
                  <w:tcW w:w="1445" w:type="dxa"/>
                  <w:vAlign w:val="center"/>
                </w:tcPr>
                <w:p w14:paraId="266E498A">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50~80</w:t>
                  </w:r>
                </w:p>
              </w:tc>
            </w:tr>
            <w:tr w14:paraId="6A07C8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jc w:val="center"/>
              </w:trPr>
              <w:tc>
                <w:tcPr>
                  <w:tcW w:w="2714" w:type="dxa"/>
                  <w:vAlign w:val="center"/>
                </w:tcPr>
                <w:p w14:paraId="48DEF101">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填料厚度（m）</w:t>
                  </w:r>
                </w:p>
              </w:tc>
              <w:tc>
                <w:tcPr>
                  <w:tcW w:w="1951" w:type="dxa"/>
                  <w:vAlign w:val="center"/>
                </w:tcPr>
                <w:p w14:paraId="2EEB93E8">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1.5</w:t>
                  </w:r>
                </w:p>
              </w:tc>
              <w:tc>
                <w:tcPr>
                  <w:tcW w:w="1725" w:type="dxa"/>
                  <w:vAlign w:val="center"/>
                </w:tcPr>
                <w:p w14:paraId="57B2B0BD">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1.5</w:t>
                  </w:r>
                </w:p>
              </w:tc>
              <w:tc>
                <w:tcPr>
                  <w:tcW w:w="1445" w:type="dxa"/>
                  <w:vAlign w:val="center"/>
                </w:tcPr>
                <w:p w14:paraId="27FEB666">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1.5</w:t>
                  </w:r>
                </w:p>
              </w:tc>
            </w:tr>
            <w:tr w14:paraId="311976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jc w:val="center"/>
              </w:trPr>
              <w:tc>
                <w:tcPr>
                  <w:tcW w:w="2714" w:type="dxa"/>
                  <w:vAlign w:val="center"/>
                </w:tcPr>
                <w:p w14:paraId="41D22B66">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填料填装厚孔隙率（%）</w:t>
                  </w:r>
                </w:p>
              </w:tc>
              <w:tc>
                <w:tcPr>
                  <w:tcW w:w="1951" w:type="dxa"/>
                  <w:vAlign w:val="center"/>
                </w:tcPr>
                <w:p w14:paraId="52B85DEE">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40~50</w:t>
                  </w:r>
                </w:p>
              </w:tc>
              <w:tc>
                <w:tcPr>
                  <w:tcW w:w="1725" w:type="dxa"/>
                  <w:vAlign w:val="center"/>
                </w:tcPr>
                <w:p w14:paraId="4AD692DC">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35~40</w:t>
                  </w:r>
                </w:p>
              </w:tc>
              <w:tc>
                <w:tcPr>
                  <w:tcW w:w="1445" w:type="dxa"/>
                  <w:vAlign w:val="center"/>
                </w:tcPr>
                <w:p w14:paraId="33A91240">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40~50</w:t>
                  </w:r>
                </w:p>
              </w:tc>
            </w:tr>
          </w:tbl>
          <w:p w14:paraId="0E398A51">
            <w:pPr>
              <w:keepNext w:val="0"/>
              <w:keepLines w:val="0"/>
              <w:pageBreakBefore w:val="0"/>
              <w:widowControl w:val="0"/>
              <w:suppressLineNumbers w:val="0"/>
              <w:kinsoku/>
              <w:wordWrap/>
              <w:overflowPunct/>
              <w:topLinePunct w:val="0"/>
              <w:autoSpaceDE/>
              <w:autoSpaceDN/>
              <w:bidi w:val="0"/>
              <w:adjustRightInd/>
              <w:snapToGrid/>
              <w:spacing w:line="360" w:lineRule="auto"/>
              <w:ind w:firstLine="500" w:firstLineChars="200"/>
              <w:jc w:val="both"/>
              <w:textAlignment w:val="auto"/>
              <w:rPr>
                <w:rFonts w:hint="eastAsia" w:ascii="Times New Roman" w:hAnsi="Times New Roman" w:eastAsia="宋体" w:cs="宋体"/>
                <w:spacing w:val="5"/>
                <w:sz w:val="24"/>
                <w:szCs w:val="24"/>
                <w:lang w:val="en-US" w:eastAsia="zh-CN"/>
              </w:rPr>
            </w:pPr>
            <w:r>
              <w:rPr>
                <w:rFonts w:hint="eastAsia" w:ascii="Times New Roman" w:hAnsi="Times New Roman" w:eastAsia="宋体" w:cs="宋体"/>
                <w:spacing w:val="5"/>
                <w:sz w:val="24"/>
                <w:szCs w:val="24"/>
                <w:lang w:val="en-US" w:eastAsia="zh-CN"/>
              </w:rPr>
              <w:t>6）湿地植物选择与种植</w:t>
            </w:r>
          </w:p>
          <w:p w14:paraId="4B4B6E44">
            <w:pPr>
              <w:spacing w:before="37" w:line="360" w:lineRule="auto"/>
              <w:ind w:left="122" w:right="108" w:firstLine="480"/>
              <w:jc w:val="both"/>
              <w:rPr>
                <w:rFonts w:ascii="Times New Roman" w:hAnsi="Times New Roman" w:eastAsia="宋体" w:cs="宋体"/>
                <w:spacing w:val="-5"/>
                <w:sz w:val="24"/>
                <w:szCs w:val="24"/>
              </w:rPr>
            </w:pPr>
            <w:r>
              <w:rPr>
                <w:rFonts w:ascii="Times New Roman" w:hAnsi="Times New Roman" w:eastAsia="宋体" w:cs="宋体"/>
                <w:spacing w:val="-5"/>
                <w:sz w:val="24"/>
                <w:szCs w:val="24"/>
              </w:rPr>
              <w:t>根据工程区气候特征及周边环境，本次选用的植物具有较强的耐寒性和耐污能力，根系发达，能有效促进污染物的吸附与降解，同时具备良好的景观美化效果。种植时应根据植物生长特性合理配置密度，保证湿地系统的长期稳定运行。</w:t>
            </w:r>
          </w:p>
          <w:p w14:paraId="12B17BF3">
            <w:pPr>
              <w:spacing w:before="37" w:line="360" w:lineRule="auto"/>
              <w:ind w:left="122" w:right="108" w:firstLine="480"/>
              <w:jc w:val="both"/>
              <w:rPr>
                <w:rFonts w:ascii="Times New Roman" w:hAnsi="Times New Roman" w:eastAsia="宋体" w:cs="宋体"/>
                <w:spacing w:val="-5"/>
                <w:sz w:val="24"/>
                <w:szCs w:val="24"/>
              </w:rPr>
            </w:pPr>
            <w:r>
              <w:rPr>
                <w:rFonts w:ascii="Times New Roman" w:hAnsi="Times New Roman" w:eastAsia="宋体" w:cs="宋体"/>
                <w:spacing w:val="-6"/>
                <w:sz w:val="24"/>
                <w:szCs w:val="24"/>
              </w:rPr>
              <w:t>种植植物采用金叶石菖蒲、鸢尾、冬青、芦竹、千屈菜、黄菖蒲。种植规格为：千屈菜种植密度50株/m</w:t>
            </w:r>
            <w:r>
              <w:rPr>
                <w:rFonts w:ascii="Times New Roman" w:hAnsi="Times New Roman" w:eastAsia="宋体" w:cs="宋体"/>
                <w:spacing w:val="-6"/>
                <w:sz w:val="24"/>
                <w:szCs w:val="24"/>
                <w:vertAlign w:val="superscript"/>
              </w:rPr>
              <w:t>2</w:t>
            </w:r>
            <w:r>
              <w:rPr>
                <w:rFonts w:ascii="Times New Roman" w:hAnsi="Times New Roman" w:eastAsia="宋体" w:cs="宋体"/>
                <w:spacing w:val="-6"/>
                <w:sz w:val="24"/>
                <w:szCs w:val="24"/>
              </w:rPr>
              <w:t>，植株高度10～20cm；鸢尾种植密度50株/m</w:t>
            </w:r>
            <w:r>
              <w:rPr>
                <w:rFonts w:ascii="Times New Roman" w:hAnsi="Times New Roman" w:eastAsia="宋体" w:cs="宋体"/>
                <w:spacing w:val="-6"/>
                <w:sz w:val="24"/>
                <w:szCs w:val="24"/>
                <w:vertAlign w:val="superscript"/>
              </w:rPr>
              <w:t>2</w:t>
            </w:r>
            <w:r>
              <w:rPr>
                <w:rFonts w:ascii="Times New Roman" w:hAnsi="Times New Roman" w:eastAsia="宋体" w:cs="宋体"/>
                <w:spacing w:val="-6"/>
                <w:sz w:val="24"/>
                <w:szCs w:val="24"/>
              </w:rPr>
              <w:t>，植株高度30</w:t>
            </w:r>
            <w:r>
              <w:rPr>
                <w:rFonts w:hint="eastAsia" w:ascii="Times New Roman" w:hAnsi="Times New Roman" w:eastAsia="宋体" w:cs="宋体"/>
                <w:spacing w:val="-6"/>
                <w:sz w:val="24"/>
                <w:szCs w:val="24"/>
                <w:lang w:eastAsia="zh-CN"/>
              </w:rPr>
              <w:t>～</w:t>
            </w:r>
            <w:r>
              <w:rPr>
                <w:rFonts w:ascii="Times New Roman" w:hAnsi="Times New Roman" w:eastAsia="宋体" w:cs="宋体"/>
                <w:spacing w:val="-6"/>
                <w:sz w:val="24"/>
                <w:szCs w:val="24"/>
              </w:rPr>
              <w:t>40cm；芦竹种植密度40株/m</w:t>
            </w:r>
            <w:r>
              <w:rPr>
                <w:rFonts w:hint="eastAsia" w:ascii="Times New Roman" w:hAnsi="Times New Roman" w:eastAsia="宋体" w:cs="宋体"/>
                <w:spacing w:val="-6"/>
                <w:sz w:val="24"/>
                <w:szCs w:val="24"/>
                <w:vertAlign w:val="superscript"/>
                <w:lang w:val="en-US" w:eastAsia="zh-CN"/>
              </w:rPr>
              <w:t>2</w:t>
            </w:r>
            <w:r>
              <w:rPr>
                <w:rFonts w:ascii="Times New Roman" w:hAnsi="Times New Roman" w:eastAsia="宋体" w:cs="宋体"/>
                <w:spacing w:val="-6"/>
                <w:sz w:val="24"/>
                <w:szCs w:val="24"/>
              </w:rPr>
              <w:t>，植株高度20～30cm；冬青种植密度80株/m</w:t>
            </w:r>
            <w:r>
              <w:rPr>
                <w:rFonts w:ascii="Times New Roman" w:hAnsi="Times New Roman" w:eastAsia="宋体" w:cs="宋体"/>
                <w:spacing w:val="-6"/>
                <w:sz w:val="24"/>
                <w:szCs w:val="24"/>
                <w:vertAlign w:val="superscript"/>
              </w:rPr>
              <w:t>2</w:t>
            </w:r>
            <w:r>
              <w:rPr>
                <w:rFonts w:ascii="Times New Roman" w:hAnsi="Times New Roman" w:eastAsia="宋体" w:cs="宋体"/>
                <w:spacing w:val="-6"/>
                <w:sz w:val="24"/>
                <w:szCs w:val="24"/>
              </w:rPr>
              <w:t>，植株高度50～60cm；黄菖蒲种植密度40株/m</w:t>
            </w:r>
            <w:r>
              <w:rPr>
                <w:rFonts w:ascii="Times New Roman" w:hAnsi="Times New Roman" w:eastAsia="宋体" w:cs="宋体"/>
                <w:spacing w:val="-6"/>
                <w:sz w:val="24"/>
                <w:szCs w:val="24"/>
                <w:vertAlign w:val="superscript"/>
              </w:rPr>
              <w:t>2</w:t>
            </w:r>
            <w:r>
              <w:rPr>
                <w:rFonts w:ascii="Times New Roman" w:hAnsi="Times New Roman" w:eastAsia="宋体" w:cs="宋体"/>
                <w:spacing w:val="-6"/>
                <w:sz w:val="24"/>
                <w:szCs w:val="24"/>
              </w:rPr>
              <w:t>，植株高度10～20cm；金叶石菖蒲种植密度60株/m</w:t>
            </w:r>
            <w:r>
              <w:rPr>
                <w:rFonts w:ascii="Times New Roman" w:hAnsi="Times New Roman" w:eastAsia="宋体" w:cs="宋体"/>
                <w:spacing w:val="-6"/>
                <w:sz w:val="24"/>
                <w:szCs w:val="24"/>
                <w:vertAlign w:val="superscript"/>
              </w:rPr>
              <w:t>2</w:t>
            </w:r>
            <w:r>
              <w:rPr>
                <w:rFonts w:ascii="Times New Roman" w:hAnsi="Times New Roman" w:eastAsia="宋体" w:cs="宋体"/>
                <w:spacing w:val="-6"/>
                <w:sz w:val="24"/>
                <w:szCs w:val="24"/>
              </w:rPr>
              <w:t>，植株高度10～20cm。</w:t>
            </w:r>
          </w:p>
          <w:p w14:paraId="250A7430">
            <w:pPr>
              <w:keepNext w:val="0"/>
              <w:keepLines w:val="0"/>
              <w:pageBreakBefore w:val="0"/>
              <w:widowControl w:val="0"/>
              <w:suppressLineNumbers w:val="0"/>
              <w:kinsoku/>
              <w:wordWrap/>
              <w:overflowPunct/>
              <w:topLinePunct w:val="0"/>
              <w:autoSpaceDE/>
              <w:autoSpaceDN/>
              <w:bidi w:val="0"/>
              <w:adjustRightInd/>
              <w:snapToGrid/>
              <w:spacing w:line="360" w:lineRule="auto"/>
              <w:ind w:firstLine="500" w:firstLineChars="200"/>
              <w:jc w:val="both"/>
              <w:textAlignment w:val="auto"/>
              <w:rPr>
                <w:rFonts w:hint="eastAsia" w:ascii="Times New Roman" w:hAnsi="Times New Roman" w:eastAsia="宋体" w:cs="宋体"/>
                <w:spacing w:val="5"/>
                <w:sz w:val="24"/>
                <w:szCs w:val="24"/>
                <w:lang w:val="en-US" w:eastAsia="zh-CN"/>
              </w:rPr>
            </w:pPr>
            <w:r>
              <w:rPr>
                <w:rFonts w:hint="eastAsia" w:ascii="Times New Roman" w:hAnsi="Times New Roman" w:eastAsia="宋体" w:cs="宋体"/>
                <w:spacing w:val="5"/>
                <w:sz w:val="24"/>
                <w:szCs w:val="24"/>
                <w:lang w:val="en-US" w:eastAsia="zh-CN"/>
              </w:rPr>
              <w:t>7）防渗层</w:t>
            </w:r>
          </w:p>
          <w:p w14:paraId="6DE72CBA">
            <w:pPr>
              <w:keepNext w:val="0"/>
              <w:keepLines w:val="0"/>
              <w:pageBreakBefore w:val="0"/>
              <w:widowControl w:val="0"/>
              <w:suppressLineNumbers w:val="0"/>
              <w:kinsoku/>
              <w:wordWrap/>
              <w:overflowPunct/>
              <w:topLinePunct w:val="0"/>
              <w:autoSpaceDE/>
              <w:autoSpaceDN/>
              <w:bidi w:val="0"/>
              <w:adjustRightInd/>
              <w:snapToGrid/>
              <w:spacing w:line="360" w:lineRule="auto"/>
              <w:ind w:firstLine="500" w:firstLineChars="200"/>
              <w:jc w:val="both"/>
              <w:textAlignment w:val="auto"/>
              <w:rPr>
                <w:rFonts w:hint="eastAsia" w:ascii="Times New Roman" w:hAnsi="Times New Roman" w:eastAsia="宋体" w:cs="宋体"/>
                <w:spacing w:val="5"/>
                <w:sz w:val="24"/>
                <w:szCs w:val="24"/>
                <w:lang w:val="en-US" w:eastAsia="zh-CN"/>
              </w:rPr>
            </w:pPr>
            <w:r>
              <w:rPr>
                <w:rFonts w:hint="eastAsia" w:ascii="Times New Roman" w:hAnsi="Times New Roman" w:eastAsia="宋体" w:cs="宋体"/>
                <w:spacing w:val="5"/>
                <w:sz w:val="24"/>
                <w:szCs w:val="24"/>
                <w:lang w:val="en-US" w:eastAsia="zh-CN"/>
              </w:rPr>
              <w:t>防渗措施采用混凝土法，边墙及底板厚度均为25cm，边墙最大高度为2.35m，均采用C30钢筋混凝土现浇。混凝土底板下部设10cm厚C15砼垫层，穿墙管、穿孔墙等部位应做局部防渗处理。池壁内外侧及底板采用2cm 厚1:2防水水泥砂浆抹面，作为防渗措施。</w:t>
            </w:r>
          </w:p>
          <w:p w14:paraId="11A1E4A5">
            <w:pPr>
              <w:keepNext w:val="0"/>
              <w:keepLines w:val="0"/>
              <w:pageBreakBefore w:val="0"/>
              <w:widowControl w:val="0"/>
              <w:suppressLineNumbers w:val="0"/>
              <w:kinsoku/>
              <w:wordWrap/>
              <w:overflowPunct/>
              <w:topLinePunct w:val="0"/>
              <w:autoSpaceDE/>
              <w:autoSpaceDN/>
              <w:bidi w:val="0"/>
              <w:adjustRightInd/>
              <w:snapToGrid/>
              <w:spacing w:line="360" w:lineRule="auto"/>
              <w:ind w:firstLine="500" w:firstLineChars="200"/>
              <w:jc w:val="both"/>
              <w:textAlignment w:val="auto"/>
              <w:rPr>
                <w:rFonts w:hint="eastAsia" w:ascii="Times New Roman" w:hAnsi="Times New Roman" w:eastAsia="宋体" w:cs="宋体"/>
                <w:spacing w:val="5"/>
                <w:sz w:val="24"/>
                <w:szCs w:val="24"/>
                <w:lang w:val="en-US" w:eastAsia="zh-CN"/>
              </w:rPr>
            </w:pPr>
            <w:r>
              <w:rPr>
                <w:rFonts w:hint="eastAsia" w:ascii="Times New Roman" w:hAnsi="Times New Roman" w:eastAsia="宋体" w:cs="宋体"/>
                <w:spacing w:val="5"/>
                <w:sz w:val="24"/>
                <w:szCs w:val="24"/>
                <w:lang w:val="en-US" w:eastAsia="zh-CN"/>
              </w:rPr>
              <w:t>防渗层下方基础层应平整、压实、无裂缝或松土，表面应无积水、石块、树根和尖锐杂物，人工湿地开挖时应保持原土层。</w:t>
            </w:r>
          </w:p>
          <w:p w14:paraId="350ACE40">
            <w:pPr>
              <w:keepNext w:val="0"/>
              <w:keepLines w:val="0"/>
              <w:pageBreakBefore w:val="0"/>
              <w:widowControl w:val="0"/>
              <w:suppressLineNumbers w:val="0"/>
              <w:kinsoku/>
              <w:wordWrap/>
              <w:overflowPunct/>
              <w:topLinePunct w:val="0"/>
              <w:autoSpaceDE/>
              <w:autoSpaceDN/>
              <w:bidi w:val="0"/>
              <w:adjustRightInd/>
              <w:snapToGrid/>
              <w:spacing w:line="360" w:lineRule="auto"/>
              <w:ind w:firstLine="500" w:firstLineChars="200"/>
              <w:jc w:val="both"/>
              <w:textAlignment w:val="auto"/>
              <w:rPr>
                <w:rFonts w:hint="eastAsia" w:ascii="Times New Roman" w:hAnsi="Times New Roman" w:eastAsia="宋体" w:cs="宋体"/>
                <w:spacing w:val="5"/>
                <w:sz w:val="24"/>
                <w:szCs w:val="24"/>
                <w:lang w:val="en-US" w:eastAsia="zh-CN"/>
              </w:rPr>
            </w:pPr>
            <w:r>
              <w:rPr>
                <w:rFonts w:hint="eastAsia" w:ascii="Times New Roman" w:hAnsi="Times New Roman" w:eastAsia="宋体" w:cs="宋体"/>
                <w:spacing w:val="5"/>
                <w:sz w:val="24"/>
                <w:szCs w:val="24"/>
                <w:lang w:val="en-US" w:eastAsia="zh-CN"/>
              </w:rPr>
              <w:t>8）管材及闸阀</w:t>
            </w:r>
          </w:p>
          <w:p w14:paraId="798F2EF4">
            <w:pPr>
              <w:keepNext w:val="0"/>
              <w:keepLines w:val="0"/>
              <w:pageBreakBefore w:val="0"/>
              <w:widowControl w:val="0"/>
              <w:suppressLineNumbers w:val="0"/>
              <w:kinsoku/>
              <w:wordWrap/>
              <w:overflowPunct/>
              <w:topLinePunct w:val="0"/>
              <w:autoSpaceDE/>
              <w:autoSpaceDN/>
              <w:bidi w:val="0"/>
              <w:adjustRightInd/>
              <w:snapToGrid/>
              <w:spacing w:line="360" w:lineRule="auto"/>
              <w:ind w:firstLine="500" w:firstLineChars="200"/>
              <w:jc w:val="both"/>
              <w:textAlignment w:val="auto"/>
              <w:rPr>
                <w:rFonts w:hint="eastAsia" w:ascii="Times New Roman" w:hAnsi="Times New Roman" w:eastAsia="宋体" w:cs="宋体"/>
                <w:spacing w:val="5"/>
                <w:sz w:val="24"/>
                <w:szCs w:val="24"/>
                <w:lang w:val="en-US" w:eastAsia="zh-CN"/>
              </w:rPr>
            </w:pPr>
            <w:r>
              <w:rPr>
                <w:rFonts w:hint="eastAsia" w:ascii="Times New Roman" w:hAnsi="Times New Roman" w:eastAsia="宋体" w:cs="宋体"/>
                <w:spacing w:val="5"/>
                <w:sz w:val="24"/>
                <w:szCs w:val="24"/>
                <w:lang w:val="en-US" w:eastAsia="zh-CN"/>
              </w:rPr>
              <w:t>本工程管道选用PE材质，阀门及闸门选用不锈钢材质。</w:t>
            </w:r>
          </w:p>
          <w:p w14:paraId="4AED9459">
            <w:pPr>
              <w:keepNext w:val="0"/>
              <w:keepLines w:val="0"/>
              <w:pageBreakBefore w:val="0"/>
              <w:widowControl w:val="0"/>
              <w:suppressLineNumbers w:val="0"/>
              <w:kinsoku/>
              <w:wordWrap/>
              <w:overflowPunct/>
              <w:topLinePunct w:val="0"/>
              <w:autoSpaceDE/>
              <w:autoSpaceDN/>
              <w:bidi w:val="0"/>
              <w:adjustRightInd/>
              <w:snapToGrid/>
              <w:spacing w:line="360" w:lineRule="auto"/>
              <w:ind w:firstLine="500" w:firstLineChars="200"/>
              <w:jc w:val="both"/>
              <w:textAlignment w:val="auto"/>
              <w:rPr>
                <w:rFonts w:hint="eastAsia" w:ascii="Times New Roman" w:hAnsi="Times New Roman" w:eastAsia="宋体" w:cs="宋体"/>
                <w:spacing w:val="5"/>
                <w:sz w:val="24"/>
                <w:szCs w:val="24"/>
                <w:lang w:val="en-US" w:eastAsia="zh-CN"/>
              </w:rPr>
            </w:pPr>
            <w:r>
              <w:rPr>
                <w:rFonts w:hint="eastAsia" w:ascii="Times New Roman" w:hAnsi="Times New Roman" w:eastAsia="宋体" w:cs="宋体"/>
                <w:spacing w:val="5"/>
                <w:sz w:val="24"/>
                <w:szCs w:val="24"/>
                <w:lang w:val="en-US" w:eastAsia="zh-CN"/>
              </w:rPr>
              <w:t>9）净化能力计算</w:t>
            </w:r>
          </w:p>
          <w:p w14:paraId="15CE78BA">
            <w:pPr>
              <w:keepNext w:val="0"/>
              <w:keepLines w:val="0"/>
              <w:pageBreakBefore w:val="0"/>
              <w:widowControl w:val="0"/>
              <w:suppressLineNumbers w:val="0"/>
              <w:kinsoku/>
              <w:wordWrap/>
              <w:overflowPunct/>
              <w:topLinePunct w:val="0"/>
              <w:autoSpaceDE/>
              <w:autoSpaceDN/>
              <w:bidi w:val="0"/>
              <w:adjustRightInd/>
              <w:snapToGrid/>
              <w:spacing w:line="360" w:lineRule="auto"/>
              <w:ind w:firstLine="500" w:firstLineChars="200"/>
              <w:jc w:val="both"/>
              <w:textAlignment w:val="auto"/>
              <w:rPr>
                <w:rFonts w:hint="eastAsia" w:ascii="Times New Roman" w:hAnsi="Times New Roman" w:eastAsia="宋体" w:cs="宋体"/>
                <w:spacing w:val="5"/>
                <w:sz w:val="24"/>
                <w:szCs w:val="24"/>
                <w:lang w:val="en-US" w:eastAsia="zh-CN"/>
              </w:rPr>
            </w:pPr>
            <w:r>
              <w:rPr>
                <w:rFonts w:hint="eastAsia" w:ascii="Times New Roman" w:hAnsi="Times New Roman" w:eastAsia="宋体" w:cs="宋体"/>
                <w:spacing w:val="5"/>
                <w:sz w:val="24"/>
                <w:szCs w:val="24"/>
                <w:lang w:val="en-US" w:eastAsia="zh-CN"/>
              </w:rPr>
              <w:t>陇县属于寒冷地区（Ⅱ区），主要设计参数参照《人工湿地水质净化技术指南》（2021年4月）表4确定，</w:t>
            </w:r>
            <w:bookmarkStart w:id="3" w:name="bookmark80"/>
            <w:bookmarkEnd w:id="3"/>
            <w:r>
              <w:rPr>
                <w:rFonts w:hint="eastAsia" w:ascii="Times New Roman" w:hAnsi="Times New Roman" w:eastAsia="宋体" w:cs="宋体"/>
                <w:spacing w:val="5"/>
                <w:sz w:val="24"/>
                <w:szCs w:val="24"/>
                <w:lang w:val="en-US" w:eastAsia="zh-CN"/>
              </w:rPr>
              <w:t>详细参数见</w:t>
            </w:r>
            <w:r>
              <w:rPr>
                <w:rFonts w:hint="eastAsia" w:ascii="Times New Roman" w:hAnsi="Times New Roman" w:eastAsia="宋体" w:cs="宋体"/>
                <w:spacing w:val="5"/>
                <w:sz w:val="24"/>
                <w:szCs w:val="24"/>
                <w:lang w:val="en-US" w:eastAsia="zh-CN"/>
              </w:rPr>
              <w:fldChar w:fldCharType="begin"/>
            </w:r>
            <w:r>
              <w:rPr>
                <w:rFonts w:hint="eastAsia" w:ascii="Times New Roman" w:hAnsi="Times New Roman" w:eastAsia="宋体" w:cs="宋体"/>
                <w:spacing w:val="5"/>
                <w:sz w:val="24"/>
                <w:szCs w:val="24"/>
                <w:lang w:val="en-US" w:eastAsia="zh-CN"/>
              </w:rPr>
              <w:instrText xml:space="preserve"> HYPERLINK \l "bookmark80" </w:instrText>
            </w:r>
            <w:r>
              <w:rPr>
                <w:rFonts w:hint="eastAsia" w:ascii="Times New Roman" w:hAnsi="Times New Roman" w:eastAsia="宋体" w:cs="宋体"/>
                <w:spacing w:val="5"/>
                <w:sz w:val="24"/>
                <w:szCs w:val="24"/>
                <w:lang w:val="en-US" w:eastAsia="zh-CN"/>
              </w:rPr>
              <w:fldChar w:fldCharType="separate"/>
            </w:r>
            <w:r>
              <w:rPr>
                <w:rFonts w:hint="eastAsia" w:ascii="Times New Roman" w:hAnsi="Times New Roman" w:eastAsia="宋体" w:cs="宋体"/>
                <w:spacing w:val="5"/>
                <w:sz w:val="24"/>
                <w:szCs w:val="24"/>
                <w:lang w:val="en-US" w:eastAsia="zh-CN"/>
              </w:rPr>
              <w:t>表2</w:t>
            </w:r>
            <w:r>
              <w:rPr>
                <w:rFonts w:hint="eastAsia" w:ascii="Times New Roman" w:hAnsi="Times New Roman" w:eastAsia="宋体" w:cs="宋体"/>
                <w:spacing w:val="5"/>
                <w:sz w:val="24"/>
                <w:szCs w:val="24"/>
                <w:lang w:val="en-US" w:eastAsia="zh-CN"/>
              </w:rPr>
              <w:fldChar w:fldCharType="end"/>
            </w:r>
            <w:r>
              <w:rPr>
                <w:rFonts w:hint="eastAsia" w:ascii="Times New Roman" w:hAnsi="Times New Roman" w:eastAsia="宋体" w:cs="宋体"/>
                <w:spacing w:val="5"/>
                <w:sz w:val="24"/>
                <w:szCs w:val="24"/>
                <w:lang w:val="en-US" w:eastAsia="zh-CN"/>
              </w:rPr>
              <w:t>-6。</w:t>
            </w:r>
          </w:p>
          <w:p w14:paraId="29BE3785">
            <w:pPr>
              <w:pStyle w:val="28"/>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w:t>
            </w:r>
            <w:r>
              <w:rPr>
                <w:rFonts w:hint="eastAsia" w:ascii="Times New Roman" w:hAnsi="Times New Roman" w:eastAsia="宋体" w:cs="Times New Roman"/>
                <w:color w:val="auto"/>
                <w:sz w:val="21"/>
                <w:szCs w:val="21"/>
                <w:lang w:val="en-US" w:eastAsia="zh-CN"/>
              </w:rPr>
              <w:t>2-6</w:t>
            </w:r>
            <w:r>
              <w:rPr>
                <w:rFonts w:hint="default" w:ascii="Times New Roman" w:hAnsi="Times New Roman" w:eastAsia="宋体" w:cs="Times New Roman"/>
                <w:color w:val="auto"/>
                <w:sz w:val="21"/>
                <w:szCs w:val="21"/>
              </w:rPr>
              <w:t xml:space="preserve">  水平潜流人工湿地主要设计参数 </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Ⅱ区）</w:t>
            </w:r>
          </w:p>
          <w:tbl>
            <w:tblPr>
              <w:tblStyle w:val="36"/>
              <w:tblW w:w="799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53"/>
              <w:gridCol w:w="2403"/>
              <w:gridCol w:w="1836"/>
            </w:tblGrid>
            <w:tr w14:paraId="73A8E1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jc w:val="center"/>
              </w:trPr>
              <w:tc>
                <w:tcPr>
                  <w:tcW w:w="3753" w:type="dxa"/>
                  <w:vAlign w:val="top"/>
                </w:tcPr>
                <w:p w14:paraId="3CC56274">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设计参数</w:t>
                  </w:r>
                </w:p>
              </w:tc>
              <w:tc>
                <w:tcPr>
                  <w:tcW w:w="2403" w:type="dxa"/>
                  <w:vAlign w:val="top"/>
                </w:tcPr>
                <w:p w14:paraId="06C5403C">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指南建议取值</w:t>
                  </w:r>
                </w:p>
              </w:tc>
              <w:tc>
                <w:tcPr>
                  <w:tcW w:w="1836" w:type="dxa"/>
                  <w:vAlign w:val="top"/>
                </w:tcPr>
                <w:p w14:paraId="5451CBE0">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本次设计取值</w:t>
                  </w:r>
                </w:p>
              </w:tc>
            </w:tr>
            <w:tr w14:paraId="56CA10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jc w:val="center"/>
              </w:trPr>
              <w:tc>
                <w:tcPr>
                  <w:tcW w:w="3753" w:type="dxa"/>
                  <w:vAlign w:val="top"/>
                </w:tcPr>
                <w:p w14:paraId="13FC4BEA">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水力停留时间，d</w:t>
                  </w:r>
                </w:p>
              </w:tc>
              <w:tc>
                <w:tcPr>
                  <w:tcW w:w="2403" w:type="dxa"/>
                  <w:vAlign w:val="top"/>
                </w:tcPr>
                <w:p w14:paraId="06C294D1">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1.0~4.0</w:t>
                  </w:r>
                </w:p>
              </w:tc>
              <w:tc>
                <w:tcPr>
                  <w:tcW w:w="1836" w:type="dxa"/>
                  <w:vAlign w:val="top"/>
                </w:tcPr>
                <w:p w14:paraId="601CA8A1">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w:t>
                  </w:r>
                </w:p>
              </w:tc>
            </w:tr>
            <w:tr w14:paraId="0D5A6C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3753" w:type="dxa"/>
                  <w:vAlign w:val="top"/>
                </w:tcPr>
                <w:p w14:paraId="4E84171F">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表面水力负荷，m</w:t>
                  </w:r>
                  <w:r>
                    <w:rPr>
                      <w:rFonts w:hint="default" w:ascii="Times New Roman" w:hAnsi="Times New Roman" w:eastAsia="宋体"/>
                      <w:color w:val="auto"/>
                      <w:sz w:val="21"/>
                      <w:szCs w:val="21"/>
                      <w:vertAlign w:val="superscript"/>
                      <w:lang w:val="en-US" w:eastAsia="zh-CN"/>
                    </w:rPr>
                    <w:t>3</w:t>
                  </w:r>
                  <w:r>
                    <w:rPr>
                      <w:rFonts w:hint="default" w:ascii="Times New Roman" w:hAnsi="Times New Roman" w:eastAsia="宋体"/>
                      <w:color w:val="auto"/>
                      <w:sz w:val="21"/>
                      <w:szCs w:val="21"/>
                      <w:vertAlign w:val="baseline"/>
                      <w:lang w:val="en-US" w:eastAsia="zh-CN"/>
                    </w:rPr>
                    <w:t>/（m</w:t>
                  </w:r>
                  <w:r>
                    <w:rPr>
                      <w:rFonts w:hint="default" w:ascii="Times New Roman" w:hAnsi="Times New Roman" w:eastAsia="宋体"/>
                      <w:color w:val="auto"/>
                      <w:sz w:val="21"/>
                      <w:szCs w:val="21"/>
                      <w:vertAlign w:val="superscript"/>
                      <w:lang w:val="en-US" w:eastAsia="zh-CN"/>
                    </w:rPr>
                    <w:t>2</w:t>
                  </w:r>
                  <w:r>
                    <w:rPr>
                      <w:rFonts w:hint="default" w:ascii="Times New Roman" w:hAnsi="Times New Roman" w:eastAsia="宋体"/>
                      <w:color w:val="auto"/>
                      <w:sz w:val="21"/>
                      <w:szCs w:val="21"/>
                      <w:vertAlign w:val="baseline"/>
                      <w:lang w:val="en-US" w:eastAsia="zh-CN"/>
                    </w:rPr>
                    <w:t>·d）</w:t>
                  </w:r>
                </w:p>
              </w:tc>
              <w:tc>
                <w:tcPr>
                  <w:tcW w:w="2403" w:type="dxa"/>
                  <w:vAlign w:val="top"/>
                </w:tcPr>
                <w:p w14:paraId="59678928">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0.2~ 1.0</w:t>
                  </w:r>
                </w:p>
              </w:tc>
              <w:tc>
                <w:tcPr>
                  <w:tcW w:w="1836" w:type="dxa"/>
                  <w:vAlign w:val="top"/>
                </w:tcPr>
                <w:p w14:paraId="501F2904">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0.6</w:t>
                  </w:r>
                </w:p>
              </w:tc>
            </w:tr>
            <w:tr w14:paraId="6B7781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jc w:val="center"/>
              </w:trPr>
              <w:tc>
                <w:tcPr>
                  <w:tcW w:w="3753" w:type="dxa"/>
                  <w:vAlign w:val="top"/>
                </w:tcPr>
                <w:p w14:paraId="5D6C1660">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化学需氧量削减负荷，g/（m</w:t>
                  </w:r>
                  <w:r>
                    <w:rPr>
                      <w:rFonts w:hint="default" w:ascii="Times New Roman" w:hAnsi="Times New Roman" w:eastAsia="宋体"/>
                      <w:color w:val="auto"/>
                      <w:sz w:val="21"/>
                      <w:szCs w:val="21"/>
                      <w:vertAlign w:val="superscript"/>
                      <w:lang w:val="en-US" w:eastAsia="zh-CN"/>
                    </w:rPr>
                    <w:t>2</w:t>
                  </w:r>
                  <w:r>
                    <w:rPr>
                      <w:rFonts w:hint="default" w:ascii="Times New Roman" w:hAnsi="Times New Roman" w:eastAsia="宋体"/>
                      <w:color w:val="auto"/>
                      <w:sz w:val="21"/>
                      <w:szCs w:val="21"/>
                      <w:vertAlign w:val="baseline"/>
                      <w:lang w:val="en-US" w:eastAsia="zh-CN"/>
                    </w:rPr>
                    <w:t>·d）</w:t>
                  </w:r>
                </w:p>
              </w:tc>
              <w:tc>
                <w:tcPr>
                  <w:tcW w:w="2403" w:type="dxa"/>
                  <w:vAlign w:val="top"/>
                </w:tcPr>
                <w:p w14:paraId="3CDA31AB">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2.0~ 12.0</w:t>
                  </w:r>
                </w:p>
              </w:tc>
              <w:tc>
                <w:tcPr>
                  <w:tcW w:w="1836" w:type="dxa"/>
                  <w:vAlign w:val="top"/>
                </w:tcPr>
                <w:p w14:paraId="42C706A0">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7.0</w:t>
                  </w:r>
                </w:p>
              </w:tc>
            </w:tr>
            <w:tr w14:paraId="6C111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3753" w:type="dxa"/>
                  <w:vAlign w:val="top"/>
                </w:tcPr>
                <w:p w14:paraId="179F67DA">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氨氮削减负荷，g/（m</w:t>
                  </w:r>
                  <w:r>
                    <w:rPr>
                      <w:rFonts w:hint="default" w:ascii="Times New Roman" w:hAnsi="Times New Roman" w:eastAsia="宋体"/>
                      <w:color w:val="auto"/>
                      <w:sz w:val="21"/>
                      <w:szCs w:val="21"/>
                      <w:vertAlign w:val="superscript"/>
                      <w:lang w:val="en-US" w:eastAsia="zh-CN"/>
                    </w:rPr>
                    <w:t>2</w:t>
                  </w:r>
                  <w:r>
                    <w:rPr>
                      <w:rFonts w:hint="default" w:ascii="Times New Roman" w:hAnsi="Times New Roman" w:eastAsia="宋体"/>
                      <w:color w:val="auto"/>
                      <w:sz w:val="21"/>
                      <w:szCs w:val="21"/>
                      <w:vertAlign w:val="baseline"/>
                      <w:lang w:val="en-US" w:eastAsia="zh-CN"/>
                    </w:rPr>
                    <w:t>·d）</w:t>
                  </w:r>
                </w:p>
              </w:tc>
              <w:tc>
                <w:tcPr>
                  <w:tcW w:w="2403" w:type="dxa"/>
                  <w:vAlign w:val="top"/>
                </w:tcPr>
                <w:p w14:paraId="6A07AE58">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1.0~2.0</w:t>
                  </w:r>
                </w:p>
              </w:tc>
              <w:tc>
                <w:tcPr>
                  <w:tcW w:w="1836" w:type="dxa"/>
                  <w:vAlign w:val="top"/>
                </w:tcPr>
                <w:p w14:paraId="53966D43">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1.5</w:t>
                  </w:r>
                </w:p>
              </w:tc>
            </w:tr>
            <w:tr w14:paraId="4545FA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3753" w:type="dxa"/>
                  <w:vAlign w:val="top"/>
                </w:tcPr>
                <w:p w14:paraId="1C0D686B">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总氮削减负荷，g/（m</w:t>
                  </w:r>
                  <w:r>
                    <w:rPr>
                      <w:rFonts w:hint="default" w:ascii="Times New Roman" w:hAnsi="Times New Roman" w:eastAsia="宋体"/>
                      <w:color w:val="auto"/>
                      <w:sz w:val="21"/>
                      <w:szCs w:val="21"/>
                      <w:vertAlign w:val="superscript"/>
                      <w:lang w:val="en-US" w:eastAsia="zh-CN"/>
                    </w:rPr>
                    <w:t>2</w:t>
                  </w:r>
                  <w:r>
                    <w:rPr>
                      <w:rFonts w:hint="default" w:ascii="Times New Roman" w:hAnsi="Times New Roman" w:eastAsia="宋体"/>
                      <w:color w:val="auto"/>
                      <w:sz w:val="21"/>
                      <w:szCs w:val="21"/>
                      <w:vertAlign w:val="baseline"/>
                      <w:lang w:val="en-US" w:eastAsia="zh-CN"/>
                    </w:rPr>
                    <w:t>·d）</w:t>
                  </w:r>
                </w:p>
              </w:tc>
              <w:tc>
                <w:tcPr>
                  <w:tcW w:w="2403" w:type="dxa"/>
                  <w:vAlign w:val="top"/>
                </w:tcPr>
                <w:p w14:paraId="4F9C3CBC">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0.8~6.0</w:t>
                  </w:r>
                </w:p>
              </w:tc>
              <w:tc>
                <w:tcPr>
                  <w:tcW w:w="1836" w:type="dxa"/>
                  <w:vAlign w:val="top"/>
                </w:tcPr>
                <w:p w14:paraId="0526D7AB">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5.0</w:t>
                  </w:r>
                </w:p>
              </w:tc>
            </w:tr>
            <w:tr w14:paraId="45E480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jc w:val="center"/>
              </w:trPr>
              <w:tc>
                <w:tcPr>
                  <w:tcW w:w="3753" w:type="dxa"/>
                  <w:vAlign w:val="top"/>
                </w:tcPr>
                <w:p w14:paraId="3E65DCBE">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总磷削减负荷，g/（m</w:t>
                  </w:r>
                  <w:r>
                    <w:rPr>
                      <w:rFonts w:hint="default" w:ascii="Times New Roman" w:hAnsi="Times New Roman" w:eastAsia="宋体"/>
                      <w:color w:val="auto"/>
                      <w:sz w:val="21"/>
                      <w:szCs w:val="21"/>
                      <w:vertAlign w:val="superscript"/>
                      <w:lang w:val="en-US" w:eastAsia="zh-CN"/>
                    </w:rPr>
                    <w:t>2</w:t>
                  </w:r>
                  <w:r>
                    <w:rPr>
                      <w:rFonts w:hint="default" w:ascii="Times New Roman" w:hAnsi="Times New Roman" w:eastAsia="宋体"/>
                      <w:color w:val="auto"/>
                      <w:sz w:val="21"/>
                      <w:szCs w:val="21"/>
                      <w:vertAlign w:val="baseline"/>
                      <w:lang w:val="en-US" w:eastAsia="zh-CN"/>
                    </w:rPr>
                    <w:t>·d）</w:t>
                  </w:r>
                </w:p>
              </w:tc>
              <w:tc>
                <w:tcPr>
                  <w:tcW w:w="2403" w:type="dxa"/>
                  <w:vAlign w:val="top"/>
                </w:tcPr>
                <w:p w14:paraId="411DA8E4">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0.03~0. 1</w:t>
                  </w:r>
                </w:p>
              </w:tc>
              <w:tc>
                <w:tcPr>
                  <w:tcW w:w="1836" w:type="dxa"/>
                  <w:vAlign w:val="top"/>
                </w:tcPr>
                <w:p w14:paraId="228C69D6">
                  <w:pPr>
                    <w:bidi w:val="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0.07</w:t>
                  </w:r>
                </w:p>
              </w:tc>
            </w:tr>
          </w:tbl>
          <w:p w14:paraId="1ED72CDB">
            <w:pPr>
              <w:keepNext w:val="0"/>
              <w:keepLines w:val="0"/>
              <w:pageBreakBefore w:val="0"/>
              <w:widowControl w:val="0"/>
              <w:suppressLineNumbers w:val="0"/>
              <w:kinsoku/>
              <w:wordWrap/>
              <w:overflowPunct/>
              <w:topLinePunct w:val="0"/>
              <w:autoSpaceDE/>
              <w:autoSpaceDN/>
              <w:bidi w:val="0"/>
              <w:adjustRightInd/>
              <w:snapToGrid/>
              <w:spacing w:line="360" w:lineRule="auto"/>
              <w:ind w:firstLine="500" w:firstLineChars="200"/>
              <w:jc w:val="both"/>
              <w:textAlignment w:val="auto"/>
              <w:rPr>
                <w:rFonts w:hint="eastAsia" w:ascii="Times New Roman" w:hAnsi="Times New Roman" w:eastAsia="宋体" w:cs="宋体"/>
                <w:spacing w:val="5"/>
                <w:sz w:val="24"/>
                <w:szCs w:val="24"/>
                <w:lang w:val="en-US" w:eastAsia="zh-CN"/>
              </w:rPr>
            </w:pPr>
            <w:r>
              <w:rPr>
                <w:rFonts w:hint="eastAsia" w:ascii="Times New Roman" w:hAnsi="Times New Roman" w:eastAsia="宋体" w:cs="宋体"/>
                <w:spacing w:val="5"/>
                <w:sz w:val="24"/>
                <w:szCs w:val="24"/>
                <w:lang w:val="en-US" w:eastAsia="zh-CN"/>
              </w:rPr>
              <w:t>人工湿地的表面积可根据化学需氧量、氨氮、总氮和总磷等主要污染物削减负荷和表面水力负荷计算，并取上述计算结果的最大值，同时应满足水力停留时间要求。</w:t>
            </w:r>
          </w:p>
          <w:p w14:paraId="489DFFBF">
            <w:pPr>
              <w:keepNext w:val="0"/>
              <w:keepLines w:val="0"/>
              <w:pageBreakBefore w:val="0"/>
              <w:widowControl w:val="0"/>
              <w:suppressLineNumbers w:val="0"/>
              <w:kinsoku/>
              <w:wordWrap/>
              <w:overflowPunct/>
              <w:topLinePunct w:val="0"/>
              <w:autoSpaceDE/>
              <w:autoSpaceDN/>
              <w:bidi w:val="0"/>
              <w:adjustRightInd/>
              <w:snapToGrid/>
              <w:spacing w:line="360" w:lineRule="auto"/>
              <w:ind w:firstLine="500" w:firstLineChars="200"/>
              <w:jc w:val="both"/>
              <w:textAlignment w:val="auto"/>
              <w:rPr>
                <w:rFonts w:hint="eastAsia" w:ascii="Times New Roman" w:hAnsi="Times New Roman" w:eastAsia="宋体" w:cs="宋体"/>
                <w:spacing w:val="5"/>
                <w:sz w:val="24"/>
                <w:szCs w:val="24"/>
                <w:lang w:val="en-US" w:eastAsia="zh-CN"/>
              </w:rPr>
            </w:pPr>
            <w:r>
              <w:rPr>
                <w:rFonts w:hint="eastAsia" w:ascii="Times New Roman" w:hAnsi="Times New Roman" w:eastAsia="宋体" w:cs="宋体"/>
                <w:spacing w:val="5"/>
                <w:sz w:val="24"/>
                <w:szCs w:val="24"/>
                <w:lang w:val="en-US" w:eastAsia="zh-CN"/>
              </w:rPr>
              <w:t>根据《人工湿地污水处理技术规范》（HJ2005-2010）中污染物去除率参照表，本工程水平潜流人工湿地COD去除率取77%，BOD</w:t>
            </w:r>
            <w:r>
              <w:rPr>
                <w:rFonts w:hint="eastAsia" w:ascii="Times New Roman" w:hAnsi="Times New Roman" w:eastAsia="宋体" w:cs="宋体"/>
                <w:spacing w:val="5"/>
                <w:sz w:val="24"/>
                <w:szCs w:val="24"/>
                <w:vertAlign w:val="subscript"/>
                <w:lang w:val="en-US" w:eastAsia="zh-CN"/>
              </w:rPr>
              <w:t>5</w:t>
            </w:r>
            <w:r>
              <w:rPr>
                <w:rFonts w:hint="eastAsia" w:ascii="Times New Roman" w:hAnsi="Times New Roman" w:eastAsia="宋体" w:cs="宋体"/>
                <w:spacing w:val="5"/>
                <w:sz w:val="24"/>
                <w:szCs w:val="24"/>
                <w:lang w:val="en-US" w:eastAsia="zh-CN"/>
              </w:rPr>
              <w:t>去除率取70%，SS去除率取66%，NH</w:t>
            </w:r>
            <w:r>
              <w:rPr>
                <w:rFonts w:hint="eastAsia" w:ascii="Times New Roman" w:hAnsi="Times New Roman" w:eastAsia="宋体" w:cs="宋体"/>
                <w:spacing w:val="5"/>
                <w:sz w:val="24"/>
                <w:szCs w:val="24"/>
                <w:vertAlign w:val="subscript"/>
                <w:lang w:val="en-US" w:eastAsia="zh-CN"/>
              </w:rPr>
              <w:t>3</w:t>
            </w:r>
            <w:r>
              <w:rPr>
                <w:rFonts w:hint="eastAsia" w:ascii="Times New Roman" w:hAnsi="Times New Roman" w:eastAsia="宋体" w:cs="宋体"/>
                <w:spacing w:val="5"/>
                <w:sz w:val="24"/>
                <w:szCs w:val="24"/>
                <w:lang w:val="en-US" w:eastAsia="zh-CN"/>
              </w:rPr>
              <w:t>-N去除率取70%，TN去除率取70%，TP去除率取50%。各人工湿地污染物削减目标见下表。</w:t>
            </w:r>
          </w:p>
          <w:p w14:paraId="32EDFAF7">
            <w:pPr>
              <w:pStyle w:val="28"/>
              <w:rPr>
                <w:rFonts w:hint="default" w:ascii="Times New Roman" w:hAnsi="Times New Roman" w:eastAsia="宋体" w:cs="Times New Roman"/>
                <w:color w:val="auto"/>
                <w:sz w:val="21"/>
                <w:szCs w:val="21"/>
              </w:rPr>
            </w:pPr>
            <w:bookmarkStart w:id="4" w:name="bookmark81"/>
            <w:bookmarkEnd w:id="4"/>
            <w:r>
              <w:rPr>
                <w:rFonts w:hint="default" w:ascii="Times New Roman" w:hAnsi="Times New Roman" w:eastAsia="宋体" w:cs="Times New Roman"/>
                <w:color w:val="auto"/>
                <w:sz w:val="21"/>
                <w:szCs w:val="21"/>
              </w:rPr>
              <w:t>表</w:t>
            </w:r>
            <w:r>
              <w:rPr>
                <w:rFonts w:hint="eastAsia" w:ascii="Times New Roman" w:hAnsi="Times New Roman" w:eastAsia="宋体" w:cs="Times New Roman"/>
                <w:color w:val="auto"/>
                <w:sz w:val="21"/>
                <w:szCs w:val="21"/>
                <w:lang w:val="en-US" w:eastAsia="zh-CN"/>
              </w:rPr>
              <w:t>2-7</w:t>
            </w:r>
            <w:r>
              <w:rPr>
                <w:rFonts w:hint="default" w:ascii="Times New Roman" w:hAnsi="Times New Roman" w:eastAsia="宋体" w:cs="Times New Roman"/>
                <w:color w:val="auto"/>
                <w:sz w:val="21"/>
                <w:szCs w:val="21"/>
              </w:rPr>
              <w:t xml:space="preserve">  污染物削减目标</w:t>
            </w:r>
          </w:p>
          <w:tbl>
            <w:tblPr>
              <w:tblStyle w:val="36"/>
              <w:tblW w:w="795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62"/>
              <w:gridCol w:w="926"/>
              <w:gridCol w:w="710"/>
              <w:gridCol w:w="831"/>
              <w:gridCol w:w="693"/>
              <w:gridCol w:w="710"/>
              <w:gridCol w:w="826"/>
              <w:gridCol w:w="697"/>
            </w:tblGrid>
            <w:tr w14:paraId="58A583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jc w:val="center"/>
              </w:trPr>
              <w:tc>
                <w:tcPr>
                  <w:tcW w:w="3488" w:type="dxa"/>
                  <w:gridSpan w:val="2"/>
                  <w:vAlign w:val="center"/>
                </w:tcPr>
                <w:p w14:paraId="6CE7B2AD">
                  <w:pPr>
                    <w:pStyle w:val="35"/>
                    <w:spacing w:before="43" w:line="240" w:lineRule="auto"/>
                    <w:jc w:val="center"/>
                    <w:rPr>
                      <w:rFonts w:ascii="Times New Roman" w:hAnsi="Times New Roman" w:eastAsia="宋体"/>
                      <w:sz w:val="21"/>
                      <w:szCs w:val="21"/>
                    </w:rPr>
                  </w:pPr>
                  <w:r>
                    <w:rPr>
                      <w:rFonts w:ascii="Times New Roman" w:hAnsi="Times New Roman" w:eastAsia="宋体"/>
                      <w:spacing w:val="-5"/>
                      <w:sz w:val="21"/>
                      <w:szCs w:val="21"/>
                    </w:rPr>
                    <w:t>指标</w:t>
                  </w:r>
                </w:p>
              </w:tc>
              <w:tc>
                <w:tcPr>
                  <w:tcW w:w="710" w:type="dxa"/>
                  <w:vAlign w:val="center"/>
                </w:tcPr>
                <w:p w14:paraId="4E5F77A2">
                  <w:pPr>
                    <w:spacing w:before="74" w:line="240" w:lineRule="auto"/>
                    <w:ind w:left="169"/>
                    <w:jc w:val="center"/>
                    <w:rPr>
                      <w:rFonts w:ascii="Times New Roman" w:hAnsi="Times New Roman" w:eastAsia="宋体" w:cs="Times New Roman"/>
                      <w:sz w:val="21"/>
                      <w:szCs w:val="21"/>
                    </w:rPr>
                  </w:pPr>
                  <w:r>
                    <w:rPr>
                      <w:rFonts w:ascii="Times New Roman" w:hAnsi="Times New Roman" w:eastAsia="宋体" w:cs="Times New Roman"/>
                      <w:spacing w:val="-3"/>
                      <w:sz w:val="21"/>
                      <w:szCs w:val="21"/>
                    </w:rPr>
                    <w:t>COD</w:t>
                  </w:r>
                </w:p>
              </w:tc>
              <w:tc>
                <w:tcPr>
                  <w:tcW w:w="831" w:type="dxa"/>
                  <w:vAlign w:val="center"/>
                </w:tcPr>
                <w:p w14:paraId="25FFDDEB">
                  <w:pPr>
                    <w:spacing w:before="63" w:line="240" w:lineRule="auto"/>
                    <w:ind w:left="161"/>
                    <w:jc w:val="center"/>
                    <w:rPr>
                      <w:rFonts w:ascii="Times New Roman" w:hAnsi="Times New Roman" w:eastAsia="宋体" w:cs="Times New Roman"/>
                      <w:sz w:val="21"/>
                      <w:szCs w:val="21"/>
                    </w:rPr>
                  </w:pPr>
                  <w:r>
                    <w:rPr>
                      <w:rFonts w:ascii="Times New Roman" w:hAnsi="Times New Roman" w:eastAsia="宋体" w:cs="Times New Roman"/>
                      <w:sz w:val="21"/>
                      <w:szCs w:val="21"/>
                    </w:rPr>
                    <w:t>BOD</w:t>
                  </w:r>
                  <w:r>
                    <w:rPr>
                      <w:rFonts w:ascii="Times New Roman" w:hAnsi="Times New Roman" w:eastAsia="宋体" w:cs="Times New Roman"/>
                      <w:spacing w:val="19"/>
                      <w:position w:val="-1"/>
                      <w:sz w:val="21"/>
                      <w:szCs w:val="21"/>
                      <w:vertAlign w:val="subscript"/>
                    </w:rPr>
                    <w:t>5</w:t>
                  </w:r>
                </w:p>
              </w:tc>
              <w:tc>
                <w:tcPr>
                  <w:tcW w:w="693" w:type="dxa"/>
                  <w:vAlign w:val="center"/>
                </w:tcPr>
                <w:p w14:paraId="4868308E">
                  <w:pPr>
                    <w:spacing w:before="74" w:line="240" w:lineRule="auto"/>
                    <w:ind w:left="255"/>
                    <w:jc w:val="center"/>
                    <w:rPr>
                      <w:rFonts w:ascii="Times New Roman" w:hAnsi="Times New Roman" w:eastAsia="宋体" w:cs="Times New Roman"/>
                      <w:sz w:val="21"/>
                      <w:szCs w:val="21"/>
                    </w:rPr>
                  </w:pPr>
                  <w:r>
                    <w:rPr>
                      <w:rFonts w:ascii="Times New Roman" w:hAnsi="Times New Roman" w:eastAsia="宋体" w:cs="Times New Roman"/>
                      <w:spacing w:val="-6"/>
                      <w:sz w:val="21"/>
                      <w:szCs w:val="21"/>
                    </w:rPr>
                    <w:t>SS</w:t>
                  </w:r>
                </w:p>
              </w:tc>
              <w:tc>
                <w:tcPr>
                  <w:tcW w:w="710" w:type="dxa"/>
                  <w:vAlign w:val="center"/>
                </w:tcPr>
                <w:p w14:paraId="4E628625">
                  <w:pPr>
                    <w:spacing w:before="76" w:line="240" w:lineRule="auto"/>
                    <w:ind w:left="238"/>
                    <w:jc w:val="center"/>
                    <w:rPr>
                      <w:rFonts w:ascii="Times New Roman" w:hAnsi="Times New Roman" w:eastAsia="宋体" w:cs="Times New Roman"/>
                      <w:sz w:val="21"/>
                      <w:szCs w:val="21"/>
                    </w:rPr>
                  </w:pPr>
                  <w:r>
                    <w:rPr>
                      <w:rFonts w:ascii="Times New Roman" w:hAnsi="Times New Roman" w:eastAsia="宋体" w:cs="Times New Roman"/>
                      <w:spacing w:val="-3"/>
                      <w:sz w:val="21"/>
                      <w:szCs w:val="21"/>
                    </w:rPr>
                    <w:t>TN</w:t>
                  </w:r>
                </w:p>
              </w:tc>
              <w:tc>
                <w:tcPr>
                  <w:tcW w:w="826" w:type="dxa"/>
                  <w:vAlign w:val="center"/>
                </w:tcPr>
                <w:p w14:paraId="3C54DEFC">
                  <w:pPr>
                    <w:spacing w:before="66" w:line="240" w:lineRule="auto"/>
                    <w:ind w:left="113"/>
                    <w:jc w:val="center"/>
                    <w:rPr>
                      <w:rFonts w:ascii="Times New Roman" w:hAnsi="Times New Roman" w:eastAsia="宋体" w:cs="Times New Roman"/>
                      <w:sz w:val="21"/>
                      <w:szCs w:val="21"/>
                    </w:rPr>
                  </w:pPr>
                  <w:r>
                    <w:rPr>
                      <w:rFonts w:ascii="Times New Roman" w:hAnsi="Times New Roman" w:eastAsia="宋体" w:cs="Times New Roman"/>
                      <w:sz w:val="21"/>
                      <w:szCs w:val="21"/>
                    </w:rPr>
                    <w:t>NH</w:t>
                  </w:r>
                  <w:r>
                    <w:rPr>
                      <w:rFonts w:ascii="Times New Roman" w:hAnsi="Times New Roman" w:eastAsia="宋体" w:cs="Times New Roman"/>
                      <w:spacing w:val="9"/>
                      <w:position w:val="-1"/>
                      <w:sz w:val="21"/>
                      <w:szCs w:val="21"/>
                    </w:rPr>
                    <w:t>3</w:t>
                  </w:r>
                  <w:r>
                    <w:rPr>
                      <w:rFonts w:ascii="Times New Roman" w:hAnsi="Times New Roman" w:eastAsia="宋体" w:cs="Times New Roman"/>
                      <w:spacing w:val="9"/>
                      <w:sz w:val="21"/>
                      <w:szCs w:val="21"/>
                    </w:rPr>
                    <w:t>-N</w:t>
                  </w:r>
                </w:p>
              </w:tc>
              <w:tc>
                <w:tcPr>
                  <w:tcW w:w="697" w:type="dxa"/>
                  <w:vAlign w:val="center"/>
                </w:tcPr>
                <w:p w14:paraId="52DB0573">
                  <w:pPr>
                    <w:spacing w:before="76" w:line="240" w:lineRule="auto"/>
                    <w:ind w:left="245"/>
                    <w:jc w:val="center"/>
                    <w:rPr>
                      <w:rFonts w:ascii="Times New Roman" w:hAnsi="Times New Roman" w:eastAsia="宋体" w:cs="Times New Roman"/>
                      <w:sz w:val="21"/>
                      <w:szCs w:val="21"/>
                    </w:rPr>
                  </w:pPr>
                  <w:r>
                    <w:rPr>
                      <w:rFonts w:ascii="Times New Roman" w:hAnsi="Times New Roman" w:eastAsia="宋体" w:cs="Times New Roman"/>
                      <w:spacing w:val="-3"/>
                      <w:sz w:val="21"/>
                      <w:szCs w:val="21"/>
                    </w:rPr>
                    <w:t>TP</w:t>
                  </w:r>
                </w:p>
              </w:tc>
            </w:tr>
            <w:tr w14:paraId="796220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jc w:val="center"/>
              </w:trPr>
              <w:tc>
                <w:tcPr>
                  <w:tcW w:w="3488" w:type="dxa"/>
                  <w:gridSpan w:val="2"/>
                  <w:vAlign w:val="center"/>
                </w:tcPr>
                <w:p w14:paraId="54B4E7B5">
                  <w:pPr>
                    <w:pStyle w:val="35"/>
                    <w:spacing w:before="27" w:line="240" w:lineRule="auto"/>
                    <w:jc w:val="center"/>
                    <w:rPr>
                      <w:rFonts w:ascii="Times New Roman" w:hAnsi="Times New Roman" w:eastAsia="宋体"/>
                      <w:sz w:val="21"/>
                      <w:szCs w:val="21"/>
                    </w:rPr>
                  </w:pPr>
                  <w:r>
                    <w:rPr>
                      <w:rFonts w:ascii="Times New Roman" w:hAnsi="Times New Roman" w:eastAsia="宋体"/>
                      <w:spacing w:val="-5"/>
                      <w:sz w:val="21"/>
                      <w:szCs w:val="21"/>
                    </w:rPr>
                    <w:t>单位</w:t>
                  </w:r>
                </w:p>
              </w:tc>
              <w:tc>
                <w:tcPr>
                  <w:tcW w:w="710" w:type="dxa"/>
                  <w:vAlign w:val="center"/>
                </w:tcPr>
                <w:p w14:paraId="1CCF1B94">
                  <w:pPr>
                    <w:spacing w:before="54" w:line="240" w:lineRule="auto"/>
                    <w:ind w:left="159"/>
                    <w:jc w:val="center"/>
                    <w:rPr>
                      <w:rFonts w:ascii="Times New Roman" w:hAnsi="Times New Roman" w:eastAsia="宋体" w:cs="Times New Roman"/>
                      <w:sz w:val="21"/>
                      <w:szCs w:val="21"/>
                    </w:rPr>
                  </w:pPr>
                  <w:r>
                    <w:rPr>
                      <w:rFonts w:ascii="Times New Roman" w:hAnsi="Times New Roman" w:eastAsia="宋体" w:cs="Times New Roman"/>
                      <w:spacing w:val="-1"/>
                      <w:sz w:val="21"/>
                      <w:szCs w:val="21"/>
                    </w:rPr>
                    <w:t>mg/L</w:t>
                  </w:r>
                </w:p>
              </w:tc>
              <w:tc>
                <w:tcPr>
                  <w:tcW w:w="831" w:type="dxa"/>
                  <w:vAlign w:val="center"/>
                </w:tcPr>
                <w:p w14:paraId="1F9E54C2">
                  <w:pPr>
                    <w:spacing w:before="54" w:line="240" w:lineRule="auto"/>
                    <w:ind w:left="219"/>
                    <w:jc w:val="center"/>
                    <w:rPr>
                      <w:rFonts w:ascii="Times New Roman" w:hAnsi="Times New Roman" w:eastAsia="宋体" w:cs="Times New Roman"/>
                      <w:sz w:val="21"/>
                      <w:szCs w:val="21"/>
                    </w:rPr>
                  </w:pPr>
                  <w:r>
                    <w:rPr>
                      <w:rFonts w:ascii="Times New Roman" w:hAnsi="Times New Roman" w:eastAsia="宋体" w:cs="Times New Roman"/>
                      <w:spacing w:val="-1"/>
                      <w:sz w:val="21"/>
                      <w:szCs w:val="21"/>
                    </w:rPr>
                    <w:t>mg/L</w:t>
                  </w:r>
                </w:p>
              </w:tc>
              <w:tc>
                <w:tcPr>
                  <w:tcW w:w="693" w:type="dxa"/>
                  <w:vAlign w:val="center"/>
                </w:tcPr>
                <w:p w14:paraId="145F6D95">
                  <w:pPr>
                    <w:spacing w:before="54" w:line="240" w:lineRule="auto"/>
                    <w:ind w:left="152"/>
                    <w:jc w:val="center"/>
                    <w:rPr>
                      <w:rFonts w:ascii="Times New Roman" w:hAnsi="Times New Roman" w:eastAsia="宋体" w:cs="Times New Roman"/>
                      <w:sz w:val="21"/>
                      <w:szCs w:val="21"/>
                    </w:rPr>
                  </w:pPr>
                  <w:r>
                    <w:rPr>
                      <w:rFonts w:ascii="Times New Roman" w:hAnsi="Times New Roman" w:eastAsia="宋体" w:cs="Times New Roman"/>
                      <w:spacing w:val="-1"/>
                      <w:sz w:val="21"/>
                      <w:szCs w:val="21"/>
                    </w:rPr>
                    <w:t>mg/L</w:t>
                  </w:r>
                </w:p>
              </w:tc>
              <w:tc>
                <w:tcPr>
                  <w:tcW w:w="710" w:type="dxa"/>
                  <w:vAlign w:val="center"/>
                </w:tcPr>
                <w:p w14:paraId="2457A12F">
                  <w:pPr>
                    <w:spacing w:before="54" w:line="240" w:lineRule="auto"/>
                    <w:ind w:left="159"/>
                    <w:jc w:val="center"/>
                    <w:rPr>
                      <w:rFonts w:ascii="Times New Roman" w:hAnsi="Times New Roman" w:eastAsia="宋体" w:cs="Times New Roman"/>
                      <w:sz w:val="21"/>
                      <w:szCs w:val="21"/>
                    </w:rPr>
                  </w:pPr>
                  <w:r>
                    <w:rPr>
                      <w:rFonts w:ascii="Times New Roman" w:hAnsi="Times New Roman" w:eastAsia="宋体" w:cs="Times New Roman"/>
                      <w:spacing w:val="-1"/>
                      <w:sz w:val="21"/>
                      <w:szCs w:val="21"/>
                    </w:rPr>
                    <w:t>mg/L</w:t>
                  </w:r>
                </w:p>
              </w:tc>
              <w:tc>
                <w:tcPr>
                  <w:tcW w:w="826" w:type="dxa"/>
                  <w:vAlign w:val="center"/>
                </w:tcPr>
                <w:p w14:paraId="41DCC598">
                  <w:pPr>
                    <w:spacing w:before="54" w:line="240" w:lineRule="auto"/>
                    <w:ind w:left="217"/>
                    <w:jc w:val="center"/>
                    <w:rPr>
                      <w:rFonts w:ascii="Times New Roman" w:hAnsi="Times New Roman" w:eastAsia="宋体" w:cs="Times New Roman"/>
                      <w:sz w:val="21"/>
                      <w:szCs w:val="21"/>
                    </w:rPr>
                  </w:pPr>
                  <w:r>
                    <w:rPr>
                      <w:rFonts w:ascii="Times New Roman" w:hAnsi="Times New Roman" w:eastAsia="宋体" w:cs="Times New Roman"/>
                      <w:spacing w:val="-1"/>
                      <w:sz w:val="21"/>
                      <w:szCs w:val="21"/>
                    </w:rPr>
                    <w:t>mg/L</w:t>
                  </w:r>
                </w:p>
              </w:tc>
              <w:tc>
                <w:tcPr>
                  <w:tcW w:w="697" w:type="dxa"/>
                  <w:vAlign w:val="center"/>
                </w:tcPr>
                <w:p w14:paraId="67614AF6">
                  <w:pPr>
                    <w:spacing w:before="54" w:line="240" w:lineRule="auto"/>
                    <w:ind w:left="152"/>
                    <w:jc w:val="center"/>
                    <w:rPr>
                      <w:rFonts w:ascii="Times New Roman" w:hAnsi="Times New Roman" w:eastAsia="宋体" w:cs="Times New Roman"/>
                      <w:sz w:val="21"/>
                      <w:szCs w:val="21"/>
                    </w:rPr>
                  </w:pPr>
                  <w:r>
                    <w:rPr>
                      <w:rFonts w:ascii="Times New Roman" w:hAnsi="Times New Roman" w:eastAsia="宋体" w:cs="Times New Roman"/>
                      <w:spacing w:val="-1"/>
                      <w:sz w:val="21"/>
                      <w:szCs w:val="21"/>
                    </w:rPr>
                    <w:t>mg/L</w:t>
                  </w:r>
                </w:p>
              </w:tc>
            </w:tr>
            <w:tr w14:paraId="0F3605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jc w:val="center"/>
              </w:trPr>
              <w:tc>
                <w:tcPr>
                  <w:tcW w:w="2562" w:type="dxa"/>
                  <w:vMerge w:val="restart"/>
                  <w:tcBorders>
                    <w:bottom w:val="nil"/>
                  </w:tcBorders>
                  <w:vAlign w:val="center"/>
                </w:tcPr>
                <w:p w14:paraId="06E97880">
                  <w:pPr>
                    <w:pStyle w:val="35"/>
                    <w:spacing w:before="154" w:line="240" w:lineRule="auto"/>
                    <w:jc w:val="center"/>
                    <w:rPr>
                      <w:rFonts w:ascii="Times New Roman" w:hAnsi="Times New Roman" w:eastAsia="宋体"/>
                      <w:sz w:val="21"/>
                      <w:szCs w:val="21"/>
                    </w:rPr>
                  </w:pPr>
                  <w:r>
                    <w:rPr>
                      <w:rFonts w:ascii="Times New Roman" w:hAnsi="Times New Roman" w:eastAsia="宋体"/>
                      <w:spacing w:val="-2"/>
                      <w:sz w:val="21"/>
                      <w:szCs w:val="21"/>
                    </w:rPr>
                    <w:t>陇县污水处理厂人工湿地</w:t>
                  </w:r>
                </w:p>
              </w:tc>
              <w:tc>
                <w:tcPr>
                  <w:tcW w:w="926" w:type="dxa"/>
                  <w:vAlign w:val="center"/>
                </w:tcPr>
                <w:p w14:paraId="087137C9">
                  <w:pPr>
                    <w:pStyle w:val="35"/>
                    <w:spacing w:before="154" w:line="240" w:lineRule="auto"/>
                    <w:jc w:val="center"/>
                    <w:rPr>
                      <w:rFonts w:ascii="Times New Roman" w:hAnsi="Times New Roman" w:eastAsia="宋体"/>
                      <w:spacing w:val="-2"/>
                      <w:sz w:val="21"/>
                      <w:szCs w:val="21"/>
                    </w:rPr>
                  </w:pPr>
                  <w:r>
                    <w:rPr>
                      <w:rFonts w:ascii="Times New Roman" w:hAnsi="Times New Roman" w:eastAsia="宋体"/>
                      <w:spacing w:val="-2"/>
                      <w:sz w:val="21"/>
                      <w:szCs w:val="21"/>
                    </w:rPr>
                    <w:t>进水水质</w:t>
                  </w:r>
                </w:p>
              </w:tc>
              <w:tc>
                <w:tcPr>
                  <w:tcW w:w="710" w:type="dxa"/>
                  <w:vAlign w:val="center"/>
                </w:tcPr>
                <w:p w14:paraId="3C9A5E58">
                  <w:pPr>
                    <w:pStyle w:val="35"/>
                    <w:spacing w:before="154" w:line="240" w:lineRule="auto"/>
                    <w:jc w:val="center"/>
                    <w:rPr>
                      <w:rFonts w:ascii="Times New Roman" w:hAnsi="Times New Roman" w:eastAsia="宋体"/>
                      <w:spacing w:val="-2"/>
                      <w:sz w:val="21"/>
                      <w:szCs w:val="21"/>
                    </w:rPr>
                  </w:pPr>
                  <w:r>
                    <w:rPr>
                      <w:rFonts w:ascii="Times New Roman" w:hAnsi="Times New Roman" w:eastAsia="宋体"/>
                      <w:spacing w:val="-2"/>
                      <w:sz w:val="21"/>
                      <w:szCs w:val="21"/>
                    </w:rPr>
                    <w:t>13.29</w:t>
                  </w:r>
                </w:p>
              </w:tc>
              <w:tc>
                <w:tcPr>
                  <w:tcW w:w="831" w:type="dxa"/>
                  <w:vAlign w:val="center"/>
                </w:tcPr>
                <w:p w14:paraId="04335099">
                  <w:pPr>
                    <w:pStyle w:val="35"/>
                    <w:spacing w:before="154" w:line="240" w:lineRule="auto"/>
                    <w:jc w:val="center"/>
                    <w:rPr>
                      <w:rFonts w:ascii="Times New Roman" w:hAnsi="Times New Roman" w:eastAsia="宋体"/>
                      <w:spacing w:val="-2"/>
                      <w:sz w:val="21"/>
                      <w:szCs w:val="21"/>
                    </w:rPr>
                  </w:pPr>
                  <w:r>
                    <w:rPr>
                      <w:rFonts w:ascii="Times New Roman" w:hAnsi="Times New Roman" w:eastAsia="宋体"/>
                      <w:spacing w:val="-2"/>
                      <w:sz w:val="21"/>
                      <w:szCs w:val="21"/>
                    </w:rPr>
                    <w:t>6</w:t>
                  </w:r>
                </w:p>
              </w:tc>
              <w:tc>
                <w:tcPr>
                  <w:tcW w:w="693" w:type="dxa"/>
                  <w:vAlign w:val="center"/>
                </w:tcPr>
                <w:p w14:paraId="63CF6D43">
                  <w:pPr>
                    <w:pStyle w:val="35"/>
                    <w:spacing w:before="154" w:line="240" w:lineRule="auto"/>
                    <w:jc w:val="center"/>
                    <w:rPr>
                      <w:rFonts w:ascii="Times New Roman" w:hAnsi="Times New Roman" w:eastAsia="宋体"/>
                      <w:spacing w:val="-2"/>
                      <w:sz w:val="21"/>
                      <w:szCs w:val="21"/>
                    </w:rPr>
                  </w:pPr>
                  <w:r>
                    <w:rPr>
                      <w:rFonts w:ascii="Times New Roman" w:hAnsi="Times New Roman" w:eastAsia="宋体"/>
                      <w:spacing w:val="-2"/>
                      <w:sz w:val="21"/>
                      <w:szCs w:val="21"/>
                    </w:rPr>
                    <w:t>10</w:t>
                  </w:r>
                </w:p>
              </w:tc>
              <w:tc>
                <w:tcPr>
                  <w:tcW w:w="710" w:type="dxa"/>
                  <w:vAlign w:val="center"/>
                </w:tcPr>
                <w:p w14:paraId="78B76DD0">
                  <w:pPr>
                    <w:pStyle w:val="35"/>
                    <w:spacing w:before="154" w:line="240" w:lineRule="auto"/>
                    <w:jc w:val="center"/>
                    <w:rPr>
                      <w:rFonts w:ascii="Times New Roman" w:hAnsi="Times New Roman" w:eastAsia="宋体"/>
                      <w:spacing w:val="-2"/>
                      <w:sz w:val="21"/>
                      <w:szCs w:val="21"/>
                    </w:rPr>
                  </w:pPr>
                  <w:r>
                    <w:rPr>
                      <w:rFonts w:ascii="Times New Roman" w:hAnsi="Times New Roman" w:eastAsia="宋体"/>
                      <w:spacing w:val="-2"/>
                      <w:sz w:val="21"/>
                      <w:szCs w:val="21"/>
                    </w:rPr>
                    <w:t>9.30</w:t>
                  </w:r>
                </w:p>
              </w:tc>
              <w:tc>
                <w:tcPr>
                  <w:tcW w:w="826" w:type="dxa"/>
                  <w:vAlign w:val="center"/>
                </w:tcPr>
                <w:p w14:paraId="000FC227">
                  <w:pPr>
                    <w:pStyle w:val="35"/>
                    <w:spacing w:before="154" w:line="240" w:lineRule="auto"/>
                    <w:jc w:val="center"/>
                    <w:rPr>
                      <w:rFonts w:ascii="Times New Roman" w:hAnsi="Times New Roman" w:eastAsia="宋体"/>
                      <w:spacing w:val="-2"/>
                      <w:sz w:val="21"/>
                      <w:szCs w:val="21"/>
                    </w:rPr>
                  </w:pPr>
                  <w:r>
                    <w:rPr>
                      <w:rFonts w:ascii="Times New Roman" w:hAnsi="Times New Roman" w:eastAsia="宋体"/>
                      <w:spacing w:val="-2"/>
                      <w:sz w:val="21"/>
                      <w:szCs w:val="21"/>
                    </w:rPr>
                    <w:t>0. 14</w:t>
                  </w:r>
                </w:p>
              </w:tc>
              <w:tc>
                <w:tcPr>
                  <w:tcW w:w="697" w:type="dxa"/>
                  <w:vAlign w:val="center"/>
                </w:tcPr>
                <w:p w14:paraId="703C5530">
                  <w:pPr>
                    <w:pStyle w:val="35"/>
                    <w:spacing w:before="154" w:line="240" w:lineRule="auto"/>
                    <w:jc w:val="center"/>
                    <w:rPr>
                      <w:rFonts w:ascii="Times New Roman" w:hAnsi="Times New Roman" w:eastAsia="宋体"/>
                      <w:spacing w:val="-2"/>
                      <w:sz w:val="21"/>
                      <w:szCs w:val="21"/>
                    </w:rPr>
                  </w:pPr>
                  <w:r>
                    <w:rPr>
                      <w:rFonts w:ascii="Times New Roman" w:hAnsi="Times New Roman" w:eastAsia="宋体"/>
                      <w:spacing w:val="-2"/>
                      <w:sz w:val="21"/>
                      <w:szCs w:val="21"/>
                    </w:rPr>
                    <w:t>0.19</w:t>
                  </w:r>
                </w:p>
              </w:tc>
            </w:tr>
            <w:tr w14:paraId="7DFD46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jc w:val="center"/>
              </w:trPr>
              <w:tc>
                <w:tcPr>
                  <w:tcW w:w="2562" w:type="dxa"/>
                  <w:vMerge w:val="continue"/>
                  <w:tcBorders>
                    <w:top w:val="nil"/>
                  </w:tcBorders>
                  <w:vAlign w:val="center"/>
                </w:tcPr>
                <w:p w14:paraId="5073C551">
                  <w:pPr>
                    <w:spacing w:line="240" w:lineRule="auto"/>
                    <w:jc w:val="center"/>
                    <w:rPr>
                      <w:rFonts w:ascii="Times New Roman" w:hAnsi="Times New Roman" w:eastAsia="宋体"/>
                      <w:sz w:val="21"/>
                      <w:szCs w:val="21"/>
                    </w:rPr>
                  </w:pPr>
                </w:p>
              </w:tc>
              <w:tc>
                <w:tcPr>
                  <w:tcW w:w="926" w:type="dxa"/>
                  <w:vAlign w:val="center"/>
                </w:tcPr>
                <w:p w14:paraId="42A0EB36">
                  <w:pPr>
                    <w:pStyle w:val="35"/>
                    <w:spacing w:before="154" w:line="240" w:lineRule="auto"/>
                    <w:jc w:val="center"/>
                    <w:rPr>
                      <w:rFonts w:ascii="Times New Roman" w:hAnsi="Times New Roman" w:eastAsia="宋体"/>
                      <w:spacing w:val="-2"/>
                      <w:sz w:val="21"/>
                      <w:szCs w:val="21"/>
                    </w:rPr>
                  </w:pPr>
                  <w:r>
                    <w:rPr>
                      <w:rFonts w:ascii="Times New Roman" w:hAnsi="Times New Roman" w:eastAsia="宋体"/>
                      <w:spacing w:val="-2"/>
                      <w:sz w:val="21"/>
                      <w:szCs w:val="21"/>
                    </w:rPr>
                    <w:t>出水水质</w:t>
                  </w:r>
                </w:p>
              </w:tc>
              <w:tc>
                <w:tcPr>
                  <w:tcW w:w="710" w:type="dxa"/>
                  <w:vAlign w:val="center"/>
                </w:tcPr>
                <w:p w14:paraId="393318DD">
                  <w:pPr>
                    <w:pStyle w:val="35"/>
                    <w:spacing w:before="154" w:line="240" w:lineRule="auto"/>
                    <w:jc w:val="center"/>
                    <w:rPr>
                      <w:rFonts w:ascii="Times New Roman" w:hAnsi="Times New Roman" w:eastAsia="宋体"/>
                      <w:spacing w:val="-2"/>
                      <w:sz w:val="21"/>
                      <w:szCs w:val="21"/>
                    </w:rPr>
                  </w:pPr>
                  <w:r>
                    <w:rPr>
                      <w:rFonts w:ascii="Times New Roman" w:hAnsi="Times New Roman" w:eastAsia="宋体"/>
                      <w:spacing w:val="-2"/>
                      <w:sz w:val="21"/>
                      <w:szCs w:val="21"/>
                    </w:rPr>
                    <w:t>3.99</w:t>
                  </w:r>
                </w:p>
              </w:tc>
              <w:tc>
                <w:tcPr>
                  <w:tcW w:w="831" w:type="dxa"/>
                  <w:vAlign w:val="center"/>
                </w:tcPr>
                <w:p w14:paraId="27CA47A2">
                  <w:pPr>
                    <w:pStyle w:val="35"/>
                    <w:spacing w:before="154" w:line="240" w:lineRule="auto"/>
                    <w:jc w:val="center"/>
                    <w:rPr>
                      <w:rFonts w:ascii="Times New Roman" w:hAnsi="Times New Roman" w:eastAsia="宋体"/>
                      <w:spacing w:val="-2"/>
                      <w:sz w:val="21"/>
                      <w:szCs w:val="21"/>
                    </w:rPr>
                  </w:pPr>
                  <w:r>
                    <w:rPr>
                      <w:rFonts w:ascii="Times New Roman" w:hAnsi="Times New Roman" w:eastAsia="宋体"/>
                      <w:spacing w:val="-2"/>
                      <w:sz w:val="21"/>
                      <w:szCs w:val="21"/>
                    </w:rPr>
                    <w:t>1.80</w:t>
                  </w:r>
                </w:p>
              </w:tc>
              <w:tc>
                <w:tcPr>
                  <w:tcW w:w="693" w:type="dxa"/>
                  <w:vAlign w:val="center"/>
                </w:tcPr>
                <w:p w14:paraId="7F9E0E58">
                  <w:pPr>
                    <w:pStyle w:val="35"/>
                    <w:spacing w:before="154" w:line="240" w:lineRule="auto"/>
                    <w:jc w:val="center"/>
                    <w:rPr>
                      <w:rFonts w:ascii="Times New Roman" w:hAnsi="Times New Roman" w:eastAsia="宋体"/>
                      <w:spacing w:val="-2"/>
                      <w:sz w:val="21"/>
                      <w:szCs w:val="21"/>
                    </w:rPr>
                  </w:pPr>
                  <w:r>
                    <w:rPr>
                      <w:rFonts w:ascii="Times New Roman" w:hAnsi="Times New Roman" w:eastAsia="宋体"/>
                      <w:spacing w:val="-2"/>
                      <w:sz w:val="21"/>
                      <w:szCs w:val="21"/>
                    </w:rPr>
                    <w:t>3.40</w:t>
                  </w:r>
                </w:p>
              </w:tc>
              <w:tc>
                <w:tcPr>
                  <w:tcW w:w="710" w:type="dxa"/>
                  <w:vAlign w:val="center"/>
                </w:tcPr>
                <w:p w14:paraId="158F793E">
                  <w:pPr>
                    <w:pStyle w:val="35"/>
                    <w:spacing w:before="154" w:line="240" w:lineRule="auto"/>
                    <w:jc w:val="center"/>
                    <w:rPr>
                      <w:rFonts w:ascii="Times New Roman" w:hAnsi="Times New Roman" w:eastAsia="宋体"/>
                      <w:spacing w:val="-2"/>
                      <w:sz w:val="21"/>
                      <w:szCs w:val="21"/>
                    </w:rPr>
                  </w:pPr>
                  <w:r>
                    <w:rPr>
                      <w:rFonts w:ascii="Times New Roman" w:hAnsi="Times New Roman" w:eastAsia="宋体"/>
                      <w:spacing w:val="-2"/>
                      <w:sz w:val="21"/>
                      <w:szCs w:val="21"/>
                    </w:rPr>
                    <w:t>2.79</w:t>
                  </w:r>
                </w:p>
              </w:tc>
              <w:tc>
                <w:tcPr>
                  <w:tcW w:w="826" w:type="dxa"/>
                  <w:vAlign w:val="center"/>
                </w:tcPr>
                <w:p w14:paraId="2C42CDDC">
                  <w:pPr>
                    <w:pStyle w:val="35"/>
                    <w:spacing w:before="154" w:line="240" w:lineRule="auto"/>
                    <w:jc w:val="center"/>
                    <w:rPr>
                      <w:rFonts w:ascii="Times New Roman" w:hAnsi="Times New Roman" w:eastAsia="宋体"/>
                      <w:spacing w:val="-2"/>
                      <w:sz w:val="21"/>
                      <w:szCs w:val="21"/>
                    </w:rPr>
                  </w:pPr>
                  <w:r>
                    <w:rPr>
                      <w:rFonts w:ascii="Times New Roman" w:hAnsi="Times New Roman" w:eastAsia="宋体"/>
                      <w:spacing w:val="-2"/>
                      <w:sz w:val="21"/>
                      <w:szCs w:val="21"/>
                    </w:rPr>
                    <w:t>0.04</w:t>
                  </w:r>
                </w:p>
              </w:tc>
              <w:tc>
                <w:tcPr>
                  <w:tcW w:w="697" w:type="dxa"/>
                  <w:vAlign w:val="center"/>
                </w:tcPr>
                <w:p w14:paraId="12769662">
                  <w:pPr>
                    <w:pStyle w:val="35"/>
                    <w:spacing w:before="154" w:line="240" w:lineRule="auto"/>
                    <w:jc w:val="center"/>
                    <w:rPr>
                      <w:rFonts w:ascii="Times New Roman" w:hAnsi="Times New Roman" w:eastAsia="宋体"/>
                      <w:spacing w:val="-2"/>
                      <w:sz w:val="21"/>
                      <w:szCs w:val="21"/>
                    </w:rPr>
                  </w:pPr>
                  <w:r>
                    <w:rPr>
                      <w:rFonts w:ascii="Times New Roman" w:hAnsi="Times New Roman" w:eastAsia="宋体"/>
                      <w:spacing w:val="-2"/>
                      <w:sz w:val="21"/>
                      <w:szCs w:val="21"/>
                    </w:rPr>
                    <w:t>0.10</w:t>
                  </w:r>
                </w:p>
              </w:tc>
            </w:tr>
            <w:tr w14:paraId="63F14D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jc w:val="center"/>
              </w:trPr>
              <w:tc>
                <w:tcPr>
                  <w:tcW w:w="2562" w:type="dxa"/>
                  <w:vMerge w:val="restart"/>
                  <w:tcBorders>
                    <w:bottom w:val="nil"/>
                  </w:tcBorders>
                  <w:vAlign w:val="center"/>
                </w:tcPr>
                <w:p w14:paraId="521E0AEE">
                  <w:pPr>
                    <w:pStyle w:val="35"/>
                    <w:spacing w:before="156" w:line="240" w:lineRule="auto"/>
                    <w:jc w:val="center"/>
                    <w:rPr>
                      <w:rFonts w:ascii="Times New Roman" w:hAnsi="Times New Roman" w:eastAsia="宋体"/>
                      <w:sz w:val="21"/>
                      <w:szCs w:val="21"/>
                    </w:rPr>
                  </w:pPr>
                  <w:r>
                    <w:rPr>
                      <w:rFonts w:ascii="Times New Roman" w:hAnsi="Times New Roman" w:eastAsia="宋体"/>
                      <w:spacing w:val="-2"/>
                      <w:sz w:val="21"/>
                      <w:szCs w:val="21"/>
                    </w:rPr>
                    <w:t>陇县千河南岸新城污水处理厂人工湿地</w:t>
                  </w:r>
                </w:p>
              </w:tc>
              <w:tc>
                <w:tcPr>
                  <w:tcW w:w="926" w:type="dxa"/>
                  <w:vAlign w:val="center"/>
                </w:tcPr>
                <w:p w14:paraId="62E06959">
                  <w:pPr>
                    <w:pStyle w:val="35"/>
                    <w:spacing w:before="154" w:line="240" w:lineRule="auto"/>
                    <w:jc w:val="center"/>
                    <w:rPr>
                      <w:rFonts w:ascii="Times New Roman" w:hAnsi="Times New Roman" w:eastAsia="宋体"/>
                      <w:spacing w:val="-2"/>
                      <w:sz w:val="21"/>
                      <w:szCs w:val="21"/>
                    </w:rPr>
                  </w:pPr>
                  <w:r>
                    <w:rPr>
                      <w:rFonts w:ascii="Times New Roman" w:hAnsi="Times New Roman" w:eastAsia="宋体"/>
                      <w:spacing w:val="-2"/>
                      <w:sz w:val="21"/>
                      <w:szCs w:val="21"/>
                    </w:rPr>
                    <w:t>进水水质</w:t>
                  </w:r>
                </w:p>
              </w:tc>
              <w:tc>
                <w:tcPr>
                  <w:tcW w:w="710" w:type="dxa"/>
                  <w:vAlign w:val="center"/>
                </w:tcPr>
                <w:p w14:paraId="4BDBE9AD">
                  <w:pPr>
                    <w:pStyle w:val="35"/>
                    <w:spacing w:before="154" w:line="240" w:lineRule="auto"/>
                    <w:jc w:val="center"/>
                    <w:rPr>
                      <w:rFonts w:ascii="Times New Roman" w:hAnsi="Times New Roman" w:eastAsia="宋体"/>
                      <w:spacing w:val="-2"/>
                      <w:sz w:val="21"/>
                      <w:szCs w:val="21"/>
                    </w:rPr>
                  </w:pPr>
                  <w:r>
                    <w:rPr>
                      <w:rFonts w:ascii="Times New Roman" w:hAnsi="Times New Roman" w:eastAsia="宋体"/>
                      <w:spacing w:val="-2"/>
                      <w:sz w:val="21"/>
                      <w:szCs w:val="21"/>
                    </w:rPr>
                    <w:t>11.53</w:t>
                  </w:r>
                </w:p>
              </w:tc>
              <w:tc>
                <w:tcPr>
                  <w:tcW w:w="831" w:type="dxa"/>
                  <w:vAlign w:val="center"/>
                </w:tcPr>
                <w:p w14:paraId="539A0DB1">
                  <w:pPr>
                    <w:pStyle w:val="35"/>
                    <w:spacing w:before="154" w:line="240" w:lineRule="auto"/>
                    <w:jc w:val="center"/>
                    <w:rPr>
                      <w:rFonts w:ascii="Times New Roman" w:hAnsi="Times New Roman" w:eastAsia="宋体"/>
                      <w:spacing w:val="-2"/>
                      <w:sz w:val="21"/>
                      <w:szCs w:val="21"/>
                    </w:rPr>
                  </w:pPr>
                  <w:r>
                    <w:rPr>
                      <w:rFonts w:ascii="Times New Roman" w:hAnsi="Times New Roman" w:eastAsia="宋体"/>
                      <w:spacing w:val="-2"/>
                      <w:sz w:val="21"/>
                      <w:szCs w:val="21"/>
                    </w:rPr>
                    <w:t>6</w:t>
                  </w:r>
                </w:p>
              </w:tc>
              <w:tc>
                <w:tcPr>
                  <w:tcW w:w="693" w:type="dxa"/>
                  <w:vAlign w:val="center"/>
                </w:tcPr>
                <w:p w14:paraId="3A312FCB">
                  <w:pPr>
                    <w:pStyle w:val="35"/>
                    <w:spacing w:before="154" w:line="240" w:lineRule="auto"/>
                    <w:jc w:val="center"/>
                    <w:rPr>
                      <w:rFonts w:ascii="Times New Roman" w:hAnsi="Times New Roman" w:eastAsia="宋体"/>
                      <w:spacing w:val="-2"/>
                      <w:sz w:val="21"/>
                      <w:szCs w:val="21"/>
                    </w:rPr>
                  </w:pPr>
                  <w:r>
                    <w:rPr>
                      <w:rFonts w:ascii="Times New Roman" w:hAnsi="Times New Roman" w:eastAsia="宋体"/>
                      <w:spacing w:val="-2"/>
                      <w:sz w:val="21"/>
                      <w:szCs w:val="21"/>
                    </w:rPr>
                    <w:t>10</w:t>
                  </w:r>
                </w:p>
              </w:tc>
              <w:tc>
                <w:tcPr>
                  <w:tcW w:w="710" w:type="dxa"/>
                  <w:vAlign w:val="center"/>
                </w:tcPr>
                <w:p w14:paraId="532C2220">
                  <w:pPr>
                    <w:pStyle w:val="35"/>
                    <w:spacing w:before="154" w:line="240" w:lineRule="auto"/>
                    <w:jc w:val="center"/>
                    <w:rPr>
                      <w:rFonts w:ascii="Times New Roman" w:hAnsi="Times New Roman" w:eastAsia="宋体"/>
                      <w:spacing w:val="-2"/>
                      <w:sz w:val="21"/>
                      <w:szCs w:val="21"/>
                    </w:rPr>
                  </w:pPr>
                  <w:r>
                    <w:rPr>
                      <w:rFonts w:ascii="Times New Roman" w:hAnsi="Times New Roman" w:eastAsia="宋体"/>
                      <w:spacing w:val="-2"/>
                      <w:sz w:val="21"/>
                      <w:szCs w:val="21"/>
                    </w:rPr>
                    <w:t>11.08</w:t>
                  </w:r>
                </w:p>
              </w:tc>
              <w:tc>
                <w:tcPr>
                  <w:tcW w:w="826" w:type="dxa"/>
                  <w:vAlign w:val="center"/>
                </w:tcPr>
                <w:p w14:paraId="3F256733">
                  <w:pPr>
                    <w:pStyle w:val="35"/>
                    <w:spacing w:before="154" w:line="240" w:lineRule="auto"/>
                    <w:jc w:val="center"/>
                    <w:rPr>
                      <w:rFonts w:ascii="Times New Roman" w:hAnsi="Times New Roman" w:eastAsia="宋体"/>
                      <w:spacing w:val="-2"/>
                      <w:sz w:val="21"/>
                      <w:szCs w:val="21"/>
                    </w:rPr>
                  </w:pPr>
                  <w:r>
                    <w:rPr>
                      <w:rFonts w:ascii="Times New Roman" w:hAnsi="Times New Roman" w:eastAsia="宋体"/>
                      <w:spacing w:val="-2"/>
                      <w:sz w:val="21"/>
                      <w:szCs w:val="21"/>
                    </w:rPr>
                    <w:t>0.54</w:t>
                  </w:r>
                </w:p>
              </w:tc>
              <w:tc>
                <w:tcPr>
                  <w:tcW w:w="697" w:type="dxa"/>
                  <w:vAlign w:val="center"/>
                </w:tcPr>
                <w:p w14:paraId="4FF37FD7">
                  <w:pPr>
                    <w:pStyle w:val="35"/>
                    <w:spacing w:before="154" w:line="240" w:lineRule="auto"/>
                    <w:jc w:val="center"/>
                    <w:rPr>
                      <w:rFonts w:ascii="Times New Roman" w:hAnsi="Times New Roman" w:eastAsia="宋体"/>
                      <w:spacing w:val="-2"/>
                      <w:sz w:val="21"/>
                      <w:szCs w:val="21"/>
                    </w:rPr>
                  </w:pPr>
                  <w:r>
                    <w:rPr>
                      <w:rFonts w:ascii="Times New Roman" w:hAnsi="Times New Roman" w:eastAsia="宋体"/>
                      <w:spacing w:val="-2"/>
                      <w:sz w:val="21"/>
                      <w:szCs w:val="21"/>
                    </w:rPr>
                    <w:t>0.17</w:t>
                  </w:r>
                </w:p>
              </w:tc>
            </w:tr>
            <w:tr w14:paraId="4134CD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1" w:hRule="atLeast"/>
                <w:jc w:val="center"/>
              </w:trPr>
              <w:tc>
                <w:tcPr>
                  <w:tcW w:w="2562" w:type="dxa"/>
                  <w:vMerge w:val="continue"/>
                  <w:tcBorders>
                    <w:top w:val="nil"/>
                  </w:tcBorders>
                  <w:vAlign w:val="center"/>
                </w:tcPr>
                <w:p w14:paraId="36DEECCC">
                  <w:pPr>
                    <w:spacing w:line="240" w:lineRule="auto"/>
                    <w:jc w:val="center"/>
                    <w:rPr>
                      <w:rFonts w:ascii="Times New Roman" w:hAnsi="Times New Roman" w:eastAsia="宋体"/>
                      <w:sz w:val="21"/>
                      <w:szCs w:val="21"/>
                    </w:rPr>
                  </w:pPr>
                </w:p>
              </w:tc>
              <w:tc>
                <w:tcPr>
                  <w:tcW w:w="926" w:type="dxa"/>
                  <w:vAlign w:val="center"/>
                </w:tcPr>
                <w:p w14:paraId="2F4EF834">
                  <w:pPr>
                    <w:pStyle w:val="35"/>
                    <w:spacing w:before="154" w:line="240" w:lineRule="auto"/>
                    <w:jc w:val="center"/>
                    <w:rPr>
                      <w:rFonts w:ascii="Times New Roman" w:hAnsi="Times New Roman" w:eastAsia="宋体"/>
                      <w:spacing w:val="-2"/>
                      <w:sz w:val="21"/>
                      <w:szCs w:val="21"/>
                    </w:rPr>
                  </w:pPr>
                  <w:r>
                    <w:rPr>
                      <w:rFonts w:ascii="Times New Roman" w:hAnsi="Times New Roman" w:eastAsia="宋体"/>
                      <w:spacing w:val="-2"/>
                      <w:sz w:val="21"/>
                      <w:szCs w:val="21"/>
                    </w:rPr>
                    <w:t>出水水质</w:t>
                  </w:r>
                </w:p>
              </w:tc>
              <w:tc>
                <w:tcPr>
                  <w:tcW w:w="710" w:type="dxa"/>
                  <w:vAlign w:val="center"/>
                </w:tcPr>
                <w:p w14:paraId="6808B5B2">
                  <w:pPr>
                    <w:pStyle w:val="35"/>
                    <w:spacing w:before="154" w:line="240" w:lineRule="auto"/>
                    <w:jc w:val="center"/>
                    <w:rPr>
                      <w:rFonts w:ascii="Times New Roman" w:hAnsi="Times New Roman" w:eastAsia="宋体"/>
                      <w:spacing w:val="-2"/>
                      <w:sz w:val="21"/>
                      <w:szCs w:val="21"/>
                    </w:rPr>
                  </w:pPr>
                  <w:r>
                    <w:rPr>
                      <w:rFonts w:ascii="Times New Roman" w:hAnsi="Times New Roman" w:eastAsia="宋体"/>
                      <w:spacing w:val="-2"/>
                      <w:sz w:val="21"/>
                      <w:szCs w:val="21"/>
                    </w:rPr>
                    <w:t>3.46</w:t>
                  </w:r>
                </w:p>
              </w:tc>
              <w:tc>
                <w:tcPr>
                  <w:tcW w:w="831" w:type="dxa"/>
                  <w:vAlign w:val="center"/>
                </w:tcPr>
                <w:p w14:paraId="713E2987">
                  <w:pPr>
                    <w:pStyle w:val="35"/>
                    <w:spacing w:before="154" w:line="240" w:lineRule="auto"/>
                    <w:jc w:val="center"/>
                    <w:rPr>
                      <w:rFonts w:ascii="Times New Roman" w:hAnsi="Times New Roman" w:eastAsia="宋体"/>
                      <w:spacing w:val="-2"/>
                      <w:sz w:val="21"/>
                      <w:szCs w:val="21"/>
                    </w:rPr>
                  </w:pPr>
                  <w:r>
                    <w:rPr>
                      <w:rFonts w:ascii="Times New Roman" w:hAnsi="Times New Roman" w:eastAsia="宋体"/>
                      <w:spacing w:val="-2"/>
                      <w:sz w:val="21"/>
                      <w:szCs w:val="21"/>
                    </w:rPr>
                    <w:t>1.80</w:t>
                  </w:r>
                </w:p>
              </w:tc>
              <w:tc>
                <w:tcPr>
                  <w:tcW w:w="693" w:type="dxa"/>
                  <w:vAlign w:val="center"/>
                </w:tcPr>
                <w:p w14:paraId="364EF5E3">
                  <w:pPr>
                    <w:pStyle w:val="35"/>
                    <w:spacing w:before="154" w:line="240" w:lineRule="auto"/>
                    <w:jc w:val="center"/>
                    <w:rPr>
                      <w:rFonts w:ascii="Times New Roman" w:hAnsi="Times New Roman" w:eastAsia="宋体"/>
                      <w:spacing w:val="-2"/>
                      <w:sz w:val="21"/>
                      <w:szCs w:val="21"/>
                    </w:rPr>
                  </w:pPr>
                  <w:r>
                    <w:rPr>
                      <w:rFonts w:ascii="Times New Roman" w:hAnsi="Times New Roman" w:eastAsia="宋体"/>
                      <w:spacing w:val="-2"/>
                      <w:sz w:val="21"/>
                      <w:szCs w:val="21"/>
                    </w:rPr>
                    <w:t>3.40</w:t>
                  </w:r>
                </w:p>
              </w:tc>
              <w:tc>
                <w:tcPr>
                  <w:tcW w:w="710" w:type="dxa"/>
                  <w:vAlign w:val="center"/>
                </w:tcPr>
                <w:p w14:paraId="4E186B17">
                  <w:pPr>
                    <w:pStyle w:val="35"/>
                    <w:spacing w:before="154" w:line="240" w:lineRule="auto"/>
                    <w:jc w:val="center"/>
                    <w:rPr>
                      <w:rFonts w:ascii="Times New Roman" w:hAnsi="Times New Roman" w:eastAsia="宋体"/>
                      <w:spacing w:val="-2"/>
                      <w:sz w:val="21"/>
                      <w:szCs w:val="21"/>
                    </w:rPr>
                  </w:pPr>
                  <w:r>
                    <w:rPr>
                      <w:rFonts w:ascii="Times New Roman" w:hAnsi="Times New Roman" w:eastAsia="宋体"/>
                      <w:spacing w:val="-2"/>
                      <w:sz w:val="21"/>
                      <w:szCs w:val="21"/>
                    </w:rPr>
                    <w:t>3.32</w:t>
                  </w:r>
                </w:p>
              </w:tc>
              <w:tc>
                <w:tcPr>
                  <w:tcW w:w="826" w:type="dxa"/>
                  <w:vAlign w:val="center"/>
                </w:tcPr>
                <w:p w14:paraId="2ACC8DD2">
                  <w:pPr>
                    <w:pStyle w:val="35"/>
                    <w:spacing w:before="154" w:line="240" w:lineRule="auto"/>
                    <w:jc w:val="center"/>
                    <w:rPr>
                      <w:rFonts w:ascii="Times New Roman" w:hAnsi="Times New Roman" w:eastAsia="宋体"/>
                      <w:spacing w:val="-2"/>
                      <w:sz w:val="21"/>
                      <w:szCs w:val="21"/>
                    </w:rPr>
                  </w:pPr>
                  <w:r>
                    <w:rPr>
                      <w:rFonts w:ascii="Times New Roman" w:hAnsi="Times New Roman" w:eastAsia="宋体"/>
                      <w:spacing w:val="-2"/>
                      <w:sz w:val="21"/>
                      <w:szCs w:val="21"/>
                    </w:rPr>
                    <w:t>0.16</w:t>
                  </w:r>
                </w:p>
              </w:tc>
              <w:tc>
                <w:tcPr>
                  <w:tcW w:w="697" w:type="dxa"/>
                  <w:vAlign w:val="center"/>
                </w:tcPr>
                <w:p w14:paraId="5E3F0E59">
                  <w:pPr>
                    <w:pStyle w:val="35"/>
                    <w:spacing w:before="154" w:line="240" w:lineRule="auto"/>
                    <w:jc w:val="center"/>
                    <w:rPr>
                      <w:rFonts w:ascii="Times New Roman" w:hAnsi="Times New Roman" w:eastAsia="宋体"/>
                      <w:spacing w:val="-2"/>
                      <w:sz w:val="21"/>
                      <w:szCs w:val="21"/>
                    </w:rPr>
                  </w:pPr>
                  <w:r>
                    <w:rPr>
                      <w:rFonts w:ascii="Times New Roman" w:hAnsi="Times New Roman" w:eastAsia="宋体"/>
                      <w:spacing w:val="-2"/>
                      <w:sz w:val="21"/>
                      <w:szCs w:val="21"/>
                    </w:rPr>
                    <w:t>0.09</w:t>
                  </w:r>
                </w:p>
              </w:tc>
            </w:tr>
          </w:tbl>
          <w:p w14:paraId="0D4A7449">
            <w:pPr>
              <w:spacing w:before="35" w:line="219" w:lineRule="auto"/>
              <w:ind w:left="614"/>
              <w:rPr>
                <w:rFonts w:ascii="Times New Roman" w:hAnsi="Times New Roman" w:eastAsia="宋体" w:cs="宋体"/>
                <w:sz w:val="24"/>
                <w:szCs w:val="24"/>
              </w:rPr>
            </w:pPr>
            <w:r>
              <w:rPr>
                <w:rFonts w:hint="default" w:ascii="Times New Roman" w:hAnsi="Times New Roman" w:eastAsia="宋体" w:cs="Calibri"/>
                <w:spacing w:val="-3"/>
                <w:sz w:val="24"/>
                <w:szCs w:val="24"/>
              </w:rPr>
              <w:t>①</w:t>
            </w:r>
            <w:r>
              <w:rPr>
                <w:rFonts w:ascii="Times New Roman" w:hAnsi="Times New Roman" w:eastAsia="宋体" w:cs="宋体"/>
                <w:spacing w:val="-3"/>
                <w:sz w:val="24"/>
                <w:szCs w:val="24"/>
              </w:rPr>
              <w:t>净水能力计算</w:t>
            </w:r>
          </w:p>
          <w:p w14:paraId="70FF39CC">
            <w:pPr>
              <w:spacing w:before="181" w:line="358" w:lineRule="auto"/>
              <w:ind w:left="124" w:right="109" w:firstLine="493"/>
              <w:rPr>
                <w:rFonts w:ascii="Times New Roman" w:hAnsi="Times New Roman" w:eastAsia="宋体" w:cs="宋体"/>
                <w:sz w:val="24"/>
                <w:szCs w:val="24"/>
              </w:rPr>
            </w:pPr>
            <w:r>
              <w:rPr>
                <w:rFonts w:ascii="Times New Roman" w:hAnsi="Times New Roman" w:eastAsia="宋体" w:cs="宋体"/>
                <w:spacing w:val="1"/>
                <w:sz w:val="24"/>
                <w:szCs w:val="24"/>
              </w:rPr>
              <w:t>陇县污水处理厂人工湿地水生植物表面积</w:t>
            </w:r>
            <w:r>
              <w:rPr>
                <w:rFonts w:ascii="Times New Roman" w:hAnsi="Times New Roman" w:eastAsia="宋体" w:cs="宋体"/>
                <w:spacing w:val="-47"/>
                <w:sz w:val="24"/>
                <w:szCs w:val="24"/>
              </w:rPr>
              <w:t xml:space="preserve"> </w:t>
            </w:r>
            <w:r>
              <w:rPr>
                <w:rFonts w:ascii="Times New Roman" w:hAnsi="Times New Roman" w:eastAsia="宋体" w:cs="Times New Roman"/>
                <w:spacing w:val="1"/>
                <w:sz w:val="24"/>
                <w:szCs w:val="24"/>
              </w:rPr>
              <w:t>7305m</w:t>
            </w:r>
            <w:r>
              <w:rPr>
                <w:rFonts w:ascii="Times New Roman" w:hAnsi="Times New Roman" w:eastAsia="宋体" w:cs="Times New Roman"/>
                <w:spacing w:val="1"/>
                <w:position w:val="8"/>
                <w:sz w:val="15"/>
                <w:szCs w:val="15"/>
              </w:rPr>
              <w:t>2</w:t>
            </w:r>
            <w:r>
              <w:rPr>
                <w:rFonts w:ascii="Times New Roman" w:hAnsi="Times New Roman" w:eastAsia="宋体" w:cs="宋体"/>
                <w:spacing w:val="1"/>
                <w:sz w:val="24"/>
                <w:szCs w:val="24"/>
              </w:rPr>
              <w:t>，陇县千河南</w:t>
            </w:r>
            <w:r>
              <w:rPr>
                <w:rFonts w:ascii="Times New Roman" w:hAnsi="Times New Roman" w:eastAsia="宋体" w:cs="宋体"/>
                <w:sz w:val="24"/>
                <w:szCs w:val="24"/>
              </w:rPr>
              <w:t>岸新城污水处理厂</w:t>
            </w:r>
            <w:r>
              <w:rPr>
                <w:rFonts w:ascii="Times New Roman" w:hAnsi="Times New Roman" w:eastAsia="宋体" w:cs="宋体"/>
                <w:spacing w:val="1"/>
                <w:sz w:val="24"/>
                <w:szCs w:val="24"/>
              </w:rPr>
              <w:t>人工湿地水生植物表面积</w:t>
            </w:r>
            <w:r>
              <w:rPr>
                <w:rFonts w:ascii="Times New Roman" w:hAnsi="Times New Roman" w:eastAsia="宋体" w:cs="宋体"/>
                <w:spacing w:val="-48"/>
                <w:sz w:val="24"/>
                <w:szCs w:val="24"/>
              </w:rPr>
              <w:t xml:space="preserve"> </w:t>
            </w:r>
            <w:r>
              <w:rPr>
                <w:rFonts w:ascii="Times New Roman" w:hAnsi="Times New Roman" w:eastAsia="宋体" w:cs="Times New Roman"/>
                <w:spacing w:val="1"/>
                <w:sz w:val="24"/>
                <w:szCs w:val="24"/>
              </w:rPr>
              <w:t>5925m</w:t>
            </w:r>
            <w:r>
              <w:rPr>
                <w:rFonts w:ascii="Times New Roman" w:hAnsi="Times New Roman" w:eastAsia="宋体" w:cs="Times New Roman"/>
                <w:spacing w:val="1"/>
                <w:position w:val="8"/>
                <w:sz w:val="15"/>
                <w:szCs w:val="15"/>
              </w:rPr>
              <w:t>2</w:t>
            </w:r>
            <w:r>
              <w:rPr>
                <w:rFonts w:ascii="Times New Roman" w:hAnsi="Times New Roman" w:eastAsia="宋体" w:cs="宋体"/>
                <w:spacing w:val="1"/>
                <w:sz w:val="24"/>
                <w:szCs w:val="24"/>
              </w:rPr>
              <w:t>。采用技术</w:t>
            </w:r>
            <w:r>
              <w:rPr>
                <w:rFonts w:ascii="Times New Roman" w:hAnsi="Times New Roman" w:eastAsia="宋体" w:cs="宋体"/>
                <w:sz w:val="24"/>
                <w:szCs w:val="24"/>
              </w:rPr>
              <w:t>指南中污染物削减负荷（</w:t>
            </w:r>
            <w:r>
              <w:rPr>
                <w:rFonts w:ascii="Times New Roman" w:hAnsi="Times New Roman" w:eastAsia="宋体" w:cs="Cambria Math"/>
                <w:sz w:val="24"/>
                <w:szCs w:val="24"/>
              </w:rPr>
              <w:t>N</w:t>
            </w:r>
            <w:r>
              <w:rPr>
                <w:rFonts w:ascii="Times New Roman" w:hAnsi="Times New Roman" w:eastAsia="宋体" w:cs="Cambria Math"/>
                <w:sz w:val="16"/>
                <w:szCs w:val="16"/>
              </w:rPr>
              <w:t>A</w:t>
            </w:r>
            <w:r>
              <w:rPr>
                <w:rFonts w:ascii="Times New Roman" w:hAnsi="Times New Roman" w:eastAsia="宋体" w:cs="宋体"/>
                <w:sz w:val="24"/>
                <w:szCs w:val="24"/>
              </w:rPr>
              <w:t>）计算公式反</w:t>
            </w:r>
            <w:r>
              <w:rPr>
                <w:rFonts w:ascii="Times New Roman" w:hAnsi="Times New Roman" w:eastAsia="宋体" w:cs="宋体"/>
                <w:spacing w:val="-2"/>
                <w:sz w:val="24"/>
                <w:szCs w:val="24"/>
              </w:rPr>
              <w:t>算各人工湿地净水能力：</w:t>
            </w:r>
          </w:p>
          <w:p w14:paraId="27C19D0D">
            <w:pPr>
              <w:spacing w:line="561" w:lineRule="exact"/>
              <w:ind w:left="3916"/>
              <w:rPr>
                <w:rFonts w:ascii="Times New Roman" w:hAnsi="Times New Roman" w:eastAsia="宋体"/>
              </w:rPr>
            </w:pPr>
            <w:r>
              <w:rPr>
                <w:rFonts w:ascii="Times New Roman" w:hAnsi="Times New Roman" w:eastAsia="宋体"/>
                <w:position w:val="-11"/>
              </w:rPr>
              <w:drawing>
                <wp:inline distT="0" distB="0" distL="0" distR="0">
                  <wp:extent cx="935355" cy="302895"/>
                  <wp:effectExtent l="0" t="0" r="17145" b="1905"/>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5"/>
                          <a:stretch>
                            <a:fillRect/>
                          </a:stretch>
                        </pic:blipFill>
                        <pic:spPr>
                          <a:xfrm>
                            <a:off x="0" y="0"/>
                            <a:ext cx="935430" cy="302895"/>
                          </a:xfrm>
                          <a:prstGeom prst="rect">
                            <a:avLst/>
                          </a:prstGeom>
                        </pic:spPr>
                      </pic:pic>
                    </a:graphicData>
                  </a:graphic>
                </wp:inline>
              </w:drawing>
            </w:r>
          </w:p>
          <w:p w14:paraId="3504DC9C">
            <w:pPr>
              <w:spacing w:before="178" w:line="220" w:lineRule="auto"/>
              <w:ind w:left="127"/>
              <w:rPr>
                <w:rFonts w:ascii="Times New Roman" w:hAnsi="Times New Roman" w:eastAsia="宋体" w:cs="宋体"/>
                <w:sz w:val="24"/>
                <w:szCs w:val="24"/>
              </w:rPr>
            </w:pPr>
            <w:r>
              <w:rPr>
                <w:rFonts w:ascii="Times New Roman" w:hAnsi="Times New Roman" w:eastAsia="宋体" w:cs="宋体"/>
                <w:spacing w:val="-5"/>
                <w:sz w:val="24"/>
                <w:szCs w:val="24"/>
              </w:rPr>
              <w:t>式中：</w:t>
            </w:r>
          </w:p>
          <w:p w14:paraId="6B06A641">
            <w:pPr>
              <w:spacing w:before="180" w:line="220" w:lineRule="auto"/>
              <w:ind w:left="592"/>
              <w:rPr>
                <w:rFonts w:ascii="Times New Roman" w:hAnsi="Times New Roman" w:eastAsia="宋体" w:cs="宋体"/>
                <w:sz w:val="24"/>
                <w:szCs w:val="24"/>
              </w:rPr>
            </w:pPr>
            <w:r>
              <w:rPr>
                <w:rFonts w:ascii="Times New Roman" w:hAnsi="Times New Roman" w:eastAsia="宋体" w:cs="Cambria Math"/>
                <w:sz w:val="24"/>
                <w:szCs w:val="24"/>
              </w:rPr>
              <w:t>A</w:t>
            </w:r>
            <w:r>
              <w:rPr>
                <w:rFonts w:ascii="Times New Roman" w:hAnsi="Times New Roman" w:eastAsia="宋体" w:cs="宋体"/>
                <w:sz w:val="24"/>
                <w:szCs w:val="24"/>
              </w:rPr>
              <w:t>——表面积，</w:t>
            </w:r>
            <w:r>
              <w:rPr>
                <w:rFonts w:ascii="Times New Roman" w:hAnsi="Times New Roman" w:eastAsia="宋体" w:cs="Times New Roman"/>
                <w:sz w:val="24"/>
                <w:szCs w:val="24"/>
              </w:rPr>
              <w:t>m</w:t>
            </w:r>
            <w:r>
              <w:rPr>
                <w:rFonts w:ascii="Times New Roman" w:hAnsi="Times New Roman" w:eastAsia="宋体" w:cs="Times New Roman"/>
                <w:position w:val="7"/>
                <w:sz w:val="15"/>
                <w:szCs w:val="15"/>
              </w:rPr>
              <w:t>2</w:t>
            </w:r>
            <w:r>
              <w:rPr>
                <w:rFonts w:ascii="Times New Roman" w:hAnsi="Times New Roman" w:eastAsia="宋体" w:cs="宋体"/>
                <w:sz w:val="24"/>
                <w:szCs w:val="24"/>
              </w:rPr>
              <w:t>；</w:t>
            </w:r>
          </w:p>
          <w:p w14:paraId="09285888">
            <w:pPr>
              <w:spacing w:before="182" w:line="210" w:lineRule="auto"/>
              <w:ind w:left="599"/>
              <w:rPr>
                <w:rFonts w:ascii="Times New Roman" w:hAnsi="Times New Roman" w:eastAsia="宋体" w:cs="宋体"/>
                <w:sz w:val="24"/>
                <w:szCs w:val="24"/>
              </w:rPr>
            </w:pPr>
            <w:r>
              <w:rPr>
                <w:rFonts w:ascii="Times New Roman" w:hAnsi="Times New Roman" w:eastAsia="宋体" w:cs="Cambria Math"/>
                <w:sz w:val="24"/>
                <w:szCs w:val="24"/>
              </w:rPr>
              <w:t>N</w:t>
            </w:r>
            <w:r>
              <w:rPr>
                <w:rFonts w:ascii="Times New Roman" w:hAnsi="Times New Roman" w:eastAsia="宋体" w:cs="Cambria Math"/>
                <w:position w:val="-4"/>
                <w:sz w:val="16"/>
                <w:szCs w:val="16"/>
              </w:rPr>
              <w:t>A</w:t>
            </w:r>
            <w:r>
              <w:rPr>
                <w:rFonts w:ascii="Times New Roman" w:hAnsi="Times New Roman" w:eastAsia="宋体" w:cs="宋体"/>
                <w:sz w:val="24"/>
                <w:szCs w:val="24"/>
              </w:rPr>
              <w:t>——污染物削减负荷（以化学需氧量、氨氮、总氮和总磷计</w:t>
            </w:r>
            <w:r>
              <w:rPr>
                <w:rFonts w:ascii="Times New Roman" w:hAnsi="Times New Roman" w:eastAsia="宋体" w:cs="宋体"/>
                <w:spacing w:val="5"/>
                <w:sz w:val="24"/>
                <w:szCs w:val="24"/>
              </w:rPr>
              <w:t>），</w:t>
            </w:r>
            <w:r>
              <w:rPr>
                <w:rFonts w:ascii="Times New Roman" w:hAnsi="Times New Roman" w:eastAsia="宋体" w:cs="Times New Roman"/>
                <w:sz w:val="24"/>
                <w:szCs w:val="24"/>
              </w:rPr>
              <w:t>g/</w:t>
            </w:r>
            <w:r>
              <w:rPr>
                <w:rFonts w:ascii="Times New Roman" w:hAnsi="Times New Roman" w:eastAsia="宋体" w:cs="宋体"/>
                <w:sz w:val="24"/>
                <w:szCs w:val="24"/>
              </w:rPr>
              <w:t>（</w:t>
            </w:r>
            <w:r>
              <w:rPr>
                <w:rFonts w:ascii="Times New Roman" w:hAnsi="Times New Roman" w:eastAsia="宋体" w:cs="Times New Roman"/>
                <w:sz w:val="24"/>
                <w:szCs w:val="24"/>
              </w:rPr>
              <w:t>m</w:t>
            </w:r>
            <w:r>
              <w:rPr>
                <w:rFonts w:ascii="Times New Roman" w:hAnsi="Times New Roman" w:eastAsia="宋体" w:cs="Times New Roman"/>
                <w:position w:val="8"/>
                <w:sz w:val="15"/>
                <w:szCs w:val="15"/>
              </w:rPr>
              <w:t>2</w:t>
            </w:r>
            <w:r>
              <w:rPr>
                <w:rFonts w:ascii="Times New Roman" w:hAnsi="Times New Roman" w:eastAsia="宋体" w:cs="Times New Roman"/>
                <w:sz w:val="24"/>
                <w:szCs w:val="24"/>
              </w:rPr>
              <w:t>·d</w:t>
            </w:r>
            <w:r>
              <w:rPr>
                <w:rFonts w:ascii="Times New Roman" w:hAnsi="Times New Roman" w:eastAsia="宋体" w:cs="宋体"/>
                <w:spacing w:val="5"/>
                <w:sz w:val="24"/>
                <w:szCs w:val="24"/>
              </w:rPr>
              <w:t>）；</w:t>
            </w:r>
          </w:p>
          <w:p w14:paraId="0AA6F0EA">
            <w:pPr>
              <w:spacing w:before="187" w:line="210" w:lineRule="auto"/>
              <w:ind w:left="609"/>
              <w:rPr>
                <w:rFonts w:ascii="Times New Roman" w:hAnsi="Times New Roman" w:eastAsia="宋体" w:cs="宋体"/>
                <w:sz w:val="24"/>
                <w:szCs w:val="24"/>
              </w:rPr>
            </w:pPr>
            <w:r>
              <w:rPr>
                <w:rFonts w:ascii="Times New Roman" w:hAnsi="Times New Roman" w:eastAsia="宋体" w:cs="Cambria Math"/>
                <w:spacing w:val="-1"/>
                <w:sz w:val="24"/>
                <w:szCs w:val="24"/>
              </w:rPr>
              <w:t>Q</w:t>
            </w:r>
            <w:r>
              <w:rPr>
                <w:rFonts w:ascii="Times New Roman" w:hAnsi="Times New Roman" w:eastAsia="宋体" w:cs="宋体"/>
                <w:spacing w:val="-1"/>
                <w:sz w:val="24"/>
                <w:szCs w:val="24"/>
              </w:rPr>
              <w:t>——设计流量，</w:t>
            </w:r>
            <w:r>
              <w:rPr>
                <w:rFonts w:ascii="Times New Roman" w:hAnsi="Times New Roman" w:eastAsia="宋体" w:cs="Times New Roman"/>
                <w:spacing w:val="-1"/>
                <w:sz w:val="24"/>
                <w:szCs w:val="24"/>
              </w:rPr>
              <w:t>m</w:t>
            </w:r>
            <w:r>
              <w:rPr>
                <w:rFonts w:ascii="Times New Roman" w:hAnsi="Times New Roman" w:eastAsia="宋体" w:cs="Times New Roman"/>
                <w:spacing w:val="-1"/>
                <w:position w:val="7"/>
                <w:sz w:val="15"/>
                <w:szCs w:val="15"/>
              </w:rPr>
              <w:t>3</w:t>
            </w:r>
            <w:r>
              <w:rPr>
                <w:rFonts w:ascii="Times New Roman" w:hAnsi="Times New Roman" w:eastAsia="宋体" w:cs="Times New Roman"/>
                <w:spacing w:val="-1"/>
                <w:sz w:val="24"/>
                <w:szCs w:val="24"/>
              </w:rPr>
              <w:t>/d</w:t>
            </w:r>
            <w:r>
              <w:rPr>
                <w:rFonts w:ascii="Times New Roman" w:hAnsi="Times New Roman" w:eastAsia="宋体" w:cs="宋体"/>
                <w:spacing w:val="-1"/>
                <w:sz w:val="24"/>
                <w:szCs w:val="24"/>
              </w:rPr>
              <w:t>；</w:t>
            </w:r>
          </w:p>
          <w:p w14:paraId="7A6C79C7">
            <w:pPr>
              <w:spacing w:before="195" w:line="210" w:lineRule="auto"/>
              <w:ind w:left="595"/>
              <w:rPr>
                <w:rFonts w:ascii="Times New Roman" w:hAnsi="Times New Roman" w:eastAsia="宋体" w:cs="宋体"/>
                <w:sz w:val="24"/>
                <w:szCs w:val="24"/>
              </w:rPr>
            </w:pPr>
            <w:r>
              <w:rPr>
                <w:rFonts w:ascii="Times New Roman" w:hAnsi="Times New Roman" w:eastAsia="宋体" w:cs="Cambria Math"/>
                <w:sz w:val="24"/>
                <w:szCs w:val="24"/>
              </w:rPr>
              <w:t>S</w:t>
            </w:r>
            <w:r>
              <w:rPr>
                <w:rFonts w:ascii="Times New Roman" w:hAnsi="Times New Roman" w:eastAsia="宋体" w:cs="Times New Roman"/>
                <w:i/>
                <w:iCs/>
                <w:position w:val="-4"/>
                <w:sz w:val="16"/>
                <w:szCs w:val="16"/>
              </w:rPr>
              <w:t>0</w:t>
            </w:r>
            <w:r>
              <w:rPr>
                <w:rFonts w:ascii="Times New Roman" w:hAnsi="Times New Roman" w:eastAsia="宋体" w:cs="Times New Roman"/>
                <w:i/>
                <w:iCs/>
                <w:spacing w:val="-20"/>
                <w:position w:val="-4"/>
                <w:sz w:val="16"/>
                <w:szCs w:val="16"/>
              </w:rPr>
              <w:t xml:space="preserve"> </w:t>
            </w:r>
            <w:r>
              <w:rPr>
                <w:rFonts w:ascii="Times New Roman" w:hAnsi="Times New Roman" w:eastAsia="宋体" w:cs="宋体"/>
                <w:sz w:val="24"/>
                <w:szCs w:val="24"/>
              </w:rPr>
              <w:t>——进水污染物浓度，</w:t>
            </w:r>
            <w:r>
              <w:rPr>
                <w:rFonts w:ascii="Times New Roman" w:hAnsi="Times New Roman" w:eastAsia="宋体" w:cs="Times New Roman"/>
                <w:sz w:val="24"/>
                <w:szCs w:val="24"/>
              </w:rPr>
              <w:t>g/m</w:t>
            </w:r>
            <w:r>
              <w:rPr>
                <w:rFonts w:ascii="Times New Roman" w:hAnsi="Times New Roman" w:eastAsia="宋体" w:cs="Times New Roman"/>
                <w:position w:val="8"/>
                <w:sz w:val="15"/>
                <w:szCs w:val="15"/>
              </w:rPr>
              <w:t>3</w:t>
            </w:r>
            <w:r>
              <w:rPr>
                <w:rFonts w:ascii="Times New Roman" w:hAnsi="Times New Roman" w:eastAsia="宋体" w:cs="宋体"/>
                <w:sz w:val="24"/>
                <w:szCs w:val="24"/>
              </w:rPr>
              <w:t>；</w:t>
            </w:r>
          </w:p>
          <w:p w14:paraId="6986F29E">
            <w:pPr>
              <w:spacing w:before="187" w:line="212" w:lineRule="auto"/>
              <w:ind w:left="595"/>
              <w:rPr>
                <w:rFonts w:ascii="Times New Roman" w:hAnsi="Times New Roman" w:eastAsia="宋体" w:cs="宋体"/>
                <w:sz w:val="24"/>
                <w:szCs w:val="24"/>
              </w:rPr>
            </w:pPr>
            <w:r>
              <w:rPr>
                <w:rFonts w:ascii="Times New Roman" w:hAnsi="Times New Roman" w:eastAsia="宋体" w:cs="Cambria Math"/>
                <w:sz w:val="24"/>
                <w:szCs w:val="24"/>
              </w:rPr>
              <w:t>S</w:t>
            </w:r>
            <w:r>
              <w:rPr>
                <w:rFonts w:ascii="Times New Roman" w:hAnsi="Times New Roman" w:eastAsia="宋体" w:cs="Times New Roman"/>
                <w:i/>
                <w:iCs/>
                <w:position w:val="-4"/>
                <w:sz w:val="16"/>
                <w:szCs w:val="16"/>
              </w:rPr>
              <w:t>1</w:t>
            </w:r>
            <w:r>
              <w:rPr>
                <w:rFonts w:ascii="Times New Roman" w:hAnsi="Times New Roman" w:eastAsia="宋体" w:cs="Times New Roman"/>
                <w:i/>
                <w:iCs/>
                <w:spacing w:val="-20"/>
                <w:position w:val="-4"/>
                <w:sz w:val="16"/>
                <w:szCs w:val="16"/>
              </w:rPr>
              <w:t xml:space="preserve"> </w:t>
            </w:r>
            <w:r>
              <w:rPr>
                <w:rFonts w:ascii="Times New Roman" w:hAnsi="Times New Roman" w:eastAsia="宋体" w:cs="宋体"/>
                <w:sz w:val="24"/>
                <w:szCs w:val="24"/>
              </w:rPr>
              <w:t>——出水污染物浓度，</w:t>
            </w:r>
            <w:r>
              <w:rPr>
                <w:rFonts w:ascii="Times New Roman" w:hAnsi="Times New Roman" w:eastAsia="宋体" w:cs="Times New Roman"/>
                <w:sz w:val="24"/>
                <w:szCs w:val="24"/>
              </w:rPr>
              <w:t>g/m</w:t>
            </w:r>
            <w:r>
              <w:rPr>
                <w:rFonts w:ascii="Times New Roman" w:hAnsi="Times New Roman" w:eastAsia="宋体" w:cs="Times New Roman"/>
                <w:position w:val="8"/>
                <w:sz w:val="15"/>
                <w:szCs w:val="15"/>
              </w:rPr>
              <w:t>3</w:t>
            </w:r>
            <w:r>
              <w:rPr>
                <w:rFonts w:ascii="Times New Roman" w:hAnsi="Times New Roman" w:eastAsia="宋体" w:cs="宋体"/>
                <w:sz w:val="24"/>
                <w:szCs w:val="24"/>
              </w:rPr>
              <w:t>；</w:t>
            </w:r>
          </w:p>
          <w:p w14:paraId="6908EF6E">
            <w:pPr>
              <w:spacing w:before="188" w:line="210" w:lineRule="auto"/>
              <w:ind w:left="601"/>
              <w:rPr>
                <w:rFonts w:ascii="Times New Roman" w:hAnsi="Times New Roman" w:eastAsia="宋体" w:cs="宋体"/>
                <w:sz w:val="24"/>
                <w:szCs w:val="24"/>
              </w:rPr>
            </w:pPr>
            <w:r>
              <w:rPr>
                <w:rFonts w:ascii="Times New Roman" w:hAnsi="Times New Roman" w:eastAsia="宋体" w:cs="宋体"/>
                <w:spacing w:val="-1"/>
                <w:sz w:val="24"/>
                <w:szCs w:val="24"/>
              </w:rPr>
              <w:t>采用表面水力负荷（</w:t>
            </w:r>
            <w:r>
              <w:rPr>
                <w:rFonts w:ascii="Times New Roman" w:hAnsi="Times New Roman" w:eastAsia="宋体" w:cs="Cambria Math"/>
                <w:spacing w:val="-1"/>
                <w:sz w:val="24"/>
                <w:szCs w:val="24"/>
              </w:rPr>
              <w:t>q</w:t>
            </w:r>
            <w:r>
              <w:rPr>
                <w:rFonts w:ascii="Times New Roman" w:hAnsi="Times New Roman" w:eastAsia="宋体" w:cs="宋体"/>
                <w:spacing w:val="-1"/>
                <w:sz w:val="24"/>
                <w:szCs w:val="24"/>
              </w:rPr>
              <w:t>）计算净水能力：</w:t>
            </w:r>
          </w:p>
          <w:p w14:paraId="5305A268">
            <w:pPr>
              <w:spacing w:before="137" w:line="555" w:lineRule="exact"/>
              <w:ind w:left="4333"/>
              <w:rPr>
                <w:rFonts w:ascii="Times New Roman" w:hAnsi="Times New Roman" w:eastAsia="宋体"/>
              </w:rPr>
            </w:pPr>
            <w:r>
              <w:rPr>
                <w:rFonts w:ascii="Times New Roman" w:hAnsi="Times New Roman" w:eastAsia="宋体"/>
                <w:position w:val="-11"/>
              </w:rPr>
              <w:drawing>
                <wp:inline distT="0" distB="0" distL="0" distR="0">
                  <wp:extent cx="403225" cy="352425"/>
                  <wp:effectExtent l="0" t="0" r="15875" b="9525"/>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6"/>
                          <a:stretch>
                            <a:fillRect/>
                          </a:stretch>
                        </pic:blipFill>
                        <pic:spPr>
                          <a:xfrm>
                            <a:off x="0" y="0"/>
                            <a:ext cx="403567" cy="352514"/>
                          </a:xfrm>
                          <a:prstGeom prst="rect">
                            <a:avLst/>
                          </a:prstGeom>
                        </pic:spPr>
                      </pic:pic>
                    </a:graphicData>
                  </a:graphic>
                </wp:inline>
              </w:drawing>
            </w:r>
          </w:p>
          <w:p w14:paraId="7FB8F70D">
            <w:pPr>
              <w:spacing w:before="178" w:line="220" w:lineRule="auto"/>
              <w:ind w:left="127"/>
              <w:rPr>
                <w:rFonts w:ascii="Times New Roman" w:hAnsi="Times New Roman" w:eastAsia="宋体" w:cs="宋体"/>
                <w:sz w:val="24"/>
                <w:szCs w:val="24"/>
              </w:rPr>
            </w:pPr>
            <w:r>
              <w:rPr>
                <w:rFonts w:ascii="Times New Roman" w:hAnsi="Times New Roman" w:eastAsia="宋体" w:cs="宋体"/>
                <w:spacing w:val="-5"/>
                <w:sz w:val="24"/>
                <w:szCs w:val="24"/>
              </w:rPr>
              <w:t>式中：</w:t>
            </w:r>
          </w:p>
          <w:p w14:paraId="4ACDAB25">
            <w:pPr>
              <w:spacing w:before="179" w:line="210" w:lineRule="auto"/>
              <w:ind w:left="605"/>
              <w:rPr>
                <w:rFonts w:ascii="Times New Roman" w:hAnsi="Times New Roman" w:eastAsia="宋体" w:cs="宋体"/>
                <w:sz w:val="24"/>
                <w:szCs w:val="24"/>
              </w:rPr>
            </w:pPr>
            <w:r>
              <w:rPr>
                <w:rFonts w:ascii="Times New Roman" w:hAnsi="Times New Roman" w:eastAsia="宋体" w:cs="Cambria Math"/>
                <w:spacing w:val="-1"/>
                <w:sz w:val="24"/>
                <w:szCs w:val="24"/>
              </w:rPr>
              <w:t>q</w:t>
            </w:r>
            <w:r>
              <w:rPr>
                <w:rFonts w:ascii="Times New Roman" w:hAnsi="Times New Roman" w:eastAsia="宋体" w:cs="宋体"/>
                <w:spacing w:val="-1"/>
                <w:sz w:val="24"/>
                <w:szCs w:val="24"/>
              </w:rPr>
              <w:t>——表面水力负荷，</w:t>
            </w:r>
            <w:r>
              <w:rPr>
                <w:rFonts w:ascii="Times New Roman" w:hAnsi="Times New Roman" w:eastAsia="宋体" w:cs="Times New Roman"/>
                <w:spacing w:val="-1"/>
                <w:sz w:val="24"/>
                <w:szCs w:val="24"/>
              </w:rPr>
              <w:t>m</w:t>
            </w:r>
            <w:r>
              <w:rPr>
                <w:rFonts w:ascii="Times New Roman" w:hAnsi="Times New Roman" w:eastAsia="宋体" w:cs="Times New Roman"/>
                <w:spacing w:val="-1"/>
                <w:position w:val="7"/>
                <w:sz w:val="15"/>
                <w:szCs w:val="15"/>
              </w:rPr>
              <w:t>3</w:t>
            </w:r>
            <w:r>
              <w:rPr>
                <w:rFonts w:ascii="Times New Roman" w:hAnsi="Times New Roman" w:eastAsia="宋体" w:cs="Times New Roman"/>
                <w:spacing w:val="-1"/>
                <w:sz w:val="24"/>
                <w:szCs w:val="24"/>
              </w:rPr>
              <w:t>/</w:t>
            </w:r>
            <w:r>
              <w:rPr>
                <w:rFonts w:ascii="Times New Roman" w:hAnsi="Times New Roman" w:eastAsia="宋体" w:cs="宋体"/>
                <w:spacing w:val="-1"/>
                <w:sz w:val="24"/>
                <w:szCs w:val="24"/>
              </w:rPr>
              <w:t>（</w:t>
            </w:r>
            <w:r>
              <w:rPr>
                <w:rFonts w:ascii="Times New Roman" w:hAnsi="Times New Roman" w:eastAsia="宋体" w:cs="Times New Roman"/>
                <w:spacing w:val="-1"/>
                <w:sz w:val="24"/>
                <w:szCs w:val="24"/>
              </w:rPr>
              <w:t>m</w:t>
            </w:r>
            <w:r>
              <w:rPr>
                <w:rFonts w:ascii="Times New Roman" w:hAnsi="Times New Roman" w:eastAsia="宋体" w:cs="Times New Roman"/>
                <w:spacing w:val="-1"/>
                <w:position w:val="7"/>
                <w:sz w:val="15"/>
                <w:szCs w:val="15"/>
              </w:rPr>
              <w:t>2</w:t>
            </w:r>
            <w:r>
              <w:rPr>
                <w:rFonts w:ascii="Times New Roman" w:hAnsi="Times New Roman" w:eastAsia="宋体" w:cs="Times New Roman"/>
                <w:spacing w:val="-1"/>
                <w:sz w:val="24"/>
                <w:szCs w:val="24"/>
              </w:rPr>
              <w:t>·d</w:t>
            </w:r>
            <w:r>
              <w:rPr>
                <w:rFonts w:ascii="Times New Roman" w:hAnsi="Times New Roman" w:eastAsia="宋体" w:cs="宋体"/>
                <w:spacing w:val="2"/>
                <w:sz w:val="24"/>
                <w:szCs w:val="24"/>
              </w:rPr>
              <w:t>）；</w:t>
            </w:r>
          </w:p>
          <w:p w14:paraId="3B01FD57">
            <w:pPr>
              <w:spacing w:before="195" w:line="219" w:lineRule="auto"/>
              <w:ind w:left="602"/>
              <w:rPr>
                <w:rFonts w:ascii="Times New Roman" w:hAnsi="Times New Roman" w:eastAsia="宋体" w:cs="宋体"/>
                <w:sz w:val="24"/>
                <w:szCs w:val="24"/>
              </w:rPr>
            </w:pPr>
            <w:r>
              <w:rPr>
                <w:rFonts w:ascii="Times New Roman" w:hAnsi="Times New Roman" w:eastAsia="宋体" w:cs="宋体"/>
                <w:sz w:val="24"/>
                <w:szCs w:val="24"/>
              </w:rPr>
              <w:t>通过污染物削减及表面水力负荷计算各人工湿</w:t>
            </w:r>
            <w:r>
              <w:rPr>
                <w:rFonts w:ascii="Times New Roman" w:hAnsi="Times New Roman" w:eastAsia="宋体" w:cs="宋体"/>
                <w:spacing w:val="-1"/>
                <w:sz w:val="24"/>
                <w:szCs w:val="24"/>
              </w:rPr>
              <w:t>地净水能力结果见下表：</w:t>
            </w:r>
          </w:p>
          <w:p w14:paraId="7076DDE9">
            <w:pPr>
              <w:pStyle w:val="28"/>
              <w:rPr>
                <w:rFonts w:hint="default" w:ascii="Times New Roman" w:hAnsi="Times New Roman" w:eastAsia="宋体" w:cs="Times New Roman"/>
                <w:color w:val="auto"/>
                <w:sz w:val="21"/>
                <w:szCs w:val="21"/>
              </w:rPr>
            </w:pPr>
          </w:p>
          <w:p w14:paraId="5215B364">
            <w:pPr>
              <w:pStyle w:val="28"/>
              <w:rPr>
                <w:rFonts w:hint="default" w:ascii="Times New Roman" w:hAnsi="Times New Roman" w:eastAsia="宋体" w:cs="Times New Roman"/>
                <w:color w:val="auto"/>
                <w:sz w:val="21"/>
                <w:szCs w:val="21"/>
              </w:rPr>
            </w:pPr>
          </w:p>
          <w:p w14:paraId="140EAF25">
            <w:pPr>
              <w:pStyle w:val="28"/>
              <w:rPr>
                <w:rFonts w:hint="default" w:ascii="Times New Roman" w:hAnsi="Times New Roman" w:eastAsia="宋体" w:cs="Times New Roman"/>
                <w:color w:val="auto"/>
                <w:sz w:val="21"/>
                <w:szCs w:val="21"/>
              </w:rPr>
            </w:pPr>
          </w:p>
          <w:p w14:paraId="2201DF6B">
            <w:pPr>
              <w:pStyle w:val="28"/>
              <w:rPr>
                <w:rFonts w:hint="default" w:ascii="Times New Roman" w:hAnsi="Times New Roman" w:eastAsia="宋体" w:cs="Times New Roman"/>
                <w:color w:val="auto"/>
                <w:sz w:val="21"/>
                <w:szCs w:val="21"/>
              </w:rPr>
            </w:pPr>
          </w:p>
          <w:p w14:paraId="5B79BA0A">
            <w:pPr>
              <w:pStyle w:val="28"/>
              <w:rPr>
                <w:rFonts w:hint="default" w:ascii="Times New Roman" w:hAnsi="Times New Roman" w:eastAsia="宋体" w:cs="Times New Roman"/>
                <w:color w:val="auto"/>
                <w:sz w:val="21"/>
                <w:szCs w:val="21"/>
              </w:rPr>
            </w:pPr>
          </w:p>
          <w:p w14:paraId="3D0FD4B5">
            <w:pPr>
              <w:pStyle w:val="28"/>
              <w:rPr>
                <w:rFonts w:hint="default" w:ascii="Times New Roman" w:hAnsi="Times New Roman" w:eastAsia="宋体" w:cs="Times New Roman"/>
                <w:color w:val="auto"/>
                <w:sz w:val="21"/>
                <w:szCs w:val="21"/>
              </w:rPr>
            </w:pPr>
          </w:p>
          <w:p w14:paraId="1B5F31F3">
            <w:pPr>
              <w:pStyle w:val="28"/>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w:t>
            </w:r>
            <w:r>
              <w:rPr>
                <w:rFonts w:hint="eastAsia" w:ascii="Times New Roman" w:hAnsi="Times New Roman" w:eastAsia="宋体" w:cs="Times New Roman"/>
                <w:color w:val="auto"/>
                <w:sz w:val="21"/>
                <w:szCs w:val="21"/>
                <w:lang w:val="en-US" w:eastAsia="zh-CN"/>
              </w:rPr>
              <w:t>2-8</w:t>
            </w:r>
            <w:r>
              <w:rPr>
                <w:rFonts w:hint="default" w:ascii="Times New Roman" w:hAnsi="Times New Roman" w:eastAsia="宋体" w:cs="Times New Roman"/>
                <w:color w:val="auto"/>
                <w:sz w:val="21"/>
                <w:szCs w:val="21"/>
              </w:rPr>
              <w:t xml:space="preserve">  各人工湿地净水能力计算成果表</w:t>
            </w:r>
          </w:p>
          <w:tbl>
            <w:tblPr>
              <w:tblStyle w:val="36"/>
              <w:tblW w:w="792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41"/>
              <w:gridCol w:w="2677"/>
              <w:gridCol w:w="3003"/>
            </w:tblGrid>
            <w:tr w14:paraId="3CF32D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jc w:val="center"/>
              </w:trPr>
              <w:tc>
                <w:tcPr>
                  <w:tcW w:w="2241" w:type="dxa"/>
                  <w:vMerge w:val="restart"/>
                  <w:tcBorders>
                    <w:bottom w:val="nil"/>
                  </w:tcBorders>
                  <w:vAlign w:val="center"/>
                </w:tcPr>
                <w:p w14:paraId="06DF154E">
                  <w:pPr>
                    <w:pStyle w:val="35"/>
                    <w:spacing w:before="34" w:line="214" w:lineRule="auto"/>
                    <w:jc w:val="center"/>
                    <w:rPr>
                      <w:rFonts w:ascii="Times New Roman" w:hAnsi="Times New Roman" w:eastAsia="宋体" w:cs="宋体"/>
                      <w:spacing w:val="8"/>
                      <w:sz w:val="21"/>
                      <w:szCs w:val="21"/>
                    </w:rPr>
                  </w:pPr>
                  <w:r>
                    <w:rPr>
                      <w:rFonts w:ascii="Times New Roman" w:hAnsi="Times New Roman" w:eastAsia="宋体" w:cs="宋体"/>
                      <w:spacing w:val="8"/>
                      <w:sz w:val="21"/>
                      <w:szCs w:val="21"/>
                    </w:rPr>
                    <w:t>负荷类型</w:t>
                  </w:r>
                </w:p>
              </w:tc>
              <w:tc>
                <w:tcPr>
                  <w:tcW w:w="5680" w:type="dxa"/>
                  <w:gridSpan w:val="2"/>
                  <w:vAlign w:val="center"/>
                </w:tcPr>
                <w:p w14:paraId="4CE64C54">
                  <w:pPr>
                    <w:pStyle w:val="35"/>
                    <w:spacing w:before="34" w:line="214" w:lineRule="auto"/>
                    <w:jc w:val="center"/>
                    <w:rPr>
                      <w:rFonts w:ascii="Times New Roman" w:hAnsi="Times New Roman" w:eastAsia="宋体" w:cs="宋体"/>
                      <w:spacing w:val="8"/>
                      <w:sz w:val="21"/>
                      <w:szCs w:val="21"/>
                    </w:rPr>
                  </w:pPr>
                  <w:r>
                    <w:rPr>
                      <w:rFonts w:ascii="Times New Roman" w:hAnsi="Times New Roman" w:eastAsia="宋体" w:cs="宋体"/>
                      <w:spacing w:val="8"/>
                      <w:sz w:val="21"/>
                      <w:szCs w:val="21"/>
                    </w:rPr>
                    <w:t>各类负荷设计流量（m</w:t>
                  </w:r>
                  <w:r>
                    <w:rPr>
                      <w:rFonts w:ascii="Times New Roman" w:hAnsi="Times New Roman" w:eastAsia="宋体" w:cs="宋体"/>
                      <w:spacing w:val="8"/>
                      <w:sz w:val="21"/>
                      <w:szCs w:val="21"/>
                      <w:vertAlign w:val="superscript"/>
                    </w:rPr>
                    <w:t>3</w:t>
                  </w:r>
                  <w:r>
                    <w:rPr>
                      <w:rFonts w:ascii="Times New Roman" w:hAnsi="Times New Roman" w:eastAsia="宋体" w:cs="宋体"/>
                      <w:spacing w:val="8"/>
                      <w:sz w:val="21"/>
                      <w:szCs w:val="21"/>
                    </w:rPr>
                    <w:t>/d）</w:t>
                  </w:r>
                </w:p>
              </w:tc>
            </w:tr>
            <w:tr w14:paraId="2E674D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exact"/>
                <w:jc w:val="center"/>
              </w:trPr>
              <w:tc>
                <w:tcPr>
                  <w:tcW w:w="2241" w:type="dxa"/>
                  <w:vMerge w:val="continue"/>
                  <w:tcBorders>
                    <w:top w:val="nil"/>
                  </w:tcBorders>
                  <w:vAlign w:val="center"/>
                </w:tcPr>
                <w:p w14:paraId="64B90AA5">
                  <w:pPr>
                    <w:pStyle w:val="35"/>
                    <w:spacing w:before="34" w:line="214" w:lineRule="auto"/>
                    <w:jc w:val="center"/>
                    <w:rPr>
                      <w:rFonts w:ascii="Times New Roman" w:hAnsi="Times New Roman" w:eastAsia="宋体" w:cs="宋体"/>
                      <w:spacing w:val="8"/>
                      <w:sz w:val="21"/>
                      <w:szCs w:val="21"/>
                    </w:rPr>
                  </w:pPr>
                </w:p>
              </w:tc>
              <w:tc>
                <w:tcPr>
                  <w:tcW w:w="2677" w:type="dxa"/>
                  <w:vAlign w:val="center"/>
                </w:tcPr>
                <w:p w14:paraId="3E97526C">
                  <w:pPr>
                    <w:pStyle w:val="35"/>
                    <w:spacing w:before="34" w:line="214" w:lineRule="auto"/>
                    <w:jc w:val="center"/>
                    <w:rPr>
                      <w:rFonts w:ascii="Times New Roman" w:hAnsi="Times New Roman" w:eastAsia="宋体" w:cs="宋体"/>
                      <w:spacing w:val="8"/>
                      <w:sz w:val="21"/>
                      <w:szCs w:val="21"/>
                    </w:rPr>
                  </w:pPr>
                  <w:r>
                    <w:rPr>
                      <w:rFonts w:ascii="Times New Roman" w:hAnsi="Times New Roman" w:eastAsia="宋体" w:cs="宋体"/>
                      <w:spacing w:val="8"/>
                      <w:sz w:val="21"/>
                      <w:szCs w:val="21"/>
                    </w:rPr>
                    <w:t>陇县污水处理厂人工湿地</w:t>
                  </w:r>
                </w:p>
              </w:tc>
              <w:tc>
                <w:tcPr>
                  <w:tcW w:w="3003" w:type="dxa"/>
                  <w:vAlign w:val="center"/>
                </w:tcPr>
                <w:p w14:paraId="1C25AC55">
                  <w:pPr>
                    <w:pStyle w:val="35"/>
                    <w:spacing w:before="34" w:line="214" w:lineRule="auto"/>
                    <w:jc w:val="center"/>
                    <w:rPr>
                      <w:rFonts w:ascii="Times New Roman" w:hAnsi="Times New Roman" w:eastAsia="宋体" w:cs="宋体"/>
                      <w:spacing w:val="8"/>
                      <w:sz w:val="21"/>
                      <w:szCs w:val="21"/>
                    </w:rPr>
                  </w:pPr>
                  <w:r>
                    <w:rPr>
                      <w:rFonts w:ascii="Times New Roman" w:hAnsi="Times New Roman" w:eastAsia="宋体" w:cs="宋体"/>
                      <w:spacing w:val="8"/>
                      <w:sz w:val="21"/>
                      <w:szCs w:val="21"/>
                    </w:rPr>
                    <w:t>陇县千河南岸新城污水处理厂人工湿地</w:t>
                  </w:r>
                </w:p>
              </w:tc>
            </w:tr>
            <w:tr w14:paraId="1281C8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jc w:val="center"/>
              </w:trPr>
              <w:tc>
                <w:tcPr>
                  <w:tcW w:w="2241" w:type="dxa"/>
                  <w:vAlign w:val="center"/>
                </w:tcPr>
                <w:p w14:paraId="79D730BD">
                  <w:pPr>
                    <w:pStyle w:val="35"/>
                    <w:spacing w:before="31" w:line="216" w:lineRule="auto"/>
                    <w:jc w:val="center"/>
                    <w:rPr>
                      <w:rFonts w:ascii="Times New Roman" w:hAnsi="Times New Roman" w:eastAsia="宋体"/>
                      <w:sz w:val="21"/>
                      <w:szCs w:val="21"/>
                    </w:rPr>
                  </w:pPr>
                  <w:r>
                    <w:rPr>
                      <w:rFonts w:ascii="Times New Roman" w:hAnsi="Times New Roman" w:eastAsia="宋体"/>
                      <w:spacing w:val="8"/>
                      <w:sz w:val="21"/>
                      <w:szCs w:val="21"/>
                    </w:rPr>
                    <w:t>表面水力负荷</w:t>
                  </w:r>
                </w:p>
              </w:tc>
              <w:tc>
                <w:tcPr>
                  <w:tcW w:w="2677" w:type="dxa"/>
                  <w:vAlign w:val="center"/>
                </w:tcPr>
                <w:p w14:paraId="4C205BD3">
                  <w:pPr>
                    <w:pStyle w:val="35"/>
                    <w:spacing w:before="31" w:line="216" w:lineRule="auto"/>
                    <w:jc w:val="center"/>
                    <w:rPr>
                      <w:rFonts w:ascii="Times New Roman" w:hAnsi="Times New Roman" w:eastAsia="宋体" w:cs="宋体"/>
                      <w:sz w:val="21"/>
                      <w:szCs w:val="21"/>
                    </w:rPr>
                  </w:pPr>
                  <w:r>
                    <w:rPr>
                      <w:rFonts w:ascii="Times New Roman" w:hAnsi="Times New Roman" w:eastAsia="宋体" w:cs="宋体"/>
                      <w:sz w:val="21"/>
                      <w:szCs w:val="21"/>
                    </w:rPr>
                    <w:t>4403</w:t>
                  </w:r>
                </w:p>
              </w:tc>
              <w:tc>
                <w:tcPr>
                  <w:tcW w:w="3003" w:type="dxa"/>
                  <w:vAlign w:val="center"/>
                </w:tcPr>
                <w:p w14:paraId="5F264CE2">
                  <w:pPr>
                    <w:pStyle w:val="35"/>
                    <w:spacing w:before="31" w:line="216" w:lineRule="auto"/>
                    <w:jc w:val="center"/>
                    <w:rPr>
                      <w:rFonts w:ascii="Times New Roman" w:hAnsi="Times New Roman" w:eastAsia="宋体" w:cs="宋体"/>
                      <w:sz w:val="21"/>
                      <w:szCs w:val="21"/>
                    </w:rPr>
                  </w:pPr>
                  <w:r>
                    <w:rPr>
                      <w:rFonts w:ascii="Times New Roman" w:hAnsi="Times New Roman" w:eastAsia="宋体" w:cs="宋体"/>
                      <w:sz w:val="21"/>
                      <w:szCs w:val="21"/>
                    </w:rPr>
                    <w:t>3555</w:t>
                  </w:r>
                </w:p>
              </w:tc>
            </w:tr>
            <w:tr w14:paraId="37421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jc w:val="center"/>
              </w:trPr>
              <w:tc>
                <w:tcPr>
                  <w:tcW w:w="2241" w:type="dxa"/>
                  <w:vAlign w:val="center"/>
                </w:tcPr>
                <w:p w14:paraId="5D6321E7">
                  <w:pPr>
                    <w:pStyle w:val="35"/>
                    <w:spacing w:before="34" w:line="214" w:lineRule="auto"/>
                    <w:jc w:val="center"/>
                    <w:rPr>
                      <w:rFonts w:ascii="Times New Roman" w:hAnsi="Times New Roman" w:eastAsia="宋体"/>
                      <w:sz w:val="21"/>
                      <w:szCs w:val="21"/>
                    </w:rPr>
                  </w:pPr>
                  <w:r>
                    <w:rPr>
                      <w:rFonts w:ascii="Times New Roman" w:hAnsi="Times New Roman" w:eastAsia="宋体"/>
                      <w:spacing w:val="8"/>
                      <w:sz w:val="21"/>
                      <w:szCs w:val="21"/>
                    </w:rPr>
                    <w:t>化学需氧量削减负荷</w:t>
                  </w:r>
                </w:p>
              </w:tc>
              <w:tc>
                <w:tcPr>
                  <w:tcW w:w="2677" w:type="dxa"/>
                  <w:vAlign w:val="center"/>
                </w:tcPr>
                <w:p w14:paraId="203FC18D">
                  <w:pPr>
                    <w:pStyle w:val="35"/>
                    <w:spacing w:before="31" w:line="216" w:lineRule="auto"/>
                    <w:jc w:val="center"/>
                    <w:rPr>
                      <w:rFonts w:ascii="Times New Roman" w:hAnsi="Times New Roman" w:eastAsia="宋体" w:cs="宋体"/>
                      <w:sz w:val="21"/>
                      <w:szCs w:val="21"/>
                    </w:rPr>
                  </w:pPr>
                  <w:r>
                    <w:rPr>
                      <w:rFonts w:ascii="Times New Roman" w:hAnsi="Times New Roman" w:eastAsia="宋体" w:cs="宋体"/>
                      <w:sz w:val="21"/>
                      <w:szCs w:val="21"/>
                    </w:rPr>
                    <w:t>5521</w:t>
                  </w:r>
                </w:p>
              </w:tc>
              <w:tc>
                <w:tcPr>
                  <w:tcW w:w="3003" w:type="dxa"/>
                  <w:vAlign w:val="center"/>
                </w:tcPr>
                <w:p w14:paraId="20DE0284">
                  <w:pPr>
                    <w:pStyle w:val="35"/>
                    <w:spacing w:before="31" w:line="216" w:lineRule="auto"/>
                    <w:jc w:val="center"/>
                    <w:rPr>
                      <w:rFonts w:ascii="Times New Roman" w:hAnsi="Times New Roman" w:eastAsia="宋体" w:cs="宋体"/>
                      <w:sz w:val="21"/>
                      <w:szCs w:val="21"/>
                    </w:rPr>
                  </w:pPr>
                  <w:r>
                    <w:rPr>
                      <w:rFonts w:ascii="Times New Roman" w:hAnsi="Times New Roman" w:eastAsia="宋体" w:cs="宋体"/>
                      <w:sz w:val="21"/>
                      <w:szCs w:val="21"/>
                    </w:rPr>
                    <w:t>5139</w:t>
                  </w:r>
                </w:p>
              </w:tc>
            </w:tr>
            <w:tr w14:paraId="5202BB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jc w:val="center"/>
              </w:trPr>
              <w:tc>
                <w:tcPr>
                  <w:tcW w:w="2241" w:type="dxa"/>
                  <w:vAlign w:val="center"/>
                </w:tcPr>
                <w:p w14:paraId="455092F9">
                  <w:pPr>
                    <w:pStyle w:val="35"/>
                    <w:spacing w:before="34" w:line="214" w:lineRule="auto"/>
                    <w:jc w:val="center"/>
                    <w:rPr>
                      <w:rFonts w:ascii="Times New Roman" w:hAnsi="Times New Roman" w:eastAsia="宋体"/>
                    </w:rPr>
                  </w:pPr>
                  <w:r>
                    <w:rPr>
                      <w:rFonts w:ascii="Times New Roman" w:hAnsi="Times New Roman" w:eastAsia="宋体"/>
                      <w:spacing w:val="8"/>
                      <w:sz w:val="21"/>
                      <w:szCs w:val="21"/>
                    </w:rPr>
                    <w:t>氨氮削减负荷</w:t>
                  </w:r>
                </w:p>
              </w:tc>
              <w:tc>
                <w:tcPr>
                  <w:tcW w:w="2677" w:type="dxa"/>
                  <w:vAlign w:val="center"/>
                </w:tcPr>
                <w:p w14:paraId="0AB35A24">
                  <w:pPr>
                    <w:pStyle w:val="35"/>
                    <w:spacing w:before="31" w:line="216" w:lineRule="auto"/>
                    <w:jc w:val="center"/>
                    <w:rPr>
                      <w:rFonts w:ascii="Times New Roman" w:hAnsi="Times New Roman" w:eastAsia="宋体" w:cs="宋体"/>
                      <w:sz w:val="21"/>
                      <w:szCs w:val="21"/>
                    </w:rPr>
                  </w:pPr>
                  <w:r>
                    <w:rPr>
                      <w:rFonts w:ascii="Times New Roman" w:hAnsi="Times New Roman" w:eastAsia="宋体" w:cs="宋体"/>
                      <w:sz w:val="21"/>
                      <w:szCs w:val="21"/>
                    </w:rPr>
                    <w:t>112313</w:t>
                  </w:r>
                </w:p>
              </w:tc>
              <w:tc>
                <w:tcPr>
                  <w:tcW w:w="3003" w:type="dxa"/>
                  <w:vAlign w:val="center"/>
                </w:tcPr>
                <w:p w14:paraId="68CF91F5">
                  <w:pPr>
                    <w:pStyle w:val="35"/>
                    <w:spacing w:before="31" w:line="216" w:lineRule="auto"/>
                    <w:jc w:val="center"/>
                    <w:rPr>
                      <w:rFonts w:ascii="Times New Roman" w:hAnsi="Times New Roman" w:eastAsia="宋体" w:cs="宋体"/>
                      <w:sz w:val="21"/>
                      <w:szCs w:val="21"/>
                    </w:rPr>
                  </w:pPr>
                  <w:r>
                    <w:rPr>
                      <w:rFonts w:ascii="Times New Roman" w:hAnsi="Times New Roman" w:eastAsia="宋体" w:cs="宋体"/>
                      <w:sz w:val="21"/>
                      <w:szCs w:val="21"/>
                    </w:rPr>
                    <w:t>23512</w:t>
                  </w:r>
                </w:p>
              </w:tc>
            </w:tr>
            <w:tr w14:paraId="525837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jc w:val="center"/>
              </w:trPr>
              <w:tc>
                <w:tcPr>
                  <w:tcW w:w="2241" w:type="dxa"/>
                  <w:vAlign w:val="center"/>
                </w:tcPr>
                <w:p w14:paraId="093699CA">
                  <w:pPr>
                    <w:pStyle w:val="35"/>
                    <w:spacing w:before="34" w:line="214" w:lineRule="auto"/>
                    <w:jc w:val="center"/>
                    <w:rPr>
                      <w:rFonts w:ascii="Times New Roman" w:hAnsi="Times New Roman" w:eastAsia="宋体" w:cs="宋体"/>
                      <w:spacing w:val="8"/>
                      <w:sz w:val="21"/>
                      <w:szCs w:val="21"/>
                    </w:rPr>
                  </w:pPr>
                  <w:r>
                    <w:rPr>
                      <w:rFonts w:ascii="Times New Roman" w:hAnsi="Times New Roman" w:eastAsia="宋体" w:cs="宋体"/>
                      <w:spacing w:val="8"/>
                      <w:sz w:val="21"/>
                      <w:szCs w:val="21"/>
                    </w:rPr>
                    <w:t>总氮削减负荷</w:t>
                  </w:r>
                </w:p>
              </w:tc>
              <w:tc>
                <w:tcPr>
                  <w:tcW w:w="2677" w:type="dxa"/>
                  <w:vAlign w:val="center"/>
                </w:tcPr>
                <w:p w14:paraId="757B51EB">
                  <w:pPr>
                    <w:pStyle w:val="35"/>
                    <w:spacing w:before="34" w:line="214" w:lineRule="auto"/>
                    <w:jc w:val="center"/>
                    <w:rPr>
                      <w:rFonts w:ascii="Times New Roman" w:hAnsi="Times New Roman" w:eastAsia="宋体" w:cs="宋体"/>
                      <w:spacing w:val="8"/>
                      <w:sz w:val="21"/>
                      <w:szCs w:val="21"/>
                    </w:rPr>
                  </w:pPr>
                  <w:r>
                    <w:rPr>
                      <w:rFonts w:ascii="Times New Roman" w:hAnsi="Times New Roman" w:eastAsia="宋体" w:cs="宋体"/>
                      <w:spacing w:val="8"/>
                      <w:sz w:val="21"/>
                      <w:szCs w:val="21"/>
                    </w:rPr>
                    <w:t>5636</w:t>
                  </w:r>
                </w:p>
              </w:tc>
              <w:tc>
                <w:tcPr>
                  <w:tcW w:w="3003" w:type="dxa"/>
                  <w:vAlign w:val="center"/>
                </w:tcPr>
                <w:p w14:paraId="346F5D97">
                  <w:pPr>
                    <w:pStyle w:val="35"/>
                    <w:spacing w:before="34" w:line="214" w:lineRule="auto"/>
                    <w:jc w:val="center"/>
                    <w:rPr>
                      <w:rFonts w:ascii="Times New Roman" w:hAnsi="Times New Roman" w:eastAsia="宋体" w:cs="宋体"/>
                      <w:spacing w:val="8"/>
                      <w:sz w:val="21"/>
                      <w:szCs w:val="21"/>
                    </w:rPr>
                  </w:pPr>
                  <w:r>
                    <w:rPr>
                      <w:rFonts w:ascii="Times New Roman" w:hAnsi="Times New Roman" w:eastAsia="宋体" w:cs="宋体"/>
                      <w:spacing w:val="8"/>
                      <w:sz w:val="21"/>
                      <w:szCs w:val="21"/>
                    </w:rPr>
                    <w:t>3820</w:t>
                  </w:r>
                </w:p>
              </w:tc>
            </w:tr>
            <w:tr w14:paraId="2E9E9E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jc w:val="center"/>
              </w:trPr>
              <w:tc>
                <w:tcPr>
                  <w:tcW w:w="2241" w:type="dxa"/>
                  <w:vAlign w:val="center"/>
                </w:tcPr>
                <w:p w14:paraId="0C83C3C9">
                  <w:pPr>
                    <w:pStyle w:val="35"/>
                    <w:spacing w:before="34" w:line="214" w:lineRule="auto"/>
                    <w:jc w:val="center"/>
                    <w:rPr>
                      <w:rFonts w:ascii="Times New Roman" w:hAnsi="Times New Roman" w:eastAsia="宋体" w:cs="宋体"/>
                      <w:spacing w:val="8"/>
                      <w:sz w:val="21"/>
                      <w:szCs w:val="21"/>
                    </w:rPr>
                  </w:pPr>
                  <w:r>
                    <w:rPr>
                      <w:rFonts w:ascii="Times New Roman" w:hAnsi="Times New Roman" w:eastAsia="宋体" w:cs="宋体"/>
                      <w:spacing w:val="8"/>
                      <w:sz w:val="21"/>
                      <w:szCs w:val="21"/>
                    </w:rPr>
                    <w:t>总磷削减负荷</w:t>
                  </w:r>
                </w:p>
              </w:tc>
              <w:tc>
                <w:tcPr>
                  <w:tcW w:w="2677" w:type="dxa"/>
                  <w:vAlign w:val="center"/>
                </w:tcPr>
                <w:p w14:paraId="33BD062A">
                  <w:pPr>
                    <w:pStyle w:val="35"/>
                    <w:spacing w:before="34" w:line="214" w:lineRule="auto"/>
                    <w:jc w:val="center"/>
                    <w:rPr>
                      <w:rFonts w:ascii="Times New Roman" w:hAnsi="Times New Roman" w:eastAsia="宋体" w:cs="宋体"/>
                      <w:spacing w:val="8"/>
                      <w:sz w:val="21"/>
                      <w:szCs w:val="21"/>
                    </w:rPr>
                  </w:pPr>
                  <w:r>
                    <w:rPr>
                      <w:rFonts w:ascii="Times New Roman" w:hAnsi="Times New Roman" w:eastAsia="宋体" w:cs="宋体"/>
                      <w:spacing w:val="8"/>
                      <w:sz w:val="21"/>
                      <w:szCs w:val="21"/>
                    </w:rPr>
                    <w:t>5407</w:t>
                  </w:r>
                </w:p>
              </w:tc>
              <w:tc>
                <w:tcPr>
                  <w:tcW w:w="3003" w:type="dxa"/>
                  <w:vAlign w:val="center"/>
                </w:tcPr>
                <w:p w14:paraId="15AE35B5">
                  <w:pPr>
                    <w:pStyle w:val="35"/>
                    <w:spacing w:before="34" w:line="214" w:lineRule="auto"/>
                    <w:jc w:val="center"/>
                    <w:rPr>
                      <w:rFonts w:ascii="Times New Roman" w:hAnsi="Times New Roman" w:eastAsia="宋体" w:cs="宋体"/>
                      <w:spacing w:val="8"/>
                      <w:sz w:val="21"/>
                      <w:szCs w:val="21"/>
                    </w:rPr>
                  </w:pPr>
                  <w:r>
                    <w:rPr>
                      <w:rFonts w:ascii="Times New Roman" w:hAnsi="Times New Roman" w:eastAsia="宋体" w:cs="宋体"/>
                      <w:spacing w:val="8"/>
                      <w:sz w:val="21"/>
                      <w:szCs w:val="21"/>
                    </w:rPr>
                    <w:t>4879</w:t>
                  </w:r>
                </w:p>
              </w:tc>
            </w:tr>
          </w:tbl>
          <w:p w14:paraId="33236897">
            <w:pPr>
              <w:spacing w:before="36" w:line="359" w:lineRule="auto"/>
              <w:ind w:left="125" w:right="109" w:firstLine="477"/>
              <w:jc w:val="both"/>
              <w:rPr>
                <w:rFonts w:ascii="Times New Roman" w:hAnsi="Times New Roman" w:eastAsia="宋体" w:cs="宋体"/>
                <w:sz w:val="24"/>
                <w:szCs w:val="24"/>
              </w:rPr>
            </w:pPr>
            <w:r>
              <w:rPr>
                <w:rFonts w:ascii="Times New Roman" w:hAnsi="Times New Roman" w:eastAsia="宋体" w:cs="宋体"/>
                <w:spacing w:val="-2"/>
                <w:sz w:val="24"/>
                <w:szCs w:val="24"/>
              </w:rPr>
              <w:t>根据以上计算结果可知，当人工湿地正常运行，达到污染物削减目标时，陇县污水处理厂人工湿地净水能力为</w:t>
            </w:r>
            <w:r>
              <w:rPr>
                <w:rFonts w:ascii="Times New Roman" w:hAnsi="Times New Roman" w:eastAsia="宋体" w:cs="宋体"/>
                <w:spacing w:val="-57"/>
                <w:sz w:val="24"/>
                <w:szCs w:val="24"/>
              </w:rPr>
              <w:t xml:space="preserve"> </w:t>
            </w:r>
            <w:r>
              <w:rPr>
                <w:rFonts w:ascii="Times New Roman" w:hAnsi="Times New Roman" w:eastAsia="宋体" w:cs="Times New Roman"/>
                <w:spacing w:val="-2"/>
                <w:sz w:val="24"/>
                <w:szCs w:val="24"/>
              </w:rPr>
              <w:t>4403m</w:t>
            </w:r>
            <w:r>
              <w:rPr>
                <w:rFonts w:ascii="Times New Roman" w:hAnsi="Times New Roman" w:eastAsia="宋体" w:cs="Times New Roman"/>
                <w:spacing w:val="-2"/>
                <w:position w:val="8"/>
                <w:sz w:val="15"/>
                <w:szCs w:val="15"/>
              </w:rPr>
              <w:t>3</w:t>
            </w:r>
            <w:r>
              <w:rPr>
                <w:rFonts w:ascii="Times New Roman" w:hAnsi="Times New Roman" w:eastAsia="宋体" w:cs="Times New Roman"/>
                <w:spacing w:val="-2"/>
                <w:sz w:val="24"/>
                <w:szCs w:val="24"/>
              </w:rPr>
              <w:t>/d</w:t>
            </w:r>
            <w:r>
              <w:rPr>
                <w:rFonts w:ascii="Times New Roman" w:hAnsi="Times New Roman" w:eastAsia="宋体" w:cs="宋体"/>
                <w:spacing w:val="-2"/>
                <w:sz w:val="24"/>
                <w:szCs w:val="24"/>
              </w:rPr>
              <w:t>，陇县千河南岸新城污</w:t>
            </w:r>
            <w:r>
              <w:rPr>
                <w:rFonts w:ascii="Times New Roman" w:hAnsi="Times New Roman" w:eastAsia="宋体" w:cs="宋体"/>
                <w:spacing w:val="-3"/>
                <w:sz w:val="24"/>
                <w:szCs w:val="24"/>
              </w:rPr>
              <w:t>水处理厂人工湿地净水能力</w:t>
            </w:r>
            <w:r>
              <w:rPr>
                <w:rFonts w:ascii="Times New Roman" w:hAnsi="Times New Roman" w:eastAsia="宋体" w:cs="宋体"/>
                <w:spacing w:val="-2"/>
                <w:sz w:val="24"/>
                <w:szCs w:val="24"/>
              </w:rPr>
              <w:t>为</w:t>
            </w:r>
            <w:r>
              <w:rPr>
                <w:rFonts w:ascii="Times New Roman" w:hAnsi="Times New Roman" w:eastAsia="宋体" w:cs="宋体"/>
                <w:spacing w:val="-50"/>
                <w:sz w:val="24"/>
                <w:szCs w:val="24"/>
              </w:rPr>
              <w:t xml:space="preserve"> </w:t>
            </w:r>
            <w:r>
              <w:rPr>
                <w:rFonts w:ascii="Times New Roman" w:hAnsi="Times New Roman" w:eastAsia="宋体" w:cs="Times New Roman"/>
                <w:spacing w:val="-2"/>
                <w:sz w:val="24"/>
                <w:szCs w:val="24"/>
              </w:rPr>
              <w:t>3555m</w:t>
            </w:r>
            <w:r>
              <w:rPr>
                <w:rFonts w:ascii="Times New Roman" w:hAnsi="Times New Roman" w:eastAsia="宋体" w:cs="Times New Roman"/>
                <w:spacing w:val="-2"/>
                <w:position w:val="7"/>
                <w:sz w:val="15"/>
                <w:szCs w:val="15"/>
              </w:rPr>
              <w:t>3</w:t>
            </w:r>
            <w:r>
              <w:rPr>
                <w:rFonts w:ascii="Times New Roman" w:hAnsi="Times New Roman" w:eastAsia="宋体" w:cs="Times New Roman"/>
                <w:spacing w:val="-2"/>
                <w:sz w:val="24"/>
                <w:szCs w:val="24"/>
              </w:rPr>
              <w:t>/d</w:t>
            </w:r>
            <w:r>
              <w:rPr>
                <w:rFonts w:ascii="Times New Roman" w:hAnsi="Times New Roman" w:eastAsia="宋体" w:cs="宋体"/>
                <w:spacing w:val="-2"/>
                <w:sz w:val="24"/>
                <w:szCs w:val="24"/>
              </w:rPr>
              <w:t>。</w:t>
            </w:r>
          </w:p>
          <w:p w14:paraId="71A2D5BE">
            <w:pPr>
              <w:spacing w:line="219" w:lineRule="auto"/>
              <w:ind w:left="614"/>
              <w:rPr>
                <w:rFonts w:ascii="Times New Roman" w:hAnsi="Times New Roman" w:eastAsia="宋体" w:cs="宋体"/>
                <w:sz w:val="24"/>
                <w:szCs w:val="24"/>
              </w:rPr>
            </w:pPr>
            <w:r>
              <w:rPr>
                <w:rFonts w:ascii="Times New Roman" w:hAnsi="Times New Roman" w:eastAsia="宋体" w:cs="宋体"/>
                <w:spacing w:val="-2"/>
                <w:sz w:val="24"/>
                <w:szCs w:val="24"/>
              </w:rPr>
              <w:t>（</w:t>
            </w:r>
            <w:r>
              <w:rPr>
                <w:rFonts w:ascii="Times New Roman" w:hAnsi="Times New Roman" w:eastAsia="宋体" w:cs="Times New Roman"/>
                <w:spacing w:val="-2"/>
                <w:sz w:val="24"/>
                <w:szCs w:val="24"/>
              </w:rPr>
              <w:t>2</w:t>
            </w:r>
            <w:r>
              <w:rPr>
                <w:rFonts w:ascii="Times New Roman" w:hAnsi="Times New Roman" w:eastAsia="宋体" w:cs="宋体"/>
                <w:spacing w:val="-2"/>
                <w:sz w:val="24"/>
                <w:szCs w:val="24"/>
              </w:rPr>
              <w:t>）校核水力停留时间（</w:t>
            </w:r>
            <w:r>
              <w:rPr>
                <w:rFonts w:ascii="Times New Roman" w:hAnsi="Times New Roman" w:eastAsia="宋体" w:cs="Times New Roman"/>
                <w:spacing w:val="-2"/>
                <w:sz w:val="24"/>
                <w:szCs w:val="24"/>
              </w:rPr>
              <w:t>T</w:t>
            </w:r>
            <w:r>
              <w:rPr>
                <w:rFonts w:ascii="Times New Roman" w:hAnsi="Times New Roman" w:eastAsia="宋体" w:cs="宋体"/>
                <w:spacing w:val="-2"/>
                <w:sz w:val="24"/>
                <w:szCs w:val="24"/>
              </w:rPr>
              <w:t>）</w:t>
            </w:r>
          </w:p>
          <w:p w14:paraId="5EABEBFD">
            <w:pPr>
              <w:spacing w:before="176" w:line="548" w:lineRule="exact"/>
              <w:ind w:left="4143"/>
              <w:rPr>
                <w:rFonts w:ascii="Times New Roman" w:hAnsi="Times New Roman" w:eastAsia="宋体"/>
              </w:rPr>
            </w:pPr>
            <w:r>
              <w:rPr>
                <w:rFonts w:ascii="Times New Roman" w:hAnsi="Times New Roman" w:eastAsia="宋体"/>
                <w:position w:val="-11"/>
              </w:rPr>
              <w:drawing>
                <wp:inline distT="0" distB="0" distL="0" distR="0">
                  <wp:extent cx="648970" cy="347345"/>
                  <wp:effectExtent l="0" t="0" r="17780" b="14605"/>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7"/>
                          <a:stretch>
                            <a:fillRect/>
                          </a:stretch>
                        </pic:blipFill>
                        <pic:spPr>
                          <a:xfrm>
                            <a:off x="0" y="0"/>
                            <a:ext cx="649071" cy="347916"/>
                          </a:xfrm>
                          <a:prstGeom prst="rect">
                            <a:avLst/>
                          </a:prstGeom>
                        </pic:spPr>
                      </pic:pic>
                    </a:graphicData>
                  </a:graphic>
                </wp:inline>
              </w:drawing>
            </w:r>
          </w:p>
          <w:p w14:paraId="1FE909D4">
            <w:pPr>
              <w:spacing w:before="177" w:line="220" w:lineRule="auto"/>
              <w:ind w:left="127"/>
              <w:rPr>
                <w:rFonts w:ascii="Times New Roman" w:hAnsi="Times New Roman" w:eastAsia="宋体" w:cs="宋体"/>
                <w:sz w:val="24"/>
                <w:szCs w:val="24"/>
              </w:rPr>
            </w:pPr>
            <w:r>
              <w:rPr>
                <w:rFonts w:ascii="Times New Roman" w:hAnsi="Times New Roman" w:eastAsia="宋体" w:cs="宋体"/>
                <w:spacing w:val="-5"/>
                <w:sz w:val="24"/>
                <w:szCs w:val="24"/>
              </w:rPr>
              <w:t>式中：</w:t>
            </w:r>
          </w:p>
          <w:p w14:paraId="2D1EC13D">
            <w:pPr>
              <w:spacing w:before="182" w:line="219" w:lineRule="auto"/>
              <w:ind w:left="601"/>
              <w:rPr>
                <w:rFonts w:ascii="Times New Roman" w:hAnsi="Times New Roman" w:eastAsia="宋体" w:cs="宋体"/>
                <w:sz w:val="24"/>
                <w:szCs w:val="24"/>
              </w:rPr>
            </w:pPr>
            <w:r>
              <w:rPr>
                <w:rFonts w:ascii="Times New Roman" w:hAnsi="Times New Roman" w:eastAsia="宋体" w:cs="Cambria Math"/>
                <w:spacing w:val="-1"/>
                <w:sz w:val="24"/>
                <w:szCs w:val="24"/>
              </w:rPr>
              <w:t>T</w:t>
            </w:r>
            <w:r>
              <w:rPr>
                <w:rFonts w:ascii="Times New Roman" w:hAnsi="Times New Roman" w:eastAsia="宋体" w:cs="宋体"/>
                <w:spacing w:val="-1"/>
                <w:sz w:val="24"/>
                <w:szCs w:val="24"/>
              </w:rPr>
              <w:t>——水力停留时间，</w:t>
            </w:r>
            <w:r>
              <w:rPr>
                <w:rFonts w:ascii="Times New Roman" w:hAnsi="Times New Roman" w:eastAsia="宋体" w:cs="Times New Roman"/>
                <w:spacing w:val="-1"/>
                <w:sz w:val="24"/>
                <w:szCs w:val="24"/>
              </w:rPr>
              <w:t>d</w:t>
            </w:r>
            <w:r>
              <w:rPr>
                <w:rFonts w:ascii="Times New Roman" w:hAnsi="Times New Roman" w:eastAsia="宋体" w:cs="宋体"/>
                <w:spacing w:val="-1"/>
                <w:sz w:val="24"/>
                <w:szCs w:val="24"/>
              </w:rPr>
              <w:t>；</w:t>
            </w:r>
          </w:p>
          <w:p w14:paraId="735D77B7">
            <w:pPr>
              <w:spacing w:before="180" w:line="220" w:lineRule="auto"/>
              <w:ind w:left="604"/>
              <w:rPr>
                <w:rFonts w:ascii="Times New Roman" w:hAnsi="Times New Roman" w:eastAsia="宋体" w:cs="宋体"/>
                <w:sz w:val="24"/>
                <w:szCs w:val="24"/>
              </w:rPr>
            </w:pPr>
            <w:r>
              <w:rPr>
                <w:rFonts w:ascii="Times New Roman" w:hAnsi="Times New Roman" w:eastAsia="宋体" w:cs="Cambria Math"/>
                <w:spacing w:val="-1"/>
                <w:sz w:val="24"/>
                <w:szCs w:val="24"/>
              </w:rPr>
              <w:t>V</w:t>
            </w:r>
            <w:r>
              <w:rPr>
                <w:rFonts w:ascii="Times New Roman" w:hAnsi="Times New Roman" w:eastAsia="宋体" w:cs="宋体"/>
                <w:spacing w:val="-1"/>
                <w:sz w:val="24"/>
                <w:szCs w:val="24"/>
              </w:rPr>
              <w:t>——有效容积，</w:t>
            </w:r>
            <w:r>
              <w:rPr>
                <w:rFonts w:ascii="Times New Roman" w:hAnsi="Times New Roman" w:eastAsia="宋体" w:cs="Times New Roman"/>
                <w:spacing w:val="-1"/>
                <w:sz w:val="24"/>
                <w:szCs w:val="24"/>
              </w:rPr>
              <w:t>m</w:t>
            </w:r>
            <w:r>
              <w:rPr>
                <w:rFonts w:ascii="Times New Roman" w:hAnsi="Times New Roman" w:eastAsia="宋体" w:cs="Times New Roman"/>
                <w:spacing w:val="-1"/>
                <w:position w:val="7"/>
                <w:sz w:val="15"/>
                <w:szCs w:val="15"/>
              </w:rPr>
              <w:t>3</w:t>
            </w:r>
            <w:r>
              <w:rPr>
                <w:rFonts w:ascii="Times New Roman" w:hAnsi="Times New Roman" w:eastAsia="宋体" w:cs="宋体"/>
                <w:spacing w:val="-1"/>
                <w:sz w:val="24"/>
                <w:szCs w:val="24"/>
              </w:rPr>
              <w:t>；</w:t>
            </w:r>
          </w:p>
          <w:p w14:paraId="77CA66D9">
            <w:pPr>
              <w:spacing w:before="183" w:line="219" w:lineRule="auto"/>
              <w:ind w:left="596"/>
              <w:rPr>
                <w:rFonts w:ascii="Times New Roman" w:hAnsi="Times New Roman" w:eastAsia="宋体" w:cs="宋体"/>
                <w:sz w:val="24"/>
                <w:szCs w:val="24"/>
              </w:rPr>
            </w:pPr>
            <w:r>
              <w:rPr>
                <w:rFonts w:ascii="Times New Roman" w:hAnsi="Times New Roman" w:eastAsia="宋体" w:cs="Cambria Math"/>
                <w:spacing w:val="-1"/>
                <w:sz w:val="24"/>
                <w:szCs w:val="24"/>
              </w:rPr>
              <w:t>n</w:t>
            </w:r>
            <w:r>
              <w:rPr>
                <w:rFonts w:ascii="Times New Roman" w:hAnsi="Times New Roman" w:eastAsia="宋体" w:cs="宋体"/>
                <w:spacing w:val="-1"/>
                <w:sz w:val="24"/>
                <w:szCs w:val="24"/>
              </w:rPr>
              <w:t>——填料孔隙率，</w:t>
            </w:r>
            <w:r>
              <w:rPr>
                <w:rFonts w:ascii="Times New Roman" w:hAnsi="Times New Roman" w:eastAsia="宋体" w:cs="Times New Roman"/>
                <w:spacing w:val="-1"/>
                <w:sz w:val="24"/>
                <w:szCs w:val="24"/>
              </w:rPr>
              <w:t>%</w:t>
            </w:r>
            <w:r>
              <w:rPr>
                <w:rFonts w:ascii="Times New Roman" w:hAnsi="Times New Roman" w:eastAsia="宋体" w:cs="宋体"/>
                <w:spacing w:val="-1"/>
                <w:sz w:val="24"/>
                <w:szCs w:val="24"/>
              </w:rPr>
              <w:t>。</w:t>
            </w:r>
          </w:p>
          <w:p w14:paraId="67B0D662">
            <w:pPr>
              <w:spacing w:before="181" w:line="362" w:lineRule="auto"/>
              <w:ind w:left="125" w:right="109" w:firstLine="477"/>
              <w:rPr>
                <w:rFonts w:ascii="Times New Roman" w:hAnsi="Times New Roman" w:eastAsia="宋体" w:cs="宋体"/>
                <w:sz w:val="24"/>
                <w:szCs w:val="24"/>
              </w:rPr>
            </w:pPr>
            <w:r>
              <w:rPr>
                <w:rFonts w:ascii="Times New Roman" w:hAnsi="Times New Roman" w:eastAsia="宋体" w:cs="宋体"/>
                <w:spacing w:val="-1"/>
                <w:sz w:val="24"/>
                <w:szCs w:val="24"/>
              </w:rPr>
              <w:t>通过计算，陇县污水处理厂人工湿地水力停留时间为</w:t>
            </w:r>
            <w:r>
              <w:rPr>
                <w:rFonts w:ascii="Times New Roman" w:hAnsi="Times New Roman" w:eastAsia="宋体" w:cs="Times New Roman"/>
                <w:spacing w:val="-1"/>
                <w:sz w:val="24"/>
                <w:szCs w:val="24"/>
              </w:rPr>
              <w:t>1.13d</w:t>
            </w:r>
            <w:r>
              <w:rPr>
                <w:rFonts w:ascii="Times New Roman" w:hAnsi="Times New Roman" w:eastAsia="宋体" w:cs="宋体"/>
                <w:spacing w:val="-1"/>
                <w:sz w:val="24"/>
                <w:szCs w:val="24"/>
              </w:rPr>
              <w:t>，陇县千河南岸新城污</w:t>
            </w:r>
            <w:r>
              <w:rPr>
                <w:rFonts w:ascii="Times New Roman" w:hAnsi="Times New Roman" w:eastAsia="宋体" w:cs="宋体"/>
                <w:spacing w:val="-3"/>
                <w:sz w:val="24"/>
                <w:szCs w:val="24"/>
              </w:rPr>
              <w:t>水处理厂人工湿地水力停留时间为</w:t>
            </w:r>
            <w:r>
              <w:rPr>
                <w:rFonts w:ascii="Times New Roman" w:hAnsi="Times New Roman" w:eastAsia="宋体" w:cs="Times New Roman"/>
                <w:spacing w:val="-3"/>
                <w:sz w:val="24"/>
                <w:szCs w:val="24"/>
              </w:rPr>
              <w:t>1.13d</w:t>
            </w:r>
            <w:r>
              <w:rPr>
                <w:rFonts w:ascii="Times New Roman" w:hAnsi="Times New Roman" w:eastAsia="宋体" w:cs="宋体"/>
                <w:spacing w:val="-3"/>
                <w:sz w:val="24"/>
                <w:szCs w:val="24"/>
              </w:rPr>
              <w:t>，满足设计指</w:t>
            </w:r>
            <w:r>
              <w:rPr>
                <w:rFonts w:ascii="Times New Roman" w:hAnsi="Times New Roman" w:eastAsia="宋体" w:cs="宋体"/>
                <w:spacing w:val="-4"/>
                <w:sz w:val="24"/>
                <w:szCs w:val="24"/>
              </w:rPr>
              <w:t>南建议值。</w:t>
            </w:r>
          </w:p>
          <w:p w14:paraId="335806E4">
            <w:pPr>
              <w:keepNext w:val="0"/>
              <w:keepLines w:val="0"/>
              <w:pageBreakBefore w:val="0"/>
              <w:widowControl w:val="0"/>
              <w:suppressLineNumbers w:val="0"/>
              <w:kinsoku/>
              <w:wordWrap/>
              <w:overflowPunct/>
              <w:topLinePunct w:val="0"/>
              <w:autoSpaceDE/>
              <w:autoSpaceDN/>
              <w:bidi w:val="0"/>
              <w:adjustRightInd/>
              <w:snapToGrid/>
              <w:spacing w:line="360" w:lineRule="auto"/>
              <w:ind w:firstLine="500" w:firstLineChars="200"/>
              <w:jc w:val="both"/>
              <w:textAlignment w:val="auto"/>
              <w:rPr>
                <w:rFonts w:hint="eastAsia" w:ascii="Times New Roman" w:hAnsi="Times New Roman" w:eastAsia="宋体" w:cs="宋体"/>
                <w:spacing w:val="5"/>
                <w:sz w:val="24"/>
                <w:szCs w:val="24"/>
                <w:lang w:val="en-US" w:eastAsia="zh-CN"/>
              </w:rPr>
            </w:pPr>
            <w:bookmarkStart w:id="5" w:name="bookmark28"/>
            <w:bookmarkEnd w:id="5"/>
            <w:r>
              <w:rPr>
                <w:rFonts w:hint="eastAsia" w:ascii="Times New Roman" w:hAnsi="Times New Roman" w:eastAsia="宋体" w:cs="宋体"/>
                <w:spacing w:val="5"/>
                <w:sz w:val="24"/>
                <w:szCs w:val="24"/>
                <w:lang w:val="en-US" w:eastAsia="zh-CN"/>
              </w:rPr>
              <w:t>10）后处理</w:t>
            </w:r>
          </w:p>
          <w:p w14:paraId="1CEC5DA0">
            <w:pPr>
              <w:keepNext w:val="0"/>
              <w:keepLines w:val="0"/>
              <w:pageBreakBefore w:val="0"/>
              <w:widowControl w:val="0"/>
              <w:suppressLineNumbers w:val="0"/>
              <w:kinsoku/>
              <w:wordWrap/>
              <w:overflowPunct/>
              <w:topLinePunct w:val="0"/>
              <w:autoSpaceDE/>
              <w:autoSpaceDN/>
              <w:bidi w:val="0"/>
              <w:adjustRightInd/>
              <w:snapToGrid/>
              <w:spacing w:line="360" w:lineRule="auto"/>
              <w:ind w:firstLine="500" w:firstLineChars="200"/>
              <w:jc w:val="both"/>
              <w:textAlignment w:val="auto"/>
              <w:rPr>
                <w:rFonts w:hint="eastAsia" w:ascii="Times New Roman" w:hAnsi="Times New Roman" w:eastAsia="宋体" w:cs="宋体"/>
                <w:spacing w:val="5"/>
                <w:sz w:val="24"/>
                <w:szCs w:val="24"/>
                <w:lang w:val="en-US" w:eastAsia="zh-CN"/>
              </w:rPr>
            </w:pPr>
            <w:r>
              <w:rPr>
                <w:rFonts w:hint="eastAsia" w:ascii="Times New Roman" w:hAnsi="Times New Roman" w:eastAsia="宋体" w:cs="宋体"/>
                <w:spacing w:val="5"/>
                <w:sz w:val="24"/>
                <w:szCs w:val="24"/>
                <w:lang w:val="en-US" w:eastAsia="zh-CN"/>
              </w:rPr>
              <w:t>本项目的进水来自陇县污水处理厂及陇县千河南岸新城污水处理厂的出水，出水作为千河及渭河生态补水，不作为再生水利用，因此可不进行消毒。</w:t>
            </w:r>
          </w:p>
          <w:p w14:paraId="4A9B7275">
            <w:pPr>
              <w:keepNext w:val="0"/>
              <w:keepLines w:val="0"/>
              <w:pageBreakBefore w:val="0"/>
              <w:widowControl w:val="0"/>
              <w:numPr>
                <w:ilvl w:val="0"/>
                <w:numId w:val="4"/>
              </w:numPr>
              <w:suppressLineNumbers w:val="0"/>
              <w:kinsoku/>
              <w:wordWrap/>
              <w:overflowPunct/>
              <w:topLinePunct w:val="0"/>
              <w:autoSpaceDE/>
              <w:autoSpaceDN/>
              <w:bidi w:val="0"/>
              <w:adjustRightInd/>
              <w:snapToGrid/>
              <w:spacing w:line="360" w:lineRule="auto"/>
              <w:ind w:firstLine="500" w:firstLineChars="200"/>
              <w:jc w:val="both"/>
              <w:textAlignment w:val="auto"/>
              <w:rPr>
                <w:rFonts w:hint="eastAsia" w:ascii="Times New Roman" w:hAnsi="Times New Roman" w:eastAsia="宋体" w:cs="宋体"/>
                <w:spacing w:val="5"/>
                <w:sz w:val="24"/>
                <w:szCs w:val="24"/>
                <w:lang w:val="en-US" w:eastAsia="zh-CN"/>
              </w:rPr>
            </w:pPr>
            <w:r>
              <w:rPr>
                <w:rFonts w:hint="eastAsia" w:ascii="Times New Roman" w:hAnsi="Times New Roman" w:eastAsia="宋体" w:cs="宋体"/>
                <w:spacing w:val="5"/>
                <w:sz w:val="24"/>
                <w:szCs w:val="24"/>
                <w:lang w:val="en-US" w:eastAsia="zh-CN"/>
              </w:rPr>
              <w:t>护岸挡墙</w:t>
            </w:r>
          </w:p>
          <w:p w14:paraId="2DC3CE34">
            <w:pPr>
              <w:keepNext w:val="0"/>
              <w:keepLines w:val="0"/>
              <w:pageBreakBefore w:val="0"/>
              <w:widowControl w:val="0"/>
              <w:suppressLineNumbers w:val="0"/>
              <w:kinsoku/>
              <w:wordWrap/>
              <w:overflowPunct/>
              <w:topLinePunct w:val="0"/>
              <w:autoSpaceDE/>
              <w:autoSpaceDN/>
              <w:bidi w:val="0"/>
              <w:adjustRightInd/>
              <w:snapToGrid/>
              <w:spacing w:line="360" w:lineRule="auto"/>
              <w:ind w:firstLine="500" w:firstLineChars="200"/>
              <w:jc w:val="both"/>
              <w:textAlignment w:val="auto"/>
              <w:rPr>
                <w:rFonts w:hint="default" w:ascii="Times New Roman" w:hAnsi="Times New Roman" w:eastAsia="宋体" w:cs="宋体"/>
                <w:spacing w:val="5"/>
                <w:sz w:val="24"/>
                <w:szCs w:val="24"/>
                <w:lang w:val="en-US" w:eastAsia="zh-CN"/>
              </w:rPr>
            </w:pPr>
            <w:r>
              <w:rPr>
                <w:rFonts w:hint="eastAsia" w:ascii="Times New Roman" w:hAnsi="Times New Roman" w:eastAsia="宋体" w:cs="宋体"/>
                <w:spacing w:val="5"/>
                <w:sz w:val="24"/>
                <w:szCs w:val="24"/>
                <w:lang w:val="en-US" w:eastAsia="zh-CN"/>
              </w:rPr>
              <w:t>本项目护岸采用C20埋石砼，挡墙回填线以上0.5m起布设</w:t>
            </w:r>
            <w:r>
              <w:rPr>
                <w:rFonts w:hint="eastAsia" w:ascii="Times New Roman" w:hAnsi="Times New Roman" w:eastAsia="宋体" w:cs="微软雅黑"/>
                <w:spacing w:val="5"/>
                <w:sz w:val="24"/>
                <w:szCs w:val="24"/>
                <w:lang w:val="en-US" w:eastAsia="zh-CN"/>
              </w:rPr>
              <w:t>∅</w:t>
            </w:r>
            <w:r>
              <w:rPr>
                <w:rFonts w:hint="eastAsia" w:ascii="Times New Roman" w:hAnsi="Times New Roman" w:eastAsia="宋体" w:cs="宋体"/>
                <w:spacing w:val="5"/>
                <w:sz w:val="24"/>
                <w:szCs w:val="24"/>
                <w:lang w:val="en-US" w:eastAsia="zh-CN"/>
              </w:rPr>
              <w:t>50PVC管，回填线以下设宾格石笼，墙后回填及堤顶填筑采用天然级配砂砾料，护岸挡墙结构示意图见图2-5。</w:t>
            </w:r>
          </w:p>
          <w:p w14:paraId="372586DE">
            <w:pPr>
              <w:keepNext w:val="0"/>
              <w:keepLines w:val="0"/>
              <w:pageBreakBefore w:val="0"/>
              <w:widowControl w:val="0"/>
              <w:suppressLineNumbers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spacing w:val="5"/>
                <w:sz w:val="24"/>
                <w:szCs w:val="24"/>
                <w:lang w:val="en-US" w:eastAsia="zh-CN"/>
              </w:rPr>
            </w:pPr>
            <w:r>
              <w:rPr>
                <w:rFonts w:hint="eastAsia" w:ascii="Times New Roman" w:hAnsi="Times New Roman" w:eastAsia="宋体" w:cs="宋体"/>
                <w:spacing w:val="5"/>
                <w:sz w:val="24"/>
                <w:szCs w:val="24"/>
                <w:lang w:val="en-US" w:eastAsia="zh-CN"/>
              </w:rPr>
              <w:drawing>
                <wp:inline distT="0" distB="0" distL="114300" distR="114300">
                  <wp:extent cx="5112385" cy="2650490"/>
                  <wp:effectExtent l="0" t="0" r="12065" b="16510"/>
                  <wp:docPr id="28" name="图片 28" descr="d127a4e8-955d-41b5-9035-136f4aaef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127a4e8-955d-41b5-9035-136f4aaef785"/>
                          <pic:cNvPicPr>
                            <a:picLocks noChangeAspect="1"/>
                          </pic:cNvPicPr>
                        </pic:nvPicPr>
                        <pic:blipFill>
                          <a:blip r:embed="rId18"/>
                          <a:srcRect t="3460"/>
                          <a:stretch>
                            <a:fillRect/>
                          </a:stretch>
                        </pic:blipFill>
                        <pic:spPr>
                          <a:xfrm>
                            <a:off x="0" y="0"/>
                            <a:ext cx="5112385" cy="2650490"/>
                          </a:xfrm>
                          <a:prstGeom prst="rect">
                            <a:avLst/>
                          </a:prstGeom>
                        </pic:spPr>
                      </pic:pic>
                    </a:graphicData>
                  </a:graphic>
                </wp:inline>
              </w:drawing>
            </w:r>
          </w:p>
          <w:p w14:paraId="6A94D5B5">
            <w:pPr>
              <w:pStyle w:val="28"/>
              <w:spacing w:line="240" w:lineRule="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图2-5</w:t>
            </w:r>
            <w:r>
              <w:rPr>
                <w:rFonts w:hint="default" w:ascii="Times New Roman" w:hAnsi="Times New Roman" w:eastAsia="宋体" w:cs="Times New Roman"/>
                <w:color w:val="auto"/>
                <w:sz w:val="21"/>
                <w:szCs w:val="21"/>
              </w:rPr>
              <w:t xml:space="preserve">  </w:t>
            </w:r>
            <w:r>
              <w:rPr>
                <w:rFonts w:hint="eastAsia" w:ascii="Times New Roman" w:hAnsi="Times New Roman" w:eastAsia="宋体" w:cs="Times New Roman"/>
                <w:color w:val="auto"/>
                <w:sz w:val="21"/>
                <w:szCs w:val="21"/>
                <w:lang w:val="en-US" w:eastAsia="zh-CN"/>
              </w:rPr>
              <w:t>护岸挡墙结构示意图</w:t>
            </w:r>
          </w:p>
          <w:p w14:paraId="107AF7B8">
            <w:pPr>
              <w:keepNext w:val="0"/>
              <w:keepLines w:val="0"/>
              <w:pageBreakBefore w:val="0"/>
              <w:widowControl w:val="0"/>
              <w:numPr>
                <w:ilvl w:val="0"/>
                <w:numId w:val="5"/>
              </w:numPr>
              <w:suppressLineNumbers w:val="0"/>
              <w:kinsoku/>
              <w:wordWrap/>
              <w:overflowPunct/>
              <w:topLinePunct w:val="0"/>
              <w:autoSpaceDE/>
              <w:autoSpaceDN/>
              <w:bidi w:val="0"/>
              <w:adjustRightInd/>
              <w:snapToGrid/>
              <w:spacing w:line="360" w:lineRule="auto"/>
              <w:ind w:firstLine="500" w:firstLineChars="200"/>
              <w:jc w:val="both"/>
              <w:textAlignment w:val="auto"/>
              <w:rPr>
                <w:rFonts w:hint="default" w:ascii="Times New Roman" w:hAnsi="Times New Roman" w:eastAsia="宋体" w:cs="宋体"/>
                <w:spacing w:val="5"/>
                <w:sz w:val="24"/>
                <w:szCs w:val="24"/>
                <w:lang w:val="en-US" w:eastAsia="zh-CN"/>
              </w:rPr>
            </w:pPr>
            <w:r>
              <w:rPr>
                <w:rFonts w:hint="eastAsia" w:ascii="Times New Roman" w:hAnsi="Times New Roman" w:eastAsia="宋体" w:cs="宋体"/>
                <w:spacing w:val="5"/>
                <w:sz w:val="24"/>
                <w:szCs w:val="24"/>
                <w:lang w:val="en-US" w:eastAsia="zh-CN"/>
              </w:rPr>
              <w:t>铰链式护坡</w:t>
            </w:r>
          </w:p>
          <w:p w14:paraId="10450DD8">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360" w:lineRule="auto"/>
              <w:ind w:firstLine="500" w:firstLineChars="200"/>
              <w:jc w:val="both"/>
              <w:textAlignment w:val="auto"/>
              <w:rPr>
                <w:rFonts w:hint="default" w:ascii="Times New Roman" w:hAnsi="Times New Roman" w:eastAsia="宋体" w:cs="宋体"/>
                <w:spacing w:val="5"/>
                <w:sz w:val="24"/>
                <w:szCs w:val="24"/>
                <w:lang w:val="en-US" w:eastAsia="zh-CN"/>
              </w:rPr>
            </w:pPr>
            <w:r>
              <w:rPr>
                <w:rFonts w:hint="eastAsia" w:ascii="Times New Roman" w:hAnsi="Times New Roman" w:eastAsia="宋体" w:cs="宋体"/>
                <w:spacing w:val="5"/>
                <w:sz w:val="24"/>
                <w:szCs w:val="24"/>
                <w:lang w:val="en-US" w:eastAsia="zh-CN"/>
              </w:rPr>
              <w:t>本项目陇县千河南岸新城污水处理厂人工湿地临河新建铰链式护坡215m，铰链式护坡结构示意图见图2-5。</w:t>
            </w:r>
          </w:p>
          <w:p w14:paraId="25544A3D">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宋体"/>
                <w:spacing w:val="5"/>
                <w:sz w:val="24"/>
                <w:szCs w:val="24"/>
                <w:lang w:val="en-US" w:eastAsia="zh-CN"/>
              </w:rPr>
            </w:pPr>
            <w:r>
              <w:rPr>
                <w:rFonts w:hint="default" w:ascii="Times New Roman" w:hAnsi="Times New Roman" w:eastAsia="宋体" w:cs="宋体"/>
                <w:spacing w:val="5"/>
                <w:sz w:val="24"/>
                <w:szCs w:val="24"/>
                <w:lang w:val="en-US" w:eastAsia="zh-CN"/>
              </w:rPr>
              <w:drawing>
                <wp:inline distT="0" distB="0" distL="114300" distR="114300">
                  <wp:extent cx="5113655" cy="2183765"/>
                  <wp:effectExtent l="0" t="0" r="10795" b="6985"/>
                  <wp:docPr id="29" name="图片 29" descr="ded12b47-8b63-4460-b1d2-de8ceb2997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ed12b47-8b63-4460-b1d2-de8ceb29977c"/>
                          <pic:cNvPicPr>
                            <a:picLocks noChangeAspect="1"/>
                          </pic:cNvPicPr>
                        </pic:nvPicPr>
                        <pic:blipFill>
                          <a:blip r:embed="rId19"/>
                          <a:stretch>
                            <a:fillRect/>
                          </a:stretch>
                        </pic:blipFill>
                        <pic:spPr>
                          <a:xfrm>
                            <a:off x="0" y="0"/>
                            <a:ext cx="5113655" cy="2183765"/>
                          </a:xfrm>
                          <a:prstGeom prst="rect">
                            <a:avLst/>
                          </a:prstGeom>
                        </pic:spPr>
                      </pic:pic>
                    </a:graphicData>
                  </a:graphic>
                </wp:inline>
              </w:drawing>
            </w:r>
          </w:p>
          <w:p w14:paraId="77AC571D">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宋体"/>
                <w:spacing w:val="5"/>
                <w:sz w:val="24"/>
                <w:szCs w:val="24"/>
                <w:lang w:val="en-US" w:eastAsia="zh-CN"/>
              </w:rPr>
            </w:pPr>
            <w:r>
              <w:rPr>
                <w:rFonts w:hint="default" w:ascii="Times New Roman" w:hAnsi="Times New Roman" w:eastAsia="宋体" w:cs="宋体"/>
                <w:spacing w:val="5"/>
                <w:sz w:val="24"/>
                <w:szCs w:val="24"/>
                <w:lang w:val="en-US" w:eastAsia="zh-CN"/>
              </w:rPr>
              <w:drawing>
                <wp:inline distT="0" distB="0" distL="114300" distR="114300">
                  <wp:extent cx="5019675" cy="2372995"/>
                  <wp:effectExtent l="0" t="0" r="9525" b="8255"/>
                  <wp:docPr id="30" name="图片 30" descr="250152a2-d0c5-4f85-adc4-c7bbdd0c0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50152a2-d0c5-4f85-adc4-c7bbdd0c0428"/>
                          <pic:cNvPicPr>
                            <a:picLocks noChangeAspect="1"/>
                          </pic:cNvPicPr>
                        </pic:nvPicPr>
                        <pic:blipFill>
                          <a:blip r:embed="rId20"/>
                          <a:srcRect t="5325" b="5875"/>
                          <a:stretch>
                            <a:fillRect/>
                          </a:stretch>
                        </pic:blipFill>
                        <pic:spPr>
                          <a:xfrm>
                            <a:off x="0" y="0"/>
                            <a:ext cx="5019675" cy="2372995"/>
                          </a:xfrm>
                          <a:prstGeom prst="rect">
                            <a:avLst/>
                          </a:prstGeom>
                        </pic:spPr>
                      </pic:pic>
                    </a:graphicData>
                  </a:graphic>
                </wp:inline>
              </w:drawing>
            </w:r>
          </w:p>
          <w:p w14:paraId="6443E586">
            <w:pPr>
              <w:pStyle w:val="28"/>
              <w:spacing w:line="240" w:lineRule="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图2-6</w:t>
            </w:r>
            <w:r>
              <w:rPr>
                <w:rFonts w:hint="default" w:ascii="Times New Roman" w:hAnsi="Times New Roman" w:eastAsia="宋体" w:cs="Times New Roman"/>
                <w:color w:val="auto"/>
                <w:sz w:val="21"/>
                <w:szCs w:val="21"/>
              </w:rPr>
              <w:t xml:space="preserve">  </w:t>
            </w:r>
            <w:r>
              <w:rPr>
                <w:rFonts w:hint="eastAsia" w:ascii="Times New Roman" w:hAnsi="Times New Roman" w:eastAsia="宋体" w:cs="Times New Roman"/>
                <w:color w:val="auto"/>
                <w:sz w:val="21"/>
                <w:szCs w:val="21"/>
                <w:lang w:val="en-US" w:eastAsia="zh-CN"/>
              </w:rPr>
              <w:t>铰链式护坡结构示意图</w:t>
            </w:r>
          </w:p>
          <w:p w14:paraId="6DDC18E9">
            <w:pPr>
              <w:pStyle w:val="2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5、主要工程量</w:t>
            </w:r>
          </w:p>
          <w:p w14:paraId="105D7D2D">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宋体"/>
                <w:spacing w:val="5"/>
                <w:sz w:val="24"/>
                <w:szCs w:val="24"/>
                <w:lang w:val="en-US" w:eastAsia="zh-CN"/>
              </w:rPr>
            </w:pPr>
            <w:r>
              <w:rPr>
                <w:rFonts w:hint="eastAsia" w:ascii="Times New Roman" w:hAnsi="Times New Roman" w:eastAsia="宋体" w:cs="Times New Roman"/>
                <w:color w:val="auto"/>
                <w:kern w:val="0"/>
                <w:sz w:val="24"/>
                <w:szCs w:val="24"/>
                <w:highlight w:val="none"/>
                <w:vertAlign w:val="baseline"/>
                <w:lang w:val="en-US" w:eastAsia="zh-CN" w:bidi="ar"/>
              </w:rPr>
              <w:t>根据初步设计文件，</w:t>
            </w:r>
            <w:r>
              <w:rPr>
                <w:rFonts w:hint="eastAsia" w:ascii="Times New Roman" w:hAnsi="Times New Roman" w:eastAsia="宋体" w:cs="宋体"/>
                <w:spacing w:val="5"/>
                <w:sz w:val="24"/>
                <w:szCs w:val="24"/>
                <w:lang w:val="en-US" w:eastAsia="zh-CN"/>
              </w:rPr>
              <w:t>本项目主要工程量详见表2-9和表2-10。</w:t>
            </w:r>
          </w:p>
          <w:p w14:paraId="2BF794D6">
            <w:pPr>
              <w:pStyle w:val="28"/>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表2-9  陇县污水处理厂人工湿地工程量统计表</w:t>
            </w:r>
          </w:p>
          <w:tbl>
            <w:tblPr>
              <w:tblStyle w:val="36"/>
              <w:tblW w:w="793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2"/>
              <w:gridCol w:w="3546"/>
              <w:gridCol w:w="992"/>
              <w:gridCol w:w="1295"/>
              <w:gridCol w:w="1379"/>
            </w:tblGrid>
            <w:tr w14:paraId="53009B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jc w:val="center"/>
              </w:trPr>
              <w:tc>
                <w:tcPr>
                  <w:tcW w:w="722" w:type="dxa"/>
                  <w:noWrap w:val="0"/>
                  <w:vAlign w:val="center"/>
                </w:tcPr>
                <w:p w14:paraId="4668C060">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r>
                    <w:rPr>
                      <w:rFonts w:ascii="Times New Roman" w:hAnsi="Times New Roman" w:eastAsia="宋体"/>
                      <w:spacing w:val="5"/>
                      <w:sz w:val="21"/>
                      <w:szCs w:val="21"/>
                    </w:rPr>
                    <w:t>序号</w:t>
                  </w:r>
                </w:p>
              </w:tc>
              <w:tc>
                <w:tcPr>
                  <w:tcW w:w="3546" w:type="dxa"/>
                  <w:noWrap w:val="0"/>
                  <w:vAlign w:val="center"/>
                </w:tcPr>
                <w:p w14:paraId="7F0E471B">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r>
                    <w:rPr>
                      <w:rFonts w:ascii="Times New Roman" w:hAnsi="Times New Roman" w:eastAsia="宋体"/>
                      <w:spacing w:val="3"/>
                      <w:sz w:val="21"/>
                      <w:szCs w:val="21"/>
                    </w:rPr>
                    <w:t>项目</w:t>
                  </w:r>
                </w:p>
              </w:tc>
              <w:tc>
                <w:tcPr>
                  <w:tcW w:w="992" w:type="dxa"/>
                  <w:noWrap w:val="0"/>
                  <w:vAlign w:val="center"/>
                </w:tcPr>
                <w:p w14:paraId="5E23CB72">
                  <w:pPr>
                    <w:pStyle w:val="35"/>
                    <w:keepNext w:val="0"/>
                    <w:keepLines w:val="0"/>
                    <w:pageBreakBefore w:val="0"/>
                    <w:widowControl w:val="0"/>
                    <w:kinsoku/>
                    <w:wordWrap/>
                    <w:overflowPunct/>
                    <w:topLinePunct w:val="0"/>
                    <w:autoSpaceDE/>
                    <w:autoSpaceDN/>
                    <w:bidi w:val="0"/>
                    <w:adjustRightInd/>
                    <w:snapToGrid/>
                    <w:spacing w:line="240" w:lineRule="auto"/>
                    <w:ind w:left="235"/>
                    <w:jc w:val="center"/>
                    <w:textAlignment w:val="auto"/>
                    <w:rPr>
                      <w:rFonts w:ascii="Times New Roman" w:hAnsi="Times New Roman" w:eastAsia="宋体"/>
                      <w:sz w:val="21"/>
                      <w:szCs w:val="21"/>
                    </w:rPr>
                  </w:pPr>
                  <w:r>
                    <w:rPr>
                      <w:rFonts w:ascii="Times New Roman" w:hAnsi="Times New Roman" w:eastAsia="宋体"/>
                      <w:spacing w:val="3"/>
                      <w:sz w:val="21"/>
                      <w:szCs w:val="21"/>
                    </w:rPr>
                    <w:t>单位</w:t>
                  </w:r>
                </w:p>
              </w:tc>
              <w:tc>
                <w:tcPr>
                  <w:tcW w:w="1295" w:type="dxa"/>
                  <w:noWrap w:val="0"/>
                  <w:vAlign w:val="center"/>
                </w:tcPr>
                <w:p w14:paraId="0B7BCF84">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r>
                    <w:rPr>
                      <w:rFonts w:ascii="Times New Roman" w:hAnsi="Times New Roman" w:eastAsia="宋体"/>
                      <w:spacing w:val="3"/>
                      <w:sz w:val="21"/>
                      <w:szCs w:val="21"/>
                    </w:rPr>
                    <w:t>数量</w:t>
                  </w:r>
                </w:p>
              </w:tc>
              <w:tc>
                <w:tcPr>
                  <w:tcW w:w="1379" w:type="dxa"/>
                  <w:noWrap w:val="0"/>
                  <w:vAlign w:val="center"/>
                </w:tcPr>
                <w:p w14:paraId="386CF6A0">
                  <w:pPr>
                    <w:pStyle w:val="35"/>
                    <w:keepNext w:val="0"/>
                    <w:keepLines w:val="0"/>
                    <w:pageBreakBefore w:val="0"/>
                    <w:widowControl w:val="0"/>
                    <w:kinsoku/>
                    <w:wordWrap/>
                    <w:overflowPunct/>
                    <w:topLinePunct w:val="0"/>
                    <w:autoSpaceDE/>
                    <w:autoSpaceDN/>
                    <w:bidi w:val="0"/>
                    <w:adjustRightInd/>
                    <w:snapToGrid/>
                    <w:spacing w:line="240" w:lineRule="auto"/>
                    <w:ind w:left="227"/>
                    <w:jc w:val="center"/>
                    <w:textAlignment w:val="auto"/>
                    <w:rPr>
                      <w:rFonts w:ascii="Times New Roman" w:hAnsi="Times New Roman" w:eastAsia="宋体"/>
                      <w:sz w:val="21"/>
                      <w:szCs w:val="21"/>
                    </w:rPr>
                  </w:pPr>
                  <w:r>
                    <w:rPr>
                      <w:rFonts w:ascii="Times New Roman" w:hAnsi="Times New Roman" w:eastAsia="宋体"/>
                      <w:spacing w:val="3"/>
                      <w:sz w:val="21"/>
                      <w:szCs w:val="21"/>
                    </w:rPr>
                    <w:t>备注</w:t>
                  </w:r>
                </w:p>
              </w:tc>
            </w:tr>
            <w:tr w14:paraId="20C9C7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jc w:val="center"/>
              </w:trPr>
              <w:tc>
                <w:tcPr>
                  <w:tcW w:w="722" w:type="dxa"/>
                  <w:noWrap w:val="0"/>
                  <w:vAlign w:val="center"/>
                </w:tcPr>
                <w:p w14:paraId="540E0F2A">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5"/>
                      <w:sz w:val="21"/>
                      <w:szCs w:val="21"/>
                    </w:rPr>
                  </w:pPr>
                  <w:r>
                    <w:rPr>
                      <w:rFonts w:ascii="Times New Roman" w:hAnsi="Times New Roman" w:eastAsia="宋体" w:cs="宋体"/>
                      <w:spacing w:val="5"/>
                      <w:sz w:val="21"/>
                      <w:szCs w:val="21"/>
                    </w:rPr>
                    <w:t>1</w:t>
                  </w:r>
                </w:p>
              </w:tc>
              <w:tc>
                <w:tcPr>
                  <w:tcW w:w="3546" w:type="dxa"/>
                  <w:noWrap w:val="0"/>
                  <w:vAlign w:val="center"/>
                </w:tcPr>
                <w:p w14:paraId="170CBC01">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3"/>
                      <w:sz w:val="21"/>
                      <w:szCs w:val="21"/>
                    </w:rPr>
                  </w:pPr>
                  <w:r>
                    <w:rPr>
                      <w:rFonts w:ascii="Times New Roman" w:hAnsi="Times New Roman" w:eastAsia="宋体" w:cs="宋体"/>
                      <w:spacing w:val="3"/>
                      <w:sz w:val="21"/>
                      <w:szCs w:val="21"/>
                    </w:rPr>
                    <w:t>土方开挖</w:t>
                  </w:r>
                </w:p>
              </w:tc>
              <w:tc>
                <w:tcPr>
                  <w:tcW w:w="992" w:type="dxa"/>
                  <w:noWrap w:val="0"/>
                  <w:vAlign w:val="center"/>
                </w:tcPr>
                <w:p w14:paraId="655A19C9">
                  <w:pPr>
                    <w:keepNext w:val="0"/>
                    <w:keepLines w:val="0"/>
                    <w:pageBreakBefore w:val="0"/>
                    <w:widowControl w:val="0"/>
                    <w:kinsoku/>
                    <w:wordWrap/>
                    <w:overflowPunct/>
                    <w:topLinePunct w:val="0"/>
                    <w:autoSpaceDE/>
                    <w:autoSpaceDN/>
                    <w:bidi w:val="0"/>
                    <w:adjustRightInd/>
                    <w:snapToGrid/>
                    <w:spacing w:line="240" w:lineRule="auto"/>
                    <w:ind w:left="323"/>
                    <w:jc w:val="center"/>
                    <w:textAlignment w:val="auto"/>
                    <w:rPr>
                      <w:rFonts w:ascii="Times New Roman" w:hAnsi="Times New Roman" w:eastAsia="宋体" w:cs="Times New Roman"/>
                      <w:sz w:val="21"/>
                      <w:szCs w:val="21"/>
                    </w:rPr>
                  </w:pPr>
                  <w:r>
                    <w:rPr>
                      <w:rFonts w:ascii="Times New Roman" w:hAnsi="Times New Roman" w:eastAsia="宋体" w:cs="Times New Roman"/>
                      <w:spacing w:val="3"/>
                      <w:position w:val="-3"/>
                      <w:sz w:val="21"/>
                      <w:szCs w:val="21"/>
                    </w:rPr>
                    <w:t>m</w:t>
                  </w:r>
                  <w:r>
                    <w:rPr>
                      <w:rFonts w:ascii="Times New Roman" w:hAnsi="Times New Roman" w:eastAsia="宋体" w:cs="Times New Roman"/>
                      <w:spacing w:val="3"/>
                      <w:position w:val="3"/>
                      <w:sz w:val="21"/>
                      <w:szCs w:val="21"/>
                    </w:rPr>
                    <w:t>3</w:t>
                  </w:r>
                </w:p>
              </w:tc>
              <w:tc>
                <w:tcPr>
                  <w:tcW w:w="1295" w:type="dxa"/>
                  <w:noWrap w:val="0"/>
                  <w:vAlign w:val="center"/>
                </w:tcPr>
                <w:p w14:paraId="7AC1AED7">
                  <w:pPr>
                    <w:keepNext w:val="0"/>
                    <w:keepLines w:val="0"/>
                    <w:pageBreakBefore w:val="0"/>
                    <w:widowControl w:val="0"/>
                    <w:kinsoku/>
                    <w:wordWrap/>
                    <w:overflowPunct/>
                    <w:topLinePunct w:val="0"/>
                    <w:autoSpaceDE/>
                    <w:autoSpaceDN/>
                    <w:bidi w:val="0"/>
                    <w:adjustRightInd/>
                    <w:snapToGrid/>
                    <w:spacing w:line="240" w:lineRule="auto"/>
                    <w:ind w:left="323"/>
                    <w:jc w:val="center"/>
                    <w:textAlignment w:val="auto"/>
                    <w:rPr>
                      <w:rFonts w:ascii="Times New Roman" w:hAnsi="Times New Roman" w:eastAsia="宋体" w:cs="Times New Roman"/>
                      <w:spacing w:val="3"/>
                      <w:position w:val="-3"/>
                      <w:sz w:val="21"/>
                      <w:szCs w:val="21"/>
                    </w:rPr>
                  </w:pPr>
                  <w:r>
                    <w:rPr>
                      <w:rFonts w:ascii="Times New Roman" w:hAnsi="Times New Roman" w:eastAsia="宋体" w:cs="Times New Roman"/>
                      <w:spacing w:val="3"/>
                      <w:position w:val="-3"/>
                      <w:sz w:val="21"/>
                      <w:szCs w:val="21"/>
                    </w:rPr>
                    <w:t>26961</w:t>
                  </w:r>
                </w:p>
              </w:tc>
              <w:tc>
                <w:tcPr>
                  <w:tcW w:w="1379" w:type="dxa"/>
                  <w:noWrap w:val="0"/>
                  <w:vAlign w:val="center"/>
                </w:tcPr>
                <w:p w14:paraId="6F0910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p>
              </w:tc>
            </w:tr>
            <w:tr w14:paraId="5031E9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jc w:val="center"/>
              </w:trPr>
              <w:tc>
                <w:tcPr>
                  <w:tcW w:w="722" w:type="dxa"/>
                  <w:noWrap w:val="0"/>
                  <w:vAlign w:val="center"/>
                </w:tcPr>
                <w:p w14:paraId="12218098">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5"/>
                      <w:sz w:val="21"/>
                      <w:szCs w:val="21"/>
                    </w:rPr>
                  </w:pPr>
                  <w:r>
                    <w:rPr>
                      <w:rFonts w:ascii="Times New Roman" w:hAnsi="Times New Roman" w:eastAsia="宋体" w:cs="宋体"/>
                      <w:spacing w:val="5"/>
                      <w:sz w:val="21"/>
                      <w:szCs w:val="21"/>
                    </w:rPr>
                    <w:t>2</w:t>
                  </w:r>
                </w:p>
              </w:tc>
              <w:tc>
                <w:tcPr>
                  <w:tcW w:w="3546" w:type="dxa"/>
                  <w:noWrap w:val="0"/>
                  <w:vAlign w:val="center"/>
                </w:tcPr>
                <w:p w14:paraId="2B62FB5A">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3"/>
                      <w:sz w:val="21"/>
                      <w:szCs w:val="21"/>
                    </w:rPr>
                  </w:pPr>
                  <w:r>
                    <w:rPr>
                      <w:rFonts w:ascii="Times New Roman" w:hAnsi="Times New Roman" w:eastAsia="宋体" w:cs="宋体"/>
                      <w:spacing w:val="3"/>
                      <w:sz w:val="21"/>
                      <w:szCs w:val="21"/>
                    </w:rPr>
                    <w:t>土方回填</w:t>
                  </w:r>
                </w:p>
              </w:tc>
              <w:tc>
                <w:tcPr>
                  <w:tcW w:w="992" w:type="dxa"/>
                  <w:noWrap w:val="0"/>
                  <w:vAlign w:val="center"/>
                </w:tcPr>
                <w:p w14:paraId="260C6E4E">
                  <w:pPr>
                    <w:keepNext w:val="0"/>
                    <w:keepLines w:val="0"/>
                    <w:pageBreakBefore w:val="0"/>
                    <w:widowControl w:val="0"/>
                    <w:kinsoku/>
                    <w:wordWrap/>
                    <w:overflowPunct/>
                    <w:topLinePunct w:val="0"/>
                    <w:autoSpaceDE/>
                    <w:autoSpaceDN/>
                    <w:bidi w:val="0"/>
                    <w:adjustRightInd/>
                    <w:snapToGrid/>
                    <w:spacing w:line="240" w:lineRule="auto"/>
                    <w:ind w:left="323"/>
                    <w:jc w:val="center"/>
                    <w:textAlignment w:val="auto"/>
                    <w:rPr>
                      <w:rFonts w:ascii="Times New Roman" w:hAnsi="Times New Roman" w:eastAsia="宋体" w:cs="Times New Roman"/>
                      <w:sz w:val="21"/>
                      <w:szCs w:val="21"/>
                    </w:rPr>
                  </w:pPr>
                  <w:r>
                    <w:rPr>
                      <w:rFonts w:ascii="Times New Roman" w:hAnsi="Times New Roman" w:eastAsia="宋体" w:cs="Times New Roman"/>
                      <w:spacing w:val="3"/>
                      <w:position w:val="-3"/>
                      <w:sz w:val="21"/>
                      <w:szCs w:val="21"/>
                    </w:rPr>
                    <w:t>m</w:t>
                  </w:r>
                  <w:r>
                    <w:rPr>
                      <w:rFonts w:ascii="Times New Roman" w:hAnsi="Times New Roman" w:eastAsia="宋体" w:cs="Times New Roman"/>
                      <w:spacing w:val="3"/>
                      <w:position w:val="3"/>
                      <w:sz w:val="21"/>
                      <w:szCs w:val="21"/>
                    </w:rPr>
                    <w:t>3</w:t>
                  </w:r>
                </w:p>
              </w:tc>
              <w:tc>
                <w:tcPr>
                  <w:tcW w:w="1295" w:type="dxa"/>
                  <w:noWrap w:val="0"/>
                  <w:vAlign w:val="center"/>
                </w:tcPr>
                <w:p w14:paraId="044E3F0F">
                  <w:pPr>
                    <w:keepNext w:val="0"/>
                    <w:keepLines w:val="0"/>
                    <w:pageBreakBefore w:val="0"/>
                    <w:widowControl w:val="0"/>
                    <w:kinsoku/>
                    <w:wordWrap/>
                    <w:overflowPunct/>
                    <w:topLinePunct w:val="0"/>
                    <w:autoSpaceDE/>
                    <w:autoSpaceDN/>
                    <w:bidi w:val="0"/>
                    <w:adjustRightInd/>
                    <w:snapToGrid/>
                    <w:spacing w:line="240" w:lineRule="auto"/>
                    <w:ind w:left="323"/>
                    <w:jc w:val="center"/>
                    <w:textAlignment w:val="auto"/>
                    <w:rPr>
                      <w:rFonts w:ascii="Times New Roman" w:hAnsi="Times New Roman" w:eastAsia="宋体" w:cs="Times New Roman"/>
                      <w:spacing w:val="3"/>
                      <w:position w:val="-3"/>
                      <w:sz w:val="21"/>
                      <w:szCs w:val="21"/>
                    </w:rPr>
                  </w:pPr>
                  <w:r>
                    <w:rPr>
                      <w:rFonts w:ascii="Times New Roman" w:hAnsi="Times New Roman" w:eastAsia="宋体" w:cs="Times New Roman"/>
                      <w:spacing w:val="3"/>
                      <w:position w:val="-3"/>
                      <w:sz w:val="21"/>
                      <w:szCs w:val="21"/>
                    </w:rPr>
                    <w:t>5129</w:t>
                  </w:r>
                </w:p>
              </w:tc>
              <w:tc>
                <w:tcPr>
                  <w:tcW w:w="1379" w:type="dxa"/>
                  <w:noWrap w:val="0"/>
                  <w:vAlign w:val="center"/>
                </w:tcPr>
                <w:p w14:paraId="427401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p>
              </w:tc>
            </w:tr>
            <w:tr w14:paraId="75E1E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jc w:val="center"/>
              </w:trPr>
              <w:tc>
                <w:tcPr>
                  <w:tcW w:w="722" w:type="dxa"/>
                  <w:noWrap w:val="0"/>
                  <w:vAlign w:val="center"/>
                </w:tcPr>
                <w:p w14:paraId="6AA15108">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5"/>
                      <w:sz w:val="21"/>
                      <w:szCs w:val="21"/>
                    </w:rPr>
                  </w:pPr>
                  <w:r>
                    <w:rPr>
                      <w:rFonts w:ascii="Times New Roman" w:hAnsi="Times New Roman" w:eastAsia="宋体" w:cs="宋体"/>
                      <w:spacing w:val="5"/>
                      <w:sz w:val="21"/>
                      <w:szCs w:val="21"/>
                    </w:rPr>
                    <w:t>3</w:t>
                  </w:r>
                </w:p>
              </w:tc>
              <w:tc>
                <w:tcPr>
                  <w:tcW w:w="3546" w:type="dxa"/>
                  <w:noWrap w:val="0"/>
                  <w:vAlign w:val="center"/>
                </w:tcPr>
                <w:p w14:paraId="670E3DF3">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3"/>
                      <w:sz w:val="21"/>
                      <w:szCs w:val="21"/>
                    </w:rPr>
                  </w:pPr>
                  <w:r>
                    <w:rPr>
                      <w:rFonts w:ascii="Times New Roman" w:hAnsi="Times New Roman" w:eastAsia="宋体" w:cs="宋体"/>
                      <w:spacing w:val="3"/>
                      <w:sz w:val="21"/>
                      <w:szCs w:val="21"/>
                    </w:rPr>
                    <w:t>清表</w:t>
                  </w:r>
                </w:p>
              </w:tc>
              <w:tc>
                <w:tcPr>
                  <w:tcW w:w="992" w:type="dxa"/>
                  <w:noWrap w:val="0"/>
                  <w:vAlign w:val="center"/>
                </w:tcPr>
                <w:p w14:paraId="1BBF023C">
                  <w:pPr>
                    <w:keepNext w:val="0"/>
                    <w:keepLines w:val="0"/>
                    <w:pageBreakBefore w:val="0"/>
                    <w:widowControl w:val="0"/>
                    <w:kinsoku/>
                    <w:wordWrap/>
                    <w:overflowPunct/>
                    <w:topLinePunct w:val="0"/>
                    <w:autoSpaceDE/>
                    <w:autoSpaceDN/>
                    <w:bidi w:val="0"/>
                    <w:adjustRightInd/>
                    <w:snapToGrid/>
                    <w:spacing w:line="240" w:lineRule="auto"/>
                    <w:ind w:left="323"/>
                    <w:jc w:val="center"/>
                    <w:textAlignment w:val="auto"/>
                    <w:rPr>
                      <w:rFonts w:ascii="Times New Roman" w:hAnsi="Times New Roman" w:eastAsia="宋体" w:cs="Times New Roman"/>
                      <w:sz w:val="21"/>
                      <w:szCs w:val="21"/>
                    </w:rPr>
                  </w:pPr>
                  <w:r>
                    <w:rPr>
                      <w:rFonts w:ascii="Times New Roman" w:hAnsi="Times New Roman" w:eastAsia="宋体" w:cs="Times New Roman"/>
                      <w:spacing w:val="3"/>
                      <w:position w:val="-3"/>
                      <w:sz w:val="21"/>
                      <w:szCs w:val="21"/>
                    </w:rPr>
                    <w:t>m</w:t>
                  </w:r>
                  <w:r>
                    <w:rPr>
                      <w:rFonts w:ascii="Times New Roman" w:hAnsi="Times New Roman" w:eastAsia="宋体" w:cs="Times New Roman"/>
                      <w:spacing w:val="3"/>
                      <w:position w:val="3"/>
                      <w:sz w:val="21"/>
                      <w:szCs w:val="21"/>
                    </w:rPr>
                    <w:t>2</w:t>
                  </w:r>
                </w:p>
              </w:tc>
              <w:tc>
                <w:tcPr>
                  <w:tcW w:w="1295" w:type="dxa"/>
                  <w:noWrap w:val="0"/>
                  <w:vAlign w:val="center"/>
                </w:tcPr>
                <w:p w14:paraId="62467361">
                  <w:pPr>
                    <w:keepNext w:val="0"/>
                    <w:keepLines w:val="0"/>
                    <w:pageBreakBefore w:val="0"/>
                    <w:widowControl w:val="0"/>
                    <w:kinsoku/>
                    <w:wordWrap/>
                    <w:overflowPunct/>
                    <w:topLinePunct w:val="0"/>
                    <w:autoSpaceDE/>
                    <w:autoSpaceDN/>
                    <w:bidi w:val="0"/>
                    <w:adjustRightInd/>
                    <w:snapToGrid/>
                    <w:spacing w:line="240" w:lineRule="auto"/>
                    <w:ind w:left="323"/>
                    <w:jc w:val="center"/>
                    <w:textAlignment w:val="auto"/>
                    <w:rPr>
                      <w:rFonts w:ascii="Times New Roman" w:hAnsi="Times New Roman" w:eastAsia="宋体" w:cs="Times New Roman"/>
                      <w:spacing w:val="3"/>
                      <w:position w:val="-3"/>
                      <w:sz w:val="21"/>
                      <w:szCs w:val="21"/>
                    </w:rPr>
                  </w:pPr>
                  <w:r>
                    <w:rPr>
                      <w:rFonts w:ascii="Times New Roman" w:hAnsi="Times New Roman" w:eastAsia="宋体" w:cs="Times New Roman"/>
                      <w:spacing w:val="3"/>
                      <w:position w:val="-3"/>
                      <w:sz w:val="21"/>
                      <w:szCs w:val="21"/>
                    </w:rPr>
                    <w:t>9536</w:t>
                  </w:r>
                </w:p>
              </w:tc>
              <w:tc>
                <w:tcPr>
                  <w:tcW w:w="1379" w:type="dxa"/>
                  <w:noWrap w:val="0"/>
                  <w:vAlign w:val="center"/>
                </w:tcPr>
                <w:p w14:paraId="683443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p>
              </w:tc>
            </w:tr>
            <w:tr w14:paraId="359EDE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jc w:val="center"/>
              </w:trPr>
              <w:tc>
                <w:tcPr>
                  <w:tcW w:w="722" w:type="dxa"/>
                  <w:noWrap w:val="0"/>
                  <w:vAlign w:val="center"/>
                </w:tcPr>
                <w:p w14:paraId="7718703C">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5"/>
                      <w:sz w:val="21"/>
                      <w:szCs w:val="21"/>
                    </w:rPr>
                  </w:pPr>
                  <w:r>
                    <w:rPr>
                      <w:rFonts w:ascii="Times New Roman" w:hAnsi="Times New Roman" w:eastAsia="宋体" w:cs="宋体"/>
                      <w:spacing w:val="5"/>
                      <w:sz w:val="21"/>
                      <w:szCs w:val="21"/>
                    </w:rPr>
                    <w:t>4</w:t>
                  </w:r>
                </w:p>
              </w:tc>
              <w:tc>
                <w:tcPr>
                  <w:tcW w:w="3546" w:type="dxa"/>
                  <w:noWrap w:val="0"/>
                  <w:vAlign w:val="center"/>
                </w:tcPr>
                <w:p w14:paraId="4D1119C3">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3"/>
                      <w:sz w:val="21"/>
                      <w:szCs w:val="21"/>
                    </w:rPr>
                  </w:pPr>
                  <w:r>
                    <w:rPr>
                      <w:rFonts w:ascii="Times New Roman" w:hAnsi="Times New Roman" w:eastAsia="宋体" w:cs="宋体"/>
                      <w:spacing w:val="3"/>
                      <w:sz w:val="21"/>
                      <w:szCs w:val="21"/>
                    </w:rPr>
                    <w:t>清理树木、树根</w:t>
                  </w:r>
                  <w:r>
                    <w:rPr>
                      <w:rFonts w:hint="eastAsia" w:ascii="Times New Roman" w:hAnsi="Times New Roman" w:eastAsia="宋体" w:cs="宋体"/>
                      <w:spacing w:val="3"/>
                      <w:sz w:val="21"/>
                      <w:szCs w:val="21"/>
                      <w:lang w:eastAsia="zh-CN"/>
                    </w:rPr>
                    <w:t>（</w:t>
                  </w:r>
                  <w:r>
                    <w:rPr>
                      <w:rFonts w:ascii="Times New Roman" w:hAnsi="Times New Roman" w:eastAsia="宋体" w:cs="宋体"/>
                      <w:spacing w:val="3"/>
                      <w:sz w:val="21"/>
                      <w:szCs w:val="21"/>
                    </w:rPr>
                    <w:t>≤10cm</w:t>
                  </w:r>
                  <w:r>
                    <w:rPr>
                      <w:rFonts w:hint="eastAsia" w:ascii="Times New Roman" w:hAnsi="Times New Roman" w:eastAsia="宋体" w:cs="宋体"/>
                      <w:spacing w:val="3"/>
                      <w:sz w:val="21"/>
                      <w:szCs w:val="21"/>
                      <w:lang w:eastAsia="zh-CN"/>
                    </w:rPr>
                    <w:t>）</w:t>
                  </w:r>
                </w:p>
              </w:tc>
              <w:tc>
                <w:tcPr>
                  <w:tcW w:w="992" w:type="dxa"/>
                  <w:noWrap w:val="0"/>
                  <w:vAlign w:val="center"/>
                </w:tcPr>
                <w:p w14:paraId="7BED353D">
                  <w:pPr>
                    <w:pStyle w:val="35"/>
                    <w:keepNext w:val="0"/>
                    <w:keepLines w:val="0"/>
                    <w:pageBreakBefore w:val="0"/>
                    <w:widowControl w:val="0"/>
                    <w:kinsoku/>
                    <w:wordWrap/>
                    <w:overflowPunct/>
                    <w:topLinePunct w:val="0"/>
                    <w:autoSpaceDE/>
                    <w:autoSpaceDN/>
                    <w:bidi w:val="0"/>
                    <w:adjustRightInd/>
                    <w:snapToGrid/>
                    <w:spacing w:line="240" w:lineRule="auto"/>
                    <w:ind w:left="339"/>
                    <w:jc w:val="center"/>
                    <w:textAlignment w:val="auto"/>
                    <w:rPr>
                      <w:rFonts w:ascii="Times New Roman" w:hAnsi="Times New Roman" w:eastAsia="宋体"/>
                      <w:sz w:val="21"/>
                      <w:szCs w:val="21"/>
                    </w:rPr>
                  </w:pPr>
                  <w:r>
                    <w:rPr>
                      <w:rFonts w:ascii="Times New Roman" w:hAnsi="Times New Roman" w:eastAsia="宋体"/>
                      <w:sz w:val="21"/>
                      <w:szCs w:val="21"/>
                    </w:rPr>
                    <w:t>株</w:t>
                  </w:r>
                </w:p>
              </w:tc>
              <w:tc>
                <w:tcPr>
                  <w:tcW w:w="1295" w:type="dxa"/>
                  <w:noWrap w:val="0"/>
                  <w:vAlign w:val="center"/>
                </w:tcPr>
                <w:p w14:paraId="545A8436">
                  <w:pPr>
                    <w:keepNext w:val="0"/>
                    <w:keepLines w:val="0"/>
                    <w:pageBreakBefore w:val="0"/>
                    <w:widowControl w:val="0"/>
                    <w:kinsoku/>
                    <w:wordWrap/>
                    <w:overflowPunct/>
                    <w:topLinePunct w:val="0"/>
                    <w:autoSpaceDE/>
                    <w:autoSpaceDN/>
                    <w:bidi w:val="0"/>
                    <w:adjustRightInd/>
                    <w:snapToGrid/>
                    <w:spacing w:line="240" w:lineRule="auto"/>
                    <w:ind w:left="323"/>
                    <w:jc w:val="center"/>
                    <w:textAlignment w:val="auto"/>
                    <w:rPr>
                      <w:rFonts w:ascii="Times New Roman" w:hAnsi="Times New Roman" w:eastAsia="宋体" w:cs="Times New Roman"/>
                      <w:spacing w:val="3"/>
                      <w:position w:val="-3"/>
                      <w:sz w:val="21"/>
                      <w:szCs w:val="21"/>
                    </w:rPr>
                  </w:pPr>
                  <w:r>
                    <w:rPr>
                      <w:rFonts w:ascii="Times New Roman" w:hAnsi="Times New Roman" w:eastAsia="宋体" w:cs="Times New Roman"/>
                      <w:spacing w:val="3"/>
                      <w:position w:val="-3"/>
                      <w:sz w:val="21"/>
                      <w:szCs w:val="21"/>
                    </w:rPr>
                    <w:t>2698</w:t>
                  </w:r>
                </w:p>
              </w:tc>
              <w:tc>
                <w:tcPr>
                  <w:tcW w:w="1379" w:type="dxa"/>
                  <w:noWrap w:val="0"/>
                  <w:vAlign w:val="center"/>
                </w:tcPr>
                <w:p w14:paraId="634C53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p>
              </w:tc>
            </w:tr>
            <w:tr w14:paraId="1305C9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jc w:val="center"/>
              </w:trPr>
              <w:tc>
                <w:tcPr>
                  <w:tcW w:w="722" w:type="dxa"/>
                  <w:noWrap w:val="0"/>
                  <w:vAlign w:val="center"/>
                </w:tcPr>
                <w:p w14:paraId="5703DA91">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5"/>
                      <w:sz w:val="21"/>
                      <w:szCs w:val="21"/>
                    </w:rPr>
                  </w:pPr>
                  <w:r>
                    <w:rPr>
                      <w:rFonts w:ascii="Times New Roman" w:hAnsi="Times New Roman" w:eastAsia="宋体" w:cs="宋体"/>
                      <w:spacing w:val="5"/>
                      <w:sz w:val="21"/>
                      <w:szCs w:val="21"/>
                    </w:rPr>
                    <w:t>5</w:t>
                  </w:r>
                </w:p>
              </w:tc>
              <w:tc>
                <w:tcPr>
                  <w:tcW w:w="3546" w:type="dxa"/>
                  <w:noWrap w:val="0"/>
                  <w:vAlign w:val="center"/>
                </w:tcPr>
                <w:p w14:paraId="6F734F3F">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3"/>
                      <w:sz w:val="21"/>
                      <w:szCs w:val="21"/>
                    </w:rPr>
                  </w:pPr>
                  <w:r>
                    <w:rPr>
                      <w:rFonts w:ascii="Times New Roman" w:hAnsi="Times New Roman" w:eastAsia="宋体" w:cs="宋体"/>
                      <w:spacing w:val="3"/>
                      <w:sz w:val="21"/>
                      <w:szCs w:val="21"/>
                    </w:rPr>
                    <w:t>外购沸石（10mm-50mm）</w:t>
                  </w:r>
                </w:p>
              </w:tc>
              <w:tc>
                <w:tcPr>
                  <w:tcW w:w="992" w:type="dxa"/>
                  <w:noWrap w:val="0"/>
                  <w:vAlign w:val="center"/>
                </w:tcPr>
                <w:p w14:paraId="7EB3CBE5">
                  <w:pPr>
                    <w:keepNext w:val="0"/>
                    <w:keepLines w:val="0"/>
                    <w:pageBreakBefore w:val="0"/>
                    <w:widowControl w:val="0"/>
                    <w:kinsoku/>
                    <w:wordWrap/>
                    <w:overflowPunct/>
                    <w:topLinePunct w:val="0"/>
                    <w:autoSpaceDE/>
                    <w:autoSpaceDN/>
                    <w:bidi w:val="0"/>
                    <w:adjustRightInd/>
                    <w:snapToGrid/>
                    <w:spacing w:line="240" w:lineRule="auto"/>
                    <w:ind w:left="323"/>
                    <w:jc w:val="center"/>
                    <w:textAlignment w:val="auto"/>
                    <w:rPr>
                      <w:rFonts w:ascii="Times New Roman" w:hAnsi="Times New Roman" w:eastAsia="宋体" w:cs="Times New Roman"/>
                      <w:sz w:val="21"/>
                      <w:szCs w:val="21"/>
                    </w:rPr>
                  </w:pPr>
                  <w:r>
                    <w:rPr>
                      <w:rFonts w:ascii="Times New Roman" w:hAnsi="Times New Roman" w:eastAsia="宋体" w:cs="Times New Roman"/>
                      <w:spacing w:val="3"/>
                      <w:position w:val="-3"/>
                      <w:sz w:val="21"/>
                      <w:szCs w:val="21"/>
                    </w:rPr>
                    <w:t>m</w:t>
                  </w:r>
                  <w:r>
                    <w:rPr>
                      <w:rFonts w:ascii="Times New Roman" w:hAnsi="Times New Roman" w:eastAsia="宋体" w:cs="Times New Roman"/>
                      <w:spacing w:val="3"/>
                      <w:position w:val="3"/>
                      <w:sz w:val="21"/>
                      <w:szCs w:val="21"/>
                    </w:rPr>
                    <w:t>3</w:t>
                  </w:r>
                </w:p>
              </w:tc>
              <w:tc>
                <w:tcPr>
                  <w:tcW w:w="1295" w:type="dxa"/>
                  <w:noWrap w:val="0"/>
                  <w:vAlign w:val="center"/>
                </w:tcPr>
                <w:p w14:paraId="176CA0BE">
                  <w:pPr>
                    <w:keepNext w:val="0"/>
                    <w:keepLines w:val="0"/>
                    <w:pageBreakBefore w:val="0"/>
                    <w:widowControl w:val="0"/>
                    <w:kinsoku/>
                    <w:wordWrap/>
                    <w:overflowPunct/>
                    <w:topLinePunct w:val="0"/>
                    <w:autoSpaceDE/>
                    <w:autoSpaceDN/>
                    <w:bidi w:val="0"/>
                    <w:adjustRightInd/>
                    <w:snapToGrid/>
                    <w:spacing w:line="240" w:lineRule="auto"/>
                    <w:ind w:left="323"/>
                    <w:jc w:val="center"/>
                    <w:textAlignment w:val="auto"/>
                    <w:rPr>
                      <w:rFonts w:ascii="Times New Roman" w:hAnsi="Times New Roman" w:eastAsia="宋体" w:cs="Times New Roman"/>
                      <w:spacing w:val="3"/>
                      <w:position w:val="-3"/>
                      <w:sz w:val="21"/>
                      <w:szCs w:val="21"/>
                    </w:rPr>
                  </w:pPr>
                  <w:r>
                    <w:rPr>
                      <w:rFonts w:ascii="Times New Roman" w:hAnsi="Times New Roman" w:eastAsia="宋体" w:cs="Times New Roman"/>
                      <w:spacing w:val="3"/>
                      <w:position w:val="-3"/>
                      <w:sz w:val="21"/>
                      <w:szCs w:val="21"/>
                    </w:rPr>
                    <w:t>8551</w:t>
                  </w:r>
                </w:p>
              </w:tc>
              <w:tc>
                <w:tcPr>
                  <w:tcW w:w="1379" w:type="dxa"/>
                  <w:noWrap w:val="0"/>
                  <w:vAlign w:val="center"/>
                </w:tcPr>
                <w:p w14:paraId="08C72D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p>
              </w:tc>
            </w:tr>
            <w:tr w14:paraId="3E9AEE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jc w:val="center"/>
              </w:trPr>
              <w:tc>
                <w:tcPr>
                  <w:tcW w:w="722" w:type="dxa"/>
                  <w:noWrap w:val="0"/>
                  <w:vAlign w:val="center"/>
                </w:tcPr>
                <w:p w14:paraId="5F8E21B7">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5"/>
                      <w:sz w:val="21"/>
                      <w:szCs w:val="21"/>
                    </w:rPr>
                  </w:pPr>
                  <w:r>
                    <w:rPr>
                      <w:rFonts w:ascii="Times New Roman" w:hAnsi="Times New Roman" w:eastAsia="宋体" w:cs="宋体"/>
                      <w:spacing w:val="5"/>
                      <w:sz w:val="21"/>
                      <w:szCs w:val="21"/>
                    </w:rPr>
                    <w:t>6</w:t>
                  </w:r>
                </w:p>
              </w:tc>
              <w:tc>
                <w:tcPr>
                  <w:tcW w:w="3546" w:type="dxa"/>
                  <w:noWrap w:val="0"/>
                  <w:vAlign w:val="center"/>
                </w:tcPr>
                <w:p w14:paraId="3FF39984">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3"/>
                      <w:sz w:val="21"/>
                      <w:szCs w:val="21"/>
                    </w:rPr>
                  </w:pPr>
                  <w:r>
                    <w:rPr>
                      <w:rFonts w:ascii="Times New Roman" w:hAnsi="Times New Roman" w:eastAsia="宋体" w:cs="宋体"/>
                      <w:spacing w:val="3"/>
                      <w:sz w:val="21"/>
                      <w:szCs w:val="21"/>
                    </w:rPr>
                    <w:t>外购卵石（50mm-80mm）</w:t>
                  </w:r>
                </w:p>
              </w:tc>
              <w:tc>
                <w:tcPr>
                  <w:tcW w:w="992" w:type="dxa"/>
                  <w:noWrap w:val="0"/>
                  <w:vAlign w:val="center"/>
                </w:tcPr>
                <w:p w14:paraId="6CF6E2F8">
                  <w:pPr>
                    <w:keepNext w:val="0"/>
                    <w:keepLines w:val="0"/>
                    <w:pageBreakBefore w:val="0"/>
                    <w:widowControl w:val="0"/>
                    <w:kinsoku/>
                    <w:wordWrap/>
                    <w:overflowPunct/>
                    <w:topLinePunct w:val="0"/>
                    <w:autoSpaceDE/>
                    <w:autoSpaceDN/>
                    <w:bidi w:val="0"/>
                    <w:adjustRightInd/>
                    <w:snapToGrid/>
                    <w:spacing w:line="240" w:lineRule="auto"/>
                    <w:ind w:left="323"/>
                    <w:jc w:val="center"/>
                    <w:textAlignment w:val="auto"/>
                    <w:rPr>
                      <w:rFonts w:ascii="Times New Roman" w:hAnsi="Times New Roman" w:eastAsia="宋体" w:cs="Times New Roman"/>
                      <w:sz w:val="21"/>
                      <w:szCs w:val="21"/>
                    </w:rPr>
                  </w:pPr>
                  <w:r>
                    <w:rPr>
                      <w:rFonts w:ascii="Times New Roman" w:hAnsi="Times New Roman" w:eastAsia="宋体" w:cs="Times New Roman"/>
                      <w:spacing w:val="3"/>
                      <w:position w:val="-3"/>
                      <w:sz w:val="21"/>
                      <w:szCs w:val="21"/>
                    </w:rPr>
                    <w:t>m</w:t>
                  </w:r>
                  <w:r>
                    <w:rPr>
                      <w:rFonts w:ascii="Times New Roman" w:hAnsi="Times New Roman" w:eastAsia="宋体" w:cs="Times New Roman"/>
                      <w:spacing w:val="3"/>
                      <w:position w:val="3"/>
                      <w:sz w:val="21"/>
                      <w:szCs w:val="21"/>
                    </w:rPr>
                    <w:t>3</w:t>
                  </w:r>
                </w:p>
              </w:tc>
              <w:tc>
                <w:tcPr>
                  <w:tcW w:w="1295" w:type="dxa"/>
                  <w:noWrap w:val="0"/>
                  <w:vAlign w:val="center"/>
                </w:tcPr>
                <w:p w14:paraId="0CBB029B">
                  <w:pPr>
                    <w:keepNext w:val="0"/>
                    <w:keepLines w:val="0"/>
                    <w:pageBreakBefore w:val="0"/>
                    <w:widowControl w:val="0"/>
                    <w:kinsoku/>
                    <w:wordWrap/>
                    <w:overflowPunct/>
                    <w:topLinePunct w:val="0"/>
                    <w:autoSpaceDE/>
                    <w:autoSpaceDN/>
                    <w:bidi w:val="0"/>
                    <w:adjustRightInd/>
                    <w:snapToGrid/>
                    <w:spacing w:line="240" w:lineRule="auto"/>
                    <w:ind w:left="323"/>
                    <w:jc w:val="center"/>
                    <w:textAlignment w:val="auto"/>
                    <w:rPr>
                      <w:rFonts w:ascii="Times New Roman" w:hAnsi="Times New Roman" w:eastAsia="宋体" w:cs="Times New Roman"/>
                      <w:spacing w:val="3"/>
                      <w:position w:val="-3"/>
                      <w:sz w:val="21"/>
                      <w:szCs w:val="21"/>
                    </w:rPr>
                  </w:pPr>
                  <w:r>
                    <w:rPr>
                      <w:rFonts w:ascii="Times New Roman" w:hAnsi="Times New Roman" w:eastAsia="宋体" w:cs="Times New Roman"/>
                      <w:spacing w:val="3"/>
                      <w:position w:val="-3"/>
                      <w:sz w:val="21"/>
                      <w:szCs w:val="21"/>
                    </w:rPr>
                    <w:t>2972</w:t>
                  </w:r>
                </w:p>
              </w:tc>
              <w:tc>
                <w:tcPr>
                  <w:tcW w:w="1379" w:type="dxa"/>
                  <w:noWrap w:val="0"/>
                  <w:vAlign w:val="center"/>
                </w:tcPr>
                <w:p w14:paraId="2A4CC0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p>
              </w:tc>
            </w:tr>
            <w:tr w14:paraId="49CB52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jc w:val="center"/>
              </w:trPr>
              <w:tc>
                <w:tcPr>
                  <w:tcW w:w="722" w:type="dxa"/>
                  <w:noWrap w:val="0"/>
                  <w:vAlign w:val="center"/>
                </w:tcPr>
                <w:p w14:paraId="05CB74C0">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5"/>
                      <w:sz w:val="21"/>
                      <w:szCs w:val="21"/>
                    </w:rPr>
                  </w:pPr>
                  <w:r>
                    <w:rPr>
                      <w:rFonts w:ascii="Times New Roman" w:hAnsi="Times New Roman" w:eastAsia="宋体" w:cs="宋体"/>
                      <w:spacing w:val="5"/>
                      <w:sz w:val="21"/>
                      <w:szCs w:val="21"/>
                    </w:rPr>
                    <w:t>7</w:t>
                  </w:r>
                </w:p>
              </w:tc>
              <w:tc>
                <w:tcPr>
                  <w:tcW w:w="3546" w:type="dxa"/>
                  <w:noWrap w:val="0"/>
                  <w:vAlign w:val="center"/>
                </w:tcPr>
                <w:p w14:paraId="6C3E044E">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3"/>
                      <w:sz w:val="21"/>
                      <w:szCs w:val="21"/>
                    </w:rPr>
                  </w:pPr>
                  <w:r>
                    <w:rPr>
                      <w:rFonts w:ascii="Times New Roman" w:hAnsi="Times New Roman" w:eastAsia="宋体" w:cs="宋体"/>
                      <w:spacing w:val="3"/>
                      <w:sz w:val="21"/>
                      <w:szCs w:val="21"/>
                    </w:rPr>
                    <w:t>余方外运（外运5km）</w:t>
                  </w:r>
                </w:p>
              </w:tc>
              <w:tc>
                <w:tcPr>
                  <w:tcW w:w="992" w:type="dxa"/>
                  <w:noWrap w:val="0"/>
                  <w:vAlign w:val="center"/>
                </w:tcPr>
                <w:p w14:paraId="4DB044DF">
                  <w:pPr>
                    <w:keepNext w:val="0"/>
                    <w:keepLines w:val="0"/>
                    <w:pageBreakBefore w:val="0"/>
                    <w:widowControl w:val="0"/>
                    <w:kinsoku/>
                    <w:wordWrap/>
                    <w:overflowPunct/>
                    <w:topLinePunct w:val="0"/>
                    <w:autoSpaceDE/>
                    <w:autoSpaceDN/>
                    <w:bidi w:val="0"/>
                    <w:adjustRightInd/>
                    <w:snapToGrid/>
                    <w:spacing w:line="240" w:lineRule="auto"/>
                    <w:ind w:left="323"/>
                    <w:jc w:val="center"/>
                    <w:textAlignment w:val="auto"/>
                    <w:rPr>
                      <w:rFonts w:ascii="Times New Roman" w:hAnsi="Times New Roman" w:eastAsia="宋体" w:cs="Times New Roman"/>
                      <w:sz w:val="21"/>
                      <w:szCs w:val="21"/>
                    </w:rPr>
                  </w:pPr>
                  <w:r>
                    <w:rPr>
                      <w:rFonts w:ascii="Times New Roman" w:hAnsi="Times New Roman" w:eastAsia="宋体" w:cs="Times New Roman"/>
                      <w:spacing w:val="3"/>
                      <w:position w:val="-3"/>
                      <w:sz w:val="21"/>
                      <w:szCs w:val="21"/>
                    </w:rPr>
                    <w:t>m</w:t>
                  </w:r>
                  <w:r>
                    <w:rPr>
                      <w:rFonts w:ascii="Times New Roman" w:hAnsi="Times New Roman" w:eastAsia="宋体" w:cs="Times New Roman"/>
                      <w:spacing w:val="3"/>
                      <w:position w:val="3"/>
                      <w:sz w:val="21"/>
                      <w:szCs w:val="21"/>
                    </w:rPr>
                    <w:t>3</w:t>
                  </w:r>
                </w:p>
              </w:tc>
              <w:tc>
                <w:tcPr>
                  <w:tcW w:w="1295" w:type="dxa"/>
                  <w:noWrap w:val="0"/>
                  <w:vAlign w:val="center"/>
                </w:tcPr>
                <w:p w14:paraId="3EC7B361">
                  <w:pPr>
                    <w:keepNext w:val="0"/>
                    <w:keepLines w:val="0"/>
                    <w:pageBreakBefore w:val="0"/>
                    <w:widowControl w:val="0"/>
                    <w:kinsoku/>
                    <w:wordWrap/>
                    <w:overflowPunct/>
                    <w:topLinePunct w:val="0"/>
                    <w:autoSpaceDE/>
                    <w:autoSpaceDN/>
                    <w:bidi w:val="0"/>
                    <w:adjustRightInd/>
                    <w:snapToGrid/>
                    <w:spacing w:line="240" w:lineRule="auto"/>
                    <w:ind w:left="323"/>
                    <w:jc w:val="center"/>
                    <w:textAlignment w:val="auto"/>
                    <w:rPr>
                      <w:rFonts w:ascii="Times New Roman" w:hAnsi="Times New Roman" w:eastAsia="宋体" w:cs="Times New Roman"/>
                      <w:spacing w:val="3"/>
                      <w:position w:val="-3"/>
                      <w:sz w:val="21"/>
                      <w:szCs w:val="21"/>
                    </w:rPr>
                  </w:pPr>
                  <w:r>
                    <w:rPr>
                      <w:rFonts w:ascii="Times New Roman" w:hAnsi="Times New Roman" w:eastAsia="宋体" w:cs="Times New Roman"/>
                      <w:spacing w:val="3"/>
                      <w:position w:val="-3"/>
                      <w:sz w:val="21"/>
                      <w:szCs w:val="21"/>
                    </w:rPr>
                    <w:t>218</w:t>
                  </w:r>
                  <w:r>
                    <w:rPr>
                      <w:rFonts w:hint="eastAsia" w:ascii="Times New Roman" w:hAnsi="Times New Roman" w:eastAsia="宋体" w:cs="Times New Roman"/>
                      <w:spacing w:val="3"/>
                      <w:position w:val="-3"/>
                      <w:sz w:val="21"/>
                      <w:szCs w:val="21"/>
                      <w:lang w:val="en-US" w:eastAsia="zh-CN"/>
                    </w:rPr>
                    <w:t>3</w:t>
                  </w:r>
                  <w:r>
                    <w:rPr>
                      <w:rFonts w:ascii="Times New Roman" w:hAnsi="Times New Roman" w:eastAsia="宋体" w:cs="Times New Roman"/>
                      <w:spacing w:val="3"/>
                      <w:position w:val="-3"/>
                      <w:sz w:val="21"/>
                      <w:szCs w:val="21"/>
                    </w:rPr>
                    <w:t>2</w:t>
                  </w:r>
                </w:p>
              </w:tc>
              <w:tc>
                <w:tcPr>
                  <w:tcW w:w="1379" w:type="dxa"/>
                  <w:noWrap w:val="0"/>
                  <w:vAlign w:val="center"/>
                </w:tcPr>
                <w:p w14:paraId="2D82C5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p>
              </w:tc>
            </w:tr>
            <w:tr w14:paraId="0B240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jc w:val="center"/>
              </w:trPr>
              <w:tc>
                <w:tcPr>
                  <w:tcW w:w="722" w:type="dxa"/>
                  <w:noWrap w:val="0"/>
                  <w:vAlign w:val="center"/>
                </w:tcPr>
                <w:p w14:paraId="4DEC2D18">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5"/>
                      <w:sz w:val="21"/>
                      <w:szCs w:val="21"/>
                    </w:rPr>
                  </w:pPr>
                  <w:r>
                    <w:rPr>
                      <w:rFonts w:ascii="Times New Roman" w:hAnsi="Times New Roman" w:eastAsia="宋体" w:cs="宋体"/>
                      <w:spacing w:val="5"/>
                      <w:sz w:val="21"/>
                      <w:szCs w:val="21"/>
                    </w:rPr>
                    <w:t>8</w:t>
                  </w:r>
                </w:p>
              </w:tc>
              <w:tc>
                <w:tcPr>
                  <w:tcW w:w="3546" w:type="dxa"/>
                  <w:noWrap w:val="0"/>
                  <w:vAlign w:val="center"/>
                </w:tcPr>
                <w:p w14:paraId="4738697C">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3"/>
                      <w:sz w:val="21"/>
                      <w:szCs w:val="21"/>
                    </w:rPr>
                  </w:pPr>
                  <w:r>
                    <w:rPr>
                      <w:rFonts w:ascii="Times New Roman" w:hAnsi="Times New Roman" w:eastAsia="宋体" w:cs="宋体"/>
                      <w:spacing w:val="3"/>
                      <w:sz w:val="21"/>
                      <w:szCs w:val="21"/>
                    </w:rPr>
                    <w:t>基础整平夯实</w:t>
                  </w:r>
                </w:p>
              </w:tc>
              <w:tc>
                <w:tcPr>
                  <w:tcW w:w="992" w:type="dxa"/>
                  <w:noWrap w:val="0"/>
                  <w:vAlign w:val="center"/>
                </w:tcPr>
                <w:p w14:paraId="1C6E1B7D">
                  <w:pPr>
                    <w:keepNext w:val="0"/>
                    <w:keepLines w:val="0"/>
                    <w:pageBreakBefore w:val="0"/>
                    <w:widowControl w:val="0"/>
                    <w:kinsoku/>
                    <w:wordWrap/>
                    <w:overflowPunct/>
                    <w:topLinePunct w:val="0"/>
                    <w:autoSpaceDE/>
                    <w:autoSpaceDN/>
                    <w:bidi w:val="0"/>
                    <w:adjustRightInd/>
                    <w:snapToGrid/>
                    <w:spacing w:line="240" w:lineRule="auto"/>
                    <w:ind w:left="323"/>
                    <w:jc w:val="center"/>
                    <w:textAlignment w:val="auto"/>
                    <w:rPr>
                      <w:rFonts w:ascii="Times New Roman" w:hAnsi="Times New Roman" w:eastAsia="宋体" w:cs="Times New Roman"/>
                      <w:sz w:val="21"/>
                      <w:szCs w:val="21"/>
                    </w:rPr>
                  </w:pPr>
                  <w:r>
                    <w:rPr>
                      <w:rFonts w:ascii="Times New Roman" w:hAnsi="Times New Roman" w:eastAsia="宋体" w:cs="Times New Roman"/>
                      <w:spacing w:val="3"/>
                      <w:position w:val="-3"/>
                      <w:sz w:val="21"/>
                      <w:szCs w:val="21"/>
                    </w:rPr>
                    <w:t>m</w:t>
                  </w:r>
                  <w:r>
                    <w:rPr>
                      <w:rFonts w:ascii="Times New Roman" w:hAnsi="Times New Roman" w:eastAsia="宋体" w:cs="Times New Roman"/>
                      <w:spacing w:val="3"/>
                      <w:position w:val="3"/>
                      <w:sz w:val="21"/>
                      <w:szCs w:val="21"/>
                    </w:rPr>
                    <w:t>2</w:t>
                  </w:r>
                </w:p>
              </w:tc>
              <w:tc>
                <w:tcPr>
                  <w:tcW w:w="1295" w:type="dxa"/>
                  <w:noWrap w:val="0"/>
                  <w:vAlign w:val="center"/>
                </w:tcPr>
                <w:p w14:paraId="33B8E26D">
                  <w:pPr>
                    <w:keepNext w:val="0"/>
                    <w:keepLines w:val="0"/>
                    <w:pageBreakBefore w:val="0"/>
                    <w:widowControl w:val="0"/>
                    <w:kinsoku/>
                    <w:wordWrap/>
                    <w:overflowPunct/>
                    <w:topLinePunct w:val="0"/>
                    <w:autoSpaceDE/>
                    <w:autoSpaceDN/>
                    <w:bidi w:val="0"/>
                    <w:adjustRightInd/>
                    <w:snapToGrid/>
                    <w:spacing w:line="240" w:lineRule="auto"/>
                    <w:ind w:left="323"/>
                    <w:jc w:val="center"/>
                    <w:textAlignment w:val="auto"/>
                    <w:rPr>
                      <w:rFonts w:ascii="Times New Roman" w:hAnsi="Times New Roman" w:eastAsia="宋体" w:cs="Times New Roman"/>
                      <w:spacing w:val="3"/>
                      <w:position w:val="-3"/>
                      <w:sz w:val="21"/>
                      <w:szCs w:val="21"/>
                    </w:rPr>
                  </w:pPr>
                  <w:r>
                    <w:rPr>
                      <w:rFonts w:ascii="Times New Roman" w:hAnsi="Times New Roman" w:eastAsia="宋体" w:cs="Times New Roman"/>
                      <w:spacing w:val="3"/>
                      <w:position w:val="-3"/>
                      <w:sz w:val="21"/>
                      <w:szCs w:val="21"/>
                    </w:rPr>
                    <w:t>8127</w:t>
                  </w:r>
                </w:p>
              </w:tc>
              <w:tc>
                <w:tcPr>
                  <w:tcW w:w="1379" w:type="dxa"/>
                  <w:noWrap w:val="0"/>
                  <w:vAlign w:val="center"/>
                </w:tcPr>
                <w:p w14:paraId="4305CA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p>
              </w:tc>
            </w:tr>
            <w:tr w14:paraId="4B36AD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jc w:val="center"/>
              </w:trPr>
              <w:tc>
                <w:tcPr>
                  <w:tcW w:w="722" w:type="dxa"/>
                  <w:noWrap w:val="0"/>
                  <w:vAlign w:val="center"/>
                </w:tcPr>
                <w:p w14:paraId="4E6A78E8">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5"/>
                      <w:sz w:val="21"/>
                      <w:szCs w:val="21"/>
                    </w:rPr>
                  </w:pPr>
                  <w:r>
                    <w:rPr>
                      <w:rFonts w:ascii="Times New Roman" w:hAnsi="Times New Roman" w:eastAsia="宋体" w:cs="宋体"/>
                      <w:spacing w:val="5"/>
                      <w:sz w:val="21"/>
                      <w:szCs w:val="21"/>
                    </w:rPr>
                    <w:t>9</w:t>
                  </w:r>
                </w:p>
              </w:tc>
              <w:tc>
                <w:tcPr>
                  <w:tcW w:w="3546" w:type="dxa"/>
                  <w:noWrap w:val="0"/>
                  <w:vAlign w:val="center"/>
                </w:tcPr>
                <w:p w14:paraId="5D1A981E">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3"/>
                      <w:sz w:val="21"/>
                      <w:szCs w:val="21"/>
                    </w:rPr>
                  </w:pPr>
                  <w:r>
                    <w:rPr>
                      <w:rFonts w:ascii="Times New Roman" w:hAnsi="Times New Roman" w:eastAsia="宋体" w:cs="宋体"/>
                      <w:spacing w:val="3"/>
                      <w:sz w:val="21"/>
                      <w:szCs w:val="21"/>
                    </w:rPr>
                    <w:t>种植土</w:t>
                  </w:r>
                </w:p>
              </w:tc>
              <w:tc>
                <w:tcPr>
                  <w:tcW w:w="992" w:type="dxa"/>
                  <w:noWrap w:val="0"/>
                  <w:vAlign w:val="center"/>
                </w:tcPr>
                <w:p w14:paraId="47CC56B2">
                  <w:pPr>
                    <w:keepNext w:val="0"/>
                    <w:keepLines w:val="0"/>
                    <w:pageBreakBefore w:val="0"/>
                    <w:widowControl w:val="0"/>
                    <w:kinsoku/>
                    <w:wordWrap/>
                    <w:overflowPunct/>
                    <w:topLinePunct w:val="0"/>
                    <w:autoSpaceDE/>
                    <w:autoSpaceDN/>
                    <w:bidi w:val="0"/>
                    <w:adjustRightInd/>
                    <w:snapToGrid/>
                    <w:spacing w:line="240" w:lineRule="auto"/>
                    <w:ind w:left="323"/>
                    <w:jc w:val="center"/>
                    <w:textAlignment w:val="auto"/>
                    <w:rPr>
                      <w:rFonts w:ascii="Times New Roman" w:hAnsi="Times New Roman" w:eastAsia="宋体" w:cs="Times New Roman"/>
                      <w:sz w:val="21"/>
                      <w:szCs w:val="21"/>
                    </w:rPr>
                  </w:pPr>
                  <w:r>
                    <w:rPr>
                      <w:rFonts w:ascii="Times New Roman" w:hAnsi="Times New Roman" w:eastAsia="宋体" w:cs="Times New Roman"/>
                      <w:spacing w:val="3"/>
                      <w:position w:val="-3"/>
                      <w:sz w:val="21"/>
                      <w:szCs w:val="21"/>
                    </w:rPr>
                    <w:t>m</w:t>
                  </w:r>
                  <w:r>
                    <w:rPr>
                      <w:rFonts w:ascii="Times New Roman" w:hAnsi="Times New Roman" w:eastAsia="宋体" w:cs="Times New Roman"/>
                      <w:spacing w:val="3"/>
                      <w:position w:val="3"/>
                      <w:sz w:val="21"/>
                      <w:szCs w:val="21"/>
                    </w:rPr>
                    <w:t>3</w:t>
                  </w:r>
                </w:p>
              </w:tc>
              <w:tc>
                <w:tcPr>
                  <w:tcW w:w="1295" w:type="dxa"/>
                  <w:noWrap w:val="0"/>
                  <w:vAlign w:val="center"/>
                </w:tcPr>
                <w:p w14:paraId="3ECB9949">
                  <w:pPr>
                    <w:keepNext w:val="0"/>
                    <w:keepLines w:val="0"/>
                    <w:pageBreakBefore w:val="0"/>
                    <w:widowControl w:val="0"/>
                    <w:kinsoku/>
                    <w:wordWrap/>
                    <w:overflowPunct/>
                    <w:topLinePunct w:val="0"/>
                    <w:autoSpaceDE/>
                    <w:autoSpaceDN/>
                    <w:bidi w:val="0"/>
                    <w:adjustRightInd/>
                    <w:snapToGrid/>
                    <w:spacing w:line="240" w:lineRule="auto"/>
                    <w:ind w:left="323"/>
                    <w:jc w:val="center"/>
                    <w:textAlignment w:val="auto"/>
                    <w:rPr>
                      <w:rFonts w:ascii="Times New Roman" w:hAnsi="Times New Roman" w:eastAsia="宋体" w:cs="Times New Roman"/>
                      <w:spacing w:val="3"/>
                      <w:position w:val="-3"/>
                      <w:sz w:val="21"/>
                      <w:szCs w:val="21"/>
                    </w:rPr>
                  </w:pPr>
                  <w:r>
                    <w:rPr>
                      <w:rFonts w:ascii="Times New Roman" w:hAnsi="Times New Roman" w:eastAsia="宋体" w:cs="Times New Roman"/>
                      <w:spacing w:val="3"/>
                      <w:position w:val="-3"/>
                      <w:sz w:val="21"/>
                      <w:szCs w:val="21"/>
                    </w:rPr>
                    <w:t>2946</w:t>
                  </w:r>
                </w:p>
              </w:tc>
              <w:tc>
                <w:tcPr>
                  <w:tcW w:w="1379" w:type="dxa"/>
                  <w:noWrap w:val="0"/>
                  <w:vAlign w:val="center"/>
                </w:tcPr>
                <w:p w14:paraId="553161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p>
              </w:tc>
            </w:tr>
            <w:tr w14:paraId="0D3F40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jc w:val="center"/>
              </w:trPr>
              <w:tc>
                <w:tcPr>
                  <w:tcW w:w="722" w:type="dxa"/>
                  <w:noWrap w:val="0"/>
                  <w:vAlign w:val="center"/>
                </w:tcPr>
                <w:p w14:paraId="0ADE8F77">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5"/>
                      <w:sz w:val="21"/>
                      <w:szCs w:val="21"/>
                    </w:rPr>
                  </w:pPr>
                  <w:r>
                    <w:rPr>
                      <w:rFonts w:ascii="Times New Roman" w:hAnsi="Times New Roman" w:eastAsia="宋体" w:cs="宋体"/>
                      <w:spacing w:val="5"/>
                      <w:sz w:val="21"/>
                      <w:szCs w:val="21"/>
                    </w:rPr>
                    <w:t>10</w:t>
                  </w:r>
                </w:p>
              </w:tc>
              <w:tc>
                <w:tcPr>
                  <w:tcW w:w="3546" w:type="dxa"/>
                  <w:noWrap w:val="0"/>
                  <w:vAlign w:val="center"/>
                </w:tcPr>
                <w:p w14:paraId="7AA72706">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3"/>
                      <w:sz w:val="21"/>
                      <w:szCs w:val="21"/>
                    </w:rPr>
                  </w:pPr>
                  <w:r>
                    <w:rPr>
                      <w:rFonts w:ascii="Times New Roman" w:hAnsi="Times New Roman" w:eastAsia="宋体" w:cs="宋体"/>
                      <w:spacing w:val="3"/>
                      <w:sz w:val="21"/>
                      <w:szCs w:val="21"/>
                    </w:rPr>
                    <w:t>C15 砼垫层</w:t>
                  </w:r>
                </w:p>
              </w:tc>
              <w:tc>
                <w:tcPr>
                  <w:tcW w:w="992" w:type="dxa"/>
                  <w:noWrap w:val="0"/>
                  <w:vAlign w:val="center"/>
                </w:tcPr>
                <w:p w14:paraId="4F036B59">
                  <w:pPr>
                    <w:keepNext w:val="0"/>
                    <w:keepLines w:val="0"/>
                    <w:pageBreakBefore w:val="0"/>
                    <w:widowControl w:val="0"/>
                    <w:kinsoku/>
                    <w:wordWrap/>
                    <w:overflowPunct/>
                    <w:topLinePunct w:val="0"/>
                    <w:autoSpaceDE/>
                    <w:autoSpaceDN/>
                    <w:bidi w:val="0"/>
                    <w:adjustRightInd/>
                    <w:snapToGrid/>
                    <w:spacing w:line="240" w:lineRule="auto"/>
                    <w:ind w:left="323"/>
                    <w:jc w:val="center"/>
                    <w:textAlignment w:val="auto"/>
                    <w:rPr>
                      <w:rFonts w:ascii="Times New Roman" w:hAnsi="Times New Roman" w:eastAsia="宋体" w:cs="Times New Roman"/>
                      <w:sz w:val="21"/>
                      <w:szCs w:val="21"/>
                    </w:rPr>
                  </w:pPr>
                  <w:r>
                    <w:rPr>
                      <w:rFonts w:ascii="Times New Roman" w:hAnsi="Times New Roman" w:eastAsia="宋体" w:cs="Times New Roman"/>
                      <w:spacing w:val="3"/>
                      <w:position w:val="-3"/>
                      <w:sz w:val="21"/>
                      <w:szCs w:val="21"/>
                    </w:rPr>
                    <w:t>m</w:t>
                  </w:r>
                  <w:r>
                    <w:rPr>
                      <w:rFonts w:ascii="Times New Roman" w:hAnsi="Times New Roman" w:eastAsia="宋体" w:cs="Times New Roman"/>
                      <w:spacing w:val="3"/>
                      <w:position w:val="3"/>
                      <w:sz w:val="21"/>
                      <w:szCs w:val="21"/>
                    </w:rPr>
                    <w:t>3</w:t>
                  </w:r>
                </w:p>
              </w:tc>
              <w:tc>
                <w:tcPr>
                  <w:tcW w:w="1295" w:type="dxa"/>
                  <w:noWrap w:val="0"/>
                  <w:vAlign w:val="center"/>
                </w:tcPr>
                <w:p w14:paraId="65647ED8">
                  <w:pPr>
                    <w:keepNext w:val="0"/>
                    <w:keepLines w:val="0"/>
                    <w:pageBreakBefore w:val="0"/>
                    <w:widowControl w:val="0"/>
                    <w:kinsoku/>
                    <w:wordWrap/>
                    <w:overflowPunct/>
                    <w:topLinePunct w:val="0"/>
                    <w:autoSpaceDE/>
                    <w:autoSpaceDN/>
                    <w:bidi w:val="0"/>
                    <w:adjustRightInd/>
                    <w:snapToGrid/>
                    <w:spacing w:line="240" w:lineRule="auto"/>
                    <w:ind w:left="323"/>
                    <w:jc w:val="center"/>
                    <w:textAlignment w:val="auto"/>
                    <w:rPr>
                      <w:rFonts w:ascii="Times New Roman" w:hAnsi="Times New Roman" w:eastAsia="宋体" w:cs="Times New Roman"/>
                      <w:spacing w:val="3"/>
                      <w:position w:val="-3"/>
                      <w:sz w:val="21"/>
                      <w:szCs w:val="21"/>
                    </w:rPr>
                  </w:pPr>
                  <w:r>
                    <w:rPr>
                      <w:rFonts w:ascii="Times New Roman" w:hAnsi="Times New Roman" w:eastAsia="宋体" w:cs="Times New Roman"/>
                      <w:spacing w:val="3"/>
                      <w:position w:val="-3"/>
                      <w:sz w:val="21"/>
                      <w:szCs w:val="21"/>
                    </w:rPr>
                    <w:t>1187</w:t>
                  </w:r>
                </w:p>
              </w:tc>
              <w:tc>
                <w:tcPr>
                  <w:tcW w:w="1379" w:type="dxa"/>
                  <w:noWrap w:val="0"/>
                  <w:vAlign w:val="center"/>
                </w:tcPr>
                <w:p w14:paraId="3D163C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p>
              </w:tc>
            </w:tr>
            <w:tr w14:paraId="649F7D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722" w:type="dxa"/>
                  <w:noWrap w:val="0"/>
                  <w:vAlign w:val="center"/>
                </w:tcPr>
                <w:p w14:paraId="5CB4193B">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5"/>
                      <w:sz w:val="21"/>
                      <w:szCs w:val="21"/>
                    </w:rPr>
                  </w:pPr>
                  <w:r>
                    <w:rPr>
                      <w:rFonts w:ascii="Times New Roman" w:hAnsi="Times New Roman" w:eastAsia="宋体" w:cs="宋体"/>
                      <w:spacing w:val="5"/>
                      <w:sz w:val="21"/>
                      <w:szCs w:val="21"/>
                    </w:rPr>
                    <w:t>11</w:t>
                  </w:r>
                </w:p>
              </w:tc>
              <w:tc>
                <w:tcPr>
                  <w:tcW w:w="3546" w:type="dxa"/>
                  <w:noWrap w:val="0"/>
                  <w:vAlign w:val="center"/>
                </w:tcPr>
                <w:p w14:paraId="682C08DF">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3"/>
                      <w:sz w:val="21"/>
                      <w:szCs w:val="21"/>
                    </w:rPr>
                  </w:pPr>
                  <w:r>
                    <w:rPr>
                      <w:rFonts w:ascii="Times New Roman" w:hAnsi="Times New Roman" w:eastAsia="宋体" w:cs="宋体"/>
                      <w:spacing w:val="3"/>
                      <w:sz w:val="21"/>
                      <w:szCs w:val="21"/>
                    </w:rPr>
                    <w:t>C30 钢筋砼盖板</w:t>
                  </w:r>
                </w:p>
              </w:tc>
              <w:tc>
                <w:tcPr>
                  <w:tcW w:w="992" w:type="dxa"/>
                  <w:noWrap w:val="0"/>
                  <w:vAlign w:val="center"/>
                </w:tcPr>
                <w:p w14:paraId="66ACA0EF">
                  <w:pPr>
                    <w:keepNext w:val="0"/>
                    <w:keepLines w:val="0"/>
                    <w:pageBreakBefore w:val="0"/>
                    <w:widowControl w:val="0"/>
                    <w:kinsoku/>
                    <w:wordWrap/>
                    <w:overflowPunct/>
                    <w:topLinePunct w:val="0"/>
                    <w:autoSpaceDE/>
                    <w:autoSpaceDN/>
                    <w:bidi w:val="0"/>
                    <w:adjustRightInd/>
                    <w:snapToGrid/>
                    <w:spacing w:line="240" w:lineRule="auto"/>
                    <w:ind w:left="323"/>
                    <w:jc w:val="center"/>
                    <w:textAlignment w:val="auto"/>
                    <w:rPr>
                      <w:rFonts w:ascii="Times New Roman" w:hAnsi="Times New Roman" w:eastAsia="宋体" w:cs="Times New Roman"/>
                      <w:sz w:val="21"/>
                      <w:szCs w:val="21"/>
                    </w:rPr>
                  </w:pPr>
                  <w:r>
                    <w:rPr>
                      <w:rFonts w:ascii="Times New Roman" w:hAnsi="Times New Roman" w:eastAsia="宋体" w:cs="Times New Roman"/>
                      <w:spacing w:val="3"/>
                      <w:position w:val="-3"/>
                      <w:sz w:val="21"/>
                      <w:szCs w:val="21"/>
                    </w:rPr>
                    <w:t>m</w:t>
                  </w:r>
                  <w:r>
                    <w:rPr>
                      <w:rFonts w:ascii="Times New Roman" w:hAnsi="Times New Roman" w:eastAsia="宋体" w:cs="Times New Roman"/>
                      <w:spacing w:val="3"/>
                      <w:position w:val="3"/>
                      <w:sz w:val="21"/>
                      <w:szCs w:val="21"/>
                    </w:rPr>
                    <w:t>3</w:t>
                  </w:r>
                </w:p>
              </w:tc>
              <w:tc>
                <w:tcPr>
                  <w:tcW w:w="1295" w:type="dxa"/>
                  <w:noWrap w:val="0"/>
                  <w:vAlign w:val="center"/>
                </w:tcPr>
                <w:p w14:paraId="61019FAE">
                  <w:pPr>
                    <w:keepNext w:val="0"/>
                    <w:keepLines w:val="0"/>
                    <w:pageBreakBefore w:val="0"/>
                    <w:widowControl w:val="0"/>
                    <w:kinsoku/>
                    <w:wordWrap/>
                    <w:overflowPunct/>
                    <w:topLinePunct w:val="0"/>
                    <w:autoSpaceDE/>
                    <w:autoSpaceDN/>
                    <w:bidi w:val="0"/>
                    <w:adjustRightInd/>
                    <w:snapToGrid/>
                    <w:spacing w:line="240" w:lineRule="auto"/>
                    <w:ind w:left="323"/>
                    <w:jc w:val="center"/>
                    <w:textAlignment w:val="auto"/>
                    <w:rPr>
                      <w:rFonts w:ascii="Times New Roman" w:hAnsi="Times New Roman" w:eastAsia="宋体" w:cs="Times New Roman"/>
                      <w:spacing w:val="3"/>
                      <w:position w:val="-3"/>
                      <w:sz w:val="21"/>
                      <w:szCs w:val="21"/>
                    </w:rPr>
                  </w:pPr>
                  <w:r>
                    <w:rPr>
                      <w:rFonts w:ascii="Times New Roman" w:hAnsi="Times New Roman" w:eastAsia="宋体" w:cs="Times New Roman"/>
                      <w:spacing w:val="3"/>
                      <w:position w:val="-3"/>
                      <w:sz w:val="21"/>
                      <w:szCs w:val="21"/>
                    </w:rPr>
                    <w:t>578</w:t>
                  </w:r>
                </w:p>
              </w:tc>
              <w:tc>
                <w:tcPr>
                  <w:tcW w:w="1379" w:type="dxa"/>
                  <w:noWrap w:val="0"/>
                  <w:vAlign w:val="center"/>
                </w:tcPr>
                <w:p w14:paraId="5E73C6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p>
              </w:tc>
            </w:tr>
            <w:tr w14:paraId="06AB9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722" w:type="dxa"/>
                  <w:noWrap w:val="0"/>
                  <w:vAlign w:val="center"/>
                </w:tcPr>
                <w:p w14:paraId="532F1779">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5"/>
                      <w:sz w:val="21"/>
                      <w:szCs w:val="21"/>
                    </w:rPr>
                  </w:pPr>
                  <w:r>
                    <w:rPr>
                      <w:rFonts w:ascii="Times New Roman" w:hAnsi="Times New Roman" w:eastAsia="宋体" w:cs="宋体"/>
                      <w:spacing w:val="5"/>
                      <w:sz w:val="21"/>
                      <w:szCs w:val="21"/>
                    </w:rPr>
                    <w:t>12</w:t>
                  </w:r>
                </w:p>
              </w:tc>
              <w:tc>
                <w:tcPr>
                  <w:tcW w:w="3546" w:type="dxa"/>
                  <w:noWrap w:val="0"/>
                  <w:vAlign w:val="center"/>
                </w:tcPr>
                <w:p w14:paraId="13DA623F">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3"/>
                      <w:sz w:val="21"/>
                      <w:szCs w:val="21"/>
                    </w:rPr>
                  </w:pPr>
                  <w:r>
                    <w:rPr>
                      <w:rFonts w:ascii="Times New Roman" w:hAnsi="Times New Roman" w:eastAsia="宋体" w:cs="宋体"/>
                      <w:spacing w:val="3"/>
                      <w:sz w:val="21"/>
                      <w:szCs w:val="21"/>
                    </w:rPr>
                    <w:t>C30 混凝土池壁</w:t>
                  </w:r>
                </w:p>
              </w:tc>
              <w:tc>
                <w:tcPr>
                  <w:tcW w:w="992" w:type="dxa"/>
                  <w:noWrap w:val="0"/>
                  <w:vAlign w:val="center"/>
                </w:tcPr>
                <w:p w14:paraId="5C0101A3">
                  <w:pPr>
                    <w:keepNext w:val="0"/>
                    <w:keepLines w:val="0"/>
                    <w:pageBreakBefore w:val="0"/>
                    <w:widowControl w:val="0"/>
                    <w:kinsoku/>
                    <w:wordWrap/>
                    <w:overflowPunct/>
                    <w:topLinePunct w:val="0"/>
                    <w:autoSpaceDE/>
                    <w:autoSpaceDN/>
                    <w:bidi w:val="0"/>
                    <w:adjustRightInd/>
                    <w:snapToGrid/>
                    <w:spacing w:line="240" w:lineRule="auto"/>
                    <w:ind w:left="323"/>
                    <w:jc w:val="center"/>
                    <w:textAlignment w:val="auto"/>
                    <w:rPr>
                      <w:rFonts w:ascii="Times New Roman" w:hAnsi="Times New Roman" w:eastAsia="宋体" w:cs="Times New Roman"/>
                      <w:sz w:val="21"/>
                      <w:szCs w:val="21"/>
                    </w:rPr>
                  </w:pPr>
                  <w:r>
                    <w:rPr>
                      <w:rFonts w:ascii="Times New Roman" w:hAnsi="Times New Roman" w:eastAsia="宋体" w:cs="Times New Roman"/>
                      <w:spacing w:val="3"/>
                      <w:position w:val="-3"/>
                      <w:sz w:val="21"/>
                      <w:szCs w:val="21"/>
                    </w:rPr>
                    <w:t>m</w:t>
                  </w:r>
                  <w:r>
                    <w:rPr>
                      <w:rFonts w:ascii="Times New Roman" w:hAnsi="Times New Roman" w:eastAsia="宋体" w:cs="Times New Roman"/>
                      <w:spacing w:val="3"/>
                      <w:position w:val="3"/>
                      <w:sz w:val="21"/>
                      <w:szCs w:val="21"/>
                    </w:rPr>
                    <w:t>3</w:t>
                  </w:r>
                </w:p>
              </w:tc>
              <w:tc>
                <w:tcPr>
                  <w:tcW w:w="1295" w:type="dxa"/>
                  <w:noWrap w:val="0"/>
                  <w:vAlign w:val="center"/>
                </w:tcPr>
                <w:p w14:paraId="76A7D50D">
                  <w:pPr>
                    <w:keepNext w:val="0"/>
                    <w:keepLines w:val="0"/>
                    <w:pageBreakBefore w:val="0"/>
                    <w:widowControl w:val="0"/>
                    <w:kinsoku/>
                    <w:wordWrap/>
                    <w:overflowPunct/>
                    <w:topLinePunct w:val="0"/>
                    <w:autoSpaceDE/>
                    <w:autoSpaceDN/>
                    <w:bidi w:val="0"/>
                    <w:adjustRightInd/>
                    <w:snapToGrid/>
                    <w:spacing w:line="240" w:lineRule="auto"/>
                    <w:ind w:left="323"/>
                    <w:jc w:val="center"/>
                    <w:textAlignment w:val="auto"/>
                    <w:rPr>
                      <w:rFonts w:ascii="Times New Roman" w:hAnsi="Times New Roman" w:eastAsia="宋体" w:cs="Times New Roman"/>
                      <w:spacing w:val="3"/>
                      <w:position w:val="-3"/>
                      <w:sz w:val="21"/>
                      <w:szCs w:val="21"/>
                    </w:rPr>
                  </w:pPr>
                  <w:r>
                    <w:rPr>
                      <w:rFonts w:ascii="Times New Roman" w:hAnsi="Times New Roman" w:eastAsia="宋体" w:cs="Times New Roman"/>
                      <w:spacing w:val="3"/>
                      <w:position w:val="-3"/>
                      <w:sz w:val="21"/>
                      <w:szCs w:val="21"/>
                    </w:rPr>
                    <w:t>850</w:t>
                  </w:r>
                </w:p>
              </w:tc>
              <w:tc>
                <w:tcPr>
                  <w:tcW w:w="1379" w:type="dxa"/>
                  <w:noWrap w:val="0"/>
                  <w:vAlign w:val="center"/>
                </w:tcPr>
                <w:p w14:paraId="4120C2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p>
              </w:tc>
            </w:tr>
            <w:tr w14:paraId="20B9F0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722" w:type="dxa"/>
                  <w:noWrap w:val="0"/>
                  <w:vAlign w:val="center"/>
                </w:tcPr>
                <w:p w14:paraId="30C7F2B0">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5"/>
                      <w:sz w:val="21"/>
                      <w:szCs w:val="21"/>
                    </w:rPr>
                  </w:pPr>
                  <w:r>
                    <w:rPr>
                      <w:rFonts w:ascii="Times New Roman" w:hAnsi="Times New Roman" w:eastAsia="宋体" w:cs="宋体"/>
                      <w:spacing w:val="5"/>
                      <w:sz w:val="21"/>
                      <w:szCs w:val="21"/>
                    </w:rPr>
                    <w:t>13</w:t>
                  </w:r>
                </w:p>
              </w:tc>
              <w:tc>
                <w:tcPr>
                  <w:tcW w:w="3546" w:type="dxa"/>
                  <w:noWrap w:val="0"/>
                  <w:vAlign w:val="center"/>
                </w:tcPr>
                <w:p w14:paraId="536DF63A">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3"/>
                      <w:sz w:val="21"/>
                      <w:szCs w:val="21"/>
                    </w:rPr>
                  </w:pPr>
                  <w:r>
                    <w:rPr>
                      <w:rFonts w:ascii="Times New Roman" w:hAnsi="Times New Roman" w:eastAsia="宋体" w:cs="宋体"/>
                      <w:spacing w:val="3"/>
                      <w:sz w:val="21"/>
                      <w:szCs w:val="21"/>
                    </w:rPr>
                    <w:t>C30 混凝土池底</w:t>
                  </w:r>
                </w:p>
              </w:tc>
              <w:tc>
                <w:tcPr>
                  <w:tcW w:w="992" w:type="dxa"/>
                  <w:noWrap w:val="0"/>
                  <w:vAlign w:val="center"/>
                </w:tcPr>
                <w:p w14:paraId="420C19FD">
                  <w:pPr>
                    <w:keepNext w:val="0"/>
                    <w:keepLines w:val="0"/>
                    <w:pageBreakBefore w:val="0"/>
                    <w:widowControl w:val="0"/>
                    <w:kinsoku/>
                    <w:wordWrap/>
                    <w:overflowPunct/>
                    <w:topLinePunct w:val="0"/>
                    <w:autoSpaceDE/>
                    <w:autoSpaceDN/>
                    <w:bidi w:val="0"/>
                    <w:adjustRightInd/>
                    <w:snapToGrid/>
                    <w:spacing w:line="240" w:lineRule="auto"/>
                    <w:ind w:left="323"/>
                    <w:jc w:val="center"/>
                    <w:textAlignment w:val="auto"/>
                    <w:rPr>
                      <w:rFonts w:ascii="Times New Roman" w:hAnsi="Times New Roman" w:eastAsia="宋体" w:cs="Times New Roman"/>
                      <w:sz w:val="21"/>
                      <w:szCs w:val="21"/>
                    </w:rPr>
                  </w:pPr>
                  <w:r>
                    <w:rPr>
                      <w:rFonts w:ascii="Times New Roman" w:hAnsi="Times New Roman" w:eastAsia="宋体" w:cs="Times New Roman"/>
                      <w:spacing w:val="3"/>
                      <w:position w:val="-3"/>
                      <w:sz w:val="21"/>
                      <w:szCs w:val="21"/>
                    </w:rPr>
                    <w:t>m</w:t>
                  </w:r>
                  <w:r>
                    <w:rPr>
                      <w:rFonts w:ascii="Times New Roman" w:hAnsi="Times New Roman" w:eastAsia="宋体" w:cs="Times New Roman"/>
                      <w:spacing w:val="3"/>
                      <w:position w:val="3"/>
                      <w:sz w:val="21"/>
                      <w:szCs w:val="21"/>
                    </w:rPr>
                    <w:t>3</w:t>
                  </w:r>
                </w:p>
              </w:tc>
              <w:tc>
                <w:tcPr>
                  <w:tcW w:w="1295" w:type="dxa"/>
                  <w:noWrap w:val="0"/>
                  <w:vAlign w:val="center"/>
                </w:tcPr>
                <w:p w14:paraId="7C85F421">
                  <w:pPr>
                    <w:keepNext w:val="0"/>
                    <w:keepLines w:val="0"/>
                    <w:pageBreakBefore w:val="0"/>
                    <w:widowControl w:val="0"/>
                    <w:kinsoku/>
                    <w:wordWrap/>
                    <w:overflowPunct/>
                    <w:topLinePunct w:val="0"/>
                    <w:autoSpaceDE/>
                    <w:autoSpaceDN/>
                    <w:bidi w:val="0"/>
                    <w:adjustRightInd/>
                    <w:snapToGrid/>
                    <w:spacing w:line="240" w:lineRule="auto"/>
                    <w:ind w:left="323"/>
                    <w:jc w:val="center"/>
                    <w:textAlignment w:val="auto"/>
                    <w:rPr>
                      <w:rFonts w:ascii="Times New Roman" w:hAnsi="Times New Roman" w:eastAsia="宋体" w:cs="Times New Roman"/>
                      <w:spacing w:val="3"/>
                      <w:position w:val="-3"/>
                      <w:sz w:val="21"/>
                      <w:szCs w:val="21"/>
                    </w:rPr>
                  </w:pPr>
                  <w:r>
                    <w:rPr>
                      <w:rFonts w:ascii="Times New Roman" w:hAnsi="Times New Roman" w:eastAsia="宋体" w:cs="Times New Roman"/>
                      <w:spacing w:val="3"/>
                      <w:position w:val="-3"/>
                      <w:sz w:val="21"/>
                      <w:szCs w:val="21"/>
                    </w:rPr>
                    <w:t>1966</w:t>
                  </w:r>
                </w:p>
              </w:tc>
              <w:tc>
                <w:tcPr>
                  <w:tcW w:w="1379" w:type="dxa"/>
                  <w:noWrap w:val="0"/>
                  <w:vAlign w:val="center"/>
                </w:tcPr>
                <w:p w14:paraId="03B78B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p>
              </w:tc>
            </w:tr>
            <w:tr w14:paraId="42CD17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jc w:val="center"/>
              </w:trPr>
              <w:tc>
                <w:tcPr>
                  <w:tcW w:w="722" w:type="dxa"/>
                  <w:noWrap w:val="0"/>
                  <w:vAlign w:val="center"/>
                </w:tcPr>
                <w:p w14:paraId="0CDEF6A1">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5"/>
                      <w:sz w:val="21"/>
                      <w:szCs w:val="21"/>
                    </w:rPr>
                  </w:pPr>
                  <w:r>
                    <w:rPr>
                      <w:rFonts w:ascii="Times New Roman" w:hAnsi="Times New Roman" w:eastAsia="宋体" w:cs="宋体"/>
                      <w:spacing w:val="5"/>
                      <w:sz w:val="21"/>
                      <w:szCs w:val="21"/>
                    </w:rPr>
                    <w:t>14</w:t>
                  </w:r>
                </w:p>
              </w:tc>
              <w:tc>
                <w:tcPr>
                  <w:tcW w:w="3546" w:type="dxa"/>
                  <w:noWrap w:val="0"/>
                  <w:vAlign w:val="center"/>
                </w:tcPr>
                <w:p w14:paraId="4B2C7208">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3"/>
                      <w:sz w:val="21"/>
                      <w:szCs w:val="21"/>
                    </w:rPr>
                  </w:pPr>
                  <w:r>
                    <w:rPr>
                      <w:rFonts w:ascii="Times New Roman" w:hAnsi="Times New Roman" w:eastAsia="宋体" w:cs="宋体"/>
                      <w:spacing w:val="3"/>
                      <w:sz w:val="21"/>
                      <w:szCs w:val="21"/>
                    </w:rPr>
                    <w:t>布水井</w:t>
                  </w:r>
                </w:p>
              </w:tc>
              <w:tc>
                <w:tcPr>
                  <w:tcW w:w="992" w:type="dxa"/>
                  <w:noWrap w:val="0"/>
                  <w:vAlign w:val="center"/>
                </w:tcPr>
                <w:p w14:paraId="58FB2BBD">
                  <w:pPr>
                    <w:pStyle w:val="35"/>
                    <w:keepNext w:val="0"/>
                    <w:keepLines w:val="0"/>
                    <w:pageBreakBefore w:val="0"/>
                    <w:widowControl w:val="0"/>
                    <w:kinsoku/>
                    <w:wordWrap/>
                    <w:overflowPunct/>
                    <w:topLinePunct w:val="0"/>
                    <w:autoSpaceDE/>
                    <w:autoSpaceDN/>
                    <w:bidi w:val="0"/>
                    <w:adjustRightInd/>
                    <w:snapToGrid/>
                    <w:spacing w:line="240" w:lineRule="auto"/>
                    <w:ind w:left="341"/>
                    <w:jc w:val="center"/>
                    <w:textAlignment w:val="auto"/>
                    <w:rPr>
                      <w:rFonts w:ascii="Times New Roman" w:hAnsi="Times New Roman" w:eastAsia="宋体"/>
                      <w:sz w:val="21"/>
                      <w:szCs w:val="21"/>
                    </w:rPr>
                  </w:pPr>
                  <w:r>
                    <w:rPr>
                      <w:rFonts w:ascii="Times New Roman" w:hAnsi="Times New Roman" w:eastAsia="宋体"/>
                      <w:sz w:val="21"/>
                      <w:szCs w:val="21"/>
                    </w:rPr>
                    <w:t>座</w:t>
                  </w:r>
                </w:p>
              </w:tc>
              <w:tc>
                <w:tcPr>
                  <w:tcW w:w="1295" w:type="dxa"/>
                  <w:noWrap w:val="0"/>
                  <w:vAlign w:val="center"/>
                </w:tcPr>
                <w:p w14:paraId="39D51C82">
                  <w:pPr>
                    <w:keepNext w:val="0"/>
                    <w:keepLines w:val="0"/>
                    <w:pageBreakBefore w:val="0"/>
                    <w:widowControl w:val="0"/>
                    <w:kinsoku/>
                    <w:wordWrap/>
                    <w:overflowPunct/>
                    <w:topLinePunct w:val="0"/>
                    <w:autoSpaceDE/>
                    <w:autoSpaceDN/>
                    <w:bidi w:val="0"/>
                    <w:adjustRightInd/>
                    <w:snapToGrid/>
                    <w:spacing w:line="240" w:lineRule="auto"/>
                    <w:ind w:left="323"/>
                    <w:jc w:val="center"/>
                    <w:textAlignment w:val="auto"/>
                    <w:rPr>
                      <w:rFonts w:ascii="Times New Roman" w:hAnsi="Times New Roman" w:eastAsia="宋体" w:cs="Times New Roman"/>
                      <w:spacing w:val="3"/>
                      <w:position w:val="-3"/>
                      <w:sz w:val="21"/>
                      <w:szCs w:val="21"/>
                    </w:rPr>
                  </w:pPr>
                  <w:r>
                    <w:rPr>
                      <w:rFonts w:ascii="Times New Roman" w:hAnsi="Times New Roman" w:eastAsia="宋体" w:cs="Times New Roman"/>
                      <w:spacing w:val="3"/>
                      <w:position w:val="-3"/>
                      <w:sz w:val="21"/>
                      <w:szCs w:val="21"/>
                    </w:rPr>
                    <w:t>1</w:t>
                  </w:r>
                </w:p>
              </w:tc>
              <w:tc>
                <w:tcPr>
                  <w:tcW w:w="1379" w:type="dxa"/>
                  <w:noWrap w:val="0"/>
                  <w:vAlign w:val="center"/>
                </w:tcPr>
                <w:p w14:paraId="4FD605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p>
              </w:tc>
            </w:tr>
            <w:tr w14:paraId="4648BD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jc w:val="center"/>
              </w:trPr>
              <w:tc>
                <w:tcPr>
                  <w:tcW w:w="722" w:type="dxa"/>
                  <w:noWrap w:val="0"/>
                  <w:vAlign w:val="center"/>
                </w:tcPr>
                <w:p w14:paraId="2DA2DCBE">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5"/>
                      <w:sz w:val="21"/>
                      <w:szCs w:val="21"/>
                    </w:rPr>
                  </w:pPr>
                  <w:r>
                    <w:rPr>
                      <w:rFonts w:ascii="Times New Roman" w:hAnsi="Times New Roman" w:eastAsia="宋体" w:cs="宋体"/>
                      <w:spacing w:val="5"/>
                      <w:sz w:val="21"/>
                      <w:szCs w:val="21"/>
                    </w:rPr>
                    <w:t>15</w:t>
                  </w:r>
                </w:p>
              </w:tc>
              <w:tc>
                <w:tcPr>
                  <w:tcW w:w="3546" w:type="dxa"/>
                  <w:noWrap w:val="0"/>
                  <w:vAlign w:val="center"/>
                </w:tcPr>
                <w:p w14:paraId="17098A90">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3"/>
                      <w:sz w:val="21"/>
                      <w:szCs w:val="21"/>
                    </w:rPr>
                  </w:pPr>
                  <w:r>
                    <w:rPr>
                      <w:rFonts w:ascii="Times New Roman" w:hAnsi="Times New Roman" w:eastAsia="宋体" w:cs="宋体"/>
                      <w:spacing w:val="3"/>
                      <w:sz w:val="21"/>
                      <w:szCs w:val="21"/>
                    </w:rPr>
                    <w:t>检查井</w:t>
                  </w:r>
                </w:p>
              </w:tc>
              <w:tc>
                <w:tcPr>
                  <w:tcW w:w="992" w:type="dxa"/>
                  <w:noWrap w:val="0"/>
                  <w:vAlign w:val="center"/>
                </w:tcPr>
                <w:p w14:paraId="4EF37169">
                  <w:pPr>
                    <w:pStyle w:val="35"/>
                    <w:keepNext w:val="0"/>
                    <w:keepLines w:val="0"/>
                    <w:pageBreakBefore w:val="0"/>
                    <w:widowControl w:val="0"/>
                    <w:kinsoku/>
                    <w:wordWrap/>
                    <w:overflowPunct/>
                    <w:topLinePunct w:val="0"/>
                    <w:autoSpaceDE/>
                    <w:autoSpaceDN/>
                    <w:bidi w:val="0"/>
                    <w:adjustRightInd/>
                    <w:snapToGrid/>
                    <w:spacing w:line="240" w:lineRule="auto"/>
                    <w:ind w:left="341"/>
                    <w:jc w:val="center"/>
                    <w:textAlignment w:val="auto"/>
                    <w:rPr>
                      <w:rFonts w:ascii="Times New Roman" w:hAnsi="Times New Roman" w:eastAsia="宋体"/>
                      <w:sz w:val="21"/>
                      <w:szCs w:val="21"/>
                    </w:rPr>
                  </w:pPr>
                  <w:r>
                    <w:rPr>
                      <w:rFonts w:ascii="Times New Roman" w:hAnsi="Times New Roman" w:eastAsia="宋体"/>
                      <w:sz w:val="21"/>
                      <w:szCs w:val="21"/>
                    </w:rPr>
                    <w:t>座</w:t>
                  </w:r>
                </w:p>
              </w:tc>
              <w:tc>
                <w:tcPr>
                  <w:tcW w:w="1295" w:type="dxa"/>
                  <w:noWrap w:val="0"/>
                  <w:vAlign w:val="center"/>
                </w:tcPr>
                <w:p w14:paraId="78C1383C">
                  <w:pPr>
                    <w:keepNext w:val="0"/>
                    <w:keepLines w:val="0"/>
                    <w:pageBreakBefore w:val="0"/>
                    <w:widowControl w:val="0"/>
                    <w:kinsoku/>
                    <w:wordWrap/>
                    <w:overflowPunct/>
                    <w:topLinePunct w:val="0"/>
                    <w:autoSpaceDE/>
                    <w:autoSpaceDN/>
                    <w:bidi w:val="0"/>
                    <w:adjustRightInd/>
                    <w:snapToGrid/>
                    <w:spacing w:line="240" w:lineRule="auto"/>
                    <w:ind w:left="323"/>
                    <w:jc w:val="center"/>
                    <w:textAlignment w:val="auto"/>
                    <w:rPr>
                      <w:rFonts w:ascii="Times New Roman" w:hAnsi="Times New Roman" w:eastAsia="宋体" w:cs="Times New Roman"/>
                      <w:spacing w:val="3"/>
                      <w:position w:val="-3"/>
                      <w:sz w:val="21"/>
                      <w:szCs w:val="21"/>
                    </w:rPr>
                  </w:pPr>
                  <w:r>
                    <w:rPr>
                      <w:rFonts w:ascii="Times New Roman" w:hAnsi="Times New Roman" w:eastAsia="宋体" w:cs="Times New Roman"/>
                      <w:spacing w:val="3"/>
                      <w:position w:val="-3"/>
                      <w:sz w:val="21"/>
                      <w:szCs w:val="21"/>
                    </w:rPr>
                    <w:t>2</w:t>
                  </w:r>
                </w:p>
              </w:tc>
              <w:tc>
                <w:tcPr>
                  <w:tcW w:w="1379" w:type="dxa"/>
                  <w:noWrap w:val="0"/>
                  <w:vAlign w:val="center"/>
                </w:tcPr>
                <w:p w14:paraId="181095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p>
              </w:tc>
            </w:tr>
            <w:tr w14:paraId="365B5C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jc w:val="center"/>
              </w:trPr>
              <w:tc>
                <w:tcPr>
                  <w:tcW w:w="722" w:type="dxa"/>
                  <w:noWrap w:val="0"/>
                  <w:vAlign w:val="center"/>
                </w:tcPr>
                <w:p w14:paraId="492A4AD2">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5"/>
                      <w:sz w:val="21"/>
                      <w:szCs w:val="21"/>
                    </w:rPr>
                  </w:pPr>
                  <w:r>
                    <w:rPr>
                      <w:rFonts w:ascii="Times New Roman" w:hAnsi="Times New Roman" w:eastAsia="宋体" w:cs="宋体"/>
                      <w:spacing w:val="5"/>
                      <w:sz w:val="21"/>
                      <w:szCs w:val="21"/>
                    </w:rPr>
                    <w:t>16</w:t>
                  </w:r>
                </w:p>
              </w:tc>
              <w:tc>
                <w:tcPr>
                  <w:tcW w:w="3546" w:type="dxa"/>
                  <w:noWrap w:val="0"/>
                  <w:vAlign w:val="center"/>
                </w:tcPr>
                <w:p w14:paraId="1A3ECABA">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3"/>
                      <w:sz w:val="21"/>
                      <w:szCs w:val="21"/>
                    </w:rPr>
                  </w:pPr>
                  <w:r>
                    <w:rPr>
                      <w:rFonts w:ascii="Times New Roman" w:hAnsi="Times New Roman" w:eastAsia="宋体" w:cs="宋体"/>
                      <w:spacing w:val="3"/>
                      <w:sz w:val="21"/>
                      <w:szCs w:val="21"/>
                    </w:rPr>
                    <w:t>模板</w:t>
                  </w:r>
                </w:p>
              </w:tc>
              <w:tc>
                <w:tcPr>
                  <w:tcW w:w="992" w:type="dxa"/>
                  <w:noWrap w:val="0"/>
                  <w:vAlign w:val="center"/>
                </w:tcPr>
                <w:p w14:paraId="39687C58">
                  <w:pPr>
                    <w:keepNext w:val="0"/>
                    <w:keepLines w:val="0"/>
                    <w:pageBreakBefore w:val="0"/>
                    <w:widowControl w:val="0"/>
                    <w:kinsoku/>
                    <w:wordWrap/>
                    <w:overflowPunct/>
                    <w:topLinePunct w:val="0"/>
                    <w:autoSpaceDE/>
                    <w:autoSpaceDN/>
                    <w:bidi w:val="0"/>
                    <w:adjustRightInd/>
                    <w:snapToGrid/>
                    <w:spacing w:line="240" w:lineRule="auto"/>
                    <w:ind w:left="323"/>
                    <w:jc w:val="center"/>
                    <w:textAlignment w:val="auto"/>
                    <w:rPr>
                      <w:rFonts w:ascii="Times New Roman" w:hAnsi="Times New Roman" w:eastAsia="宋体" w:cs="Times New Roman"/>
                      <w:sz w:val="21"/>
                      <w:szCs w:val="21"/>
                    </w:rPr>
                  </w:pPr>
                  <w:r>
                    <w:rPr>
                      <w:rFonts w:ascii="Times New Roman" w:hAnsi="Times New Roman" w:eastAsia="宋体" w:cs="Times New Roman"/>
                      <w:spacing w:val="3"/>
                      <w:position w:val="-3"/>
                      <w:sz w:val="21"/>
                      <w:szCs w:val="21"/>
                    </w:rPr>
                    <w:t>m</w:t>
                  </w:r>
                  <w:r>
                    <w:rPr>
                      <w:rFonts w:ascii="Times New Roman" w:hAnsi="Times New Roman" w:eastAsia="宋体" w:cs="Times New Roman"/>
                      <w:spacing w:val="3"/>
                      <w:position w:val="3"/>
                      <w:sz w:val="21"/>
                      <w:szCs w:val="21"/>
                    </w:rPr>
                    <w:t>2</w:t>
                  </w:r>
                </w:p>
              </w:tc>
              <w:tc>
                <w:tcPr>
                  <w:tcW w:w="1295" w:type="dxa"/>
                  <w:noWrap w:val="0"/>
                  <w:vAlign w:val="center"/>
                </w:tcPr>
                <w:p w14:paraId="149DBA50">
                  <w:pPr>
                    <w:keepNext w:val="0"/>
                    <w:keepLines w:val="0"/>
                    <w:pageBreakBefore w:val="0"/>
                    <w:widowControl w:val="0"/>
                    <w:kinsoku/>
                    <w:wordWrap/>
                    <w:overflowPunct/>
                    <w:topLinePunct w:val="0"/>
                    <w:autoSpaceDE/>
                    <w:autoSpaceDN/>
                    <w:bidi w:val="0"/>
                    <w:adjustRightInd/>
                    <w:snapToGrid/>
                    <w:spacing w:line="240" w:lineRule="auto"/>
                    <w:ind w:left="323"/>
                    <w:jc w:val="center"/>
                    <w:textAlignment w:val="auto"/>
                    <w:rPr>
                      <w:rFonts w:ascii="Times New Roman" w:hAnsi="Times New Roman" w:eastAsia="宋体" w:cs="Times New Roman"/>
                      <w:spacing w:val="3"/>
                      <w:position w:val="-3"/>
                      <w:sz w:val="21"/>
                      <w:szCs w:val="21"/>
                    </w:rPr>
                  </w:pPr>
                  <w:r>
                    <w:rPr>
                      <w:rFonts w:ascii="Times New Roman" w:hAnsi="Times New Roman" w:eastAsia="宋体" w:cs="Times New Roman"/>
                      <w:spacing w:val="3"/>
                      <w:position w:val="-3"/>
                      <w:sz w:val="21"/>
                      <w:szCs w:val="21"/>
                    </w:rPr>
                    <w:t>5955</w:t>
                  </w:r>
                </w:p>
              </w:tc>
              <w:tc>
                <w:tcPr>
                  <w:tcW w:w="1379" w:type="dxa"/>
                  <w:noWrap w:val="0"/>
                  <w:vAlign w:val="center"/>
                </w:tcPr>
                <w:p w14:paraId="74FD31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p>
              </w:tc>
            </w:tr>
            <w:tr w14:paraId="0180C3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jc w:val="center"/>
              </w:trPr>
              <w:tc>
                <w:tcPr>
                  <w:tcW w:w="722" w:type="dxa"/>
                  <w:noWrap w:val="0"/>
                  <w:vAlign w:val="center"/>
                </w:tcPr>
                <w:p w14:paraId="3887E77D">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5"/>
                      <w:sz w:val="21"/>
                      <w:szCs w:val="21"/>
                    </w:rPr>
                  </w:pPr>
                  <w:r>
                    <w:rPr>
                      <w:rFonts w:ascii="Times New Roman" w:hAnsi="Times New Roman" w:eastAsia="宋体" w:cs="宋体"/>
                      <w:spacing w:val="5"/>
                      <w:sz w:val="21"/>
                      <w:szCs w:val="21"/>
                    </w:rPr>
                    <w:t>17</w:t>
                  </w:r>
                </w:p>
              </w:tc>
              <w:tc>
                <w:tcPr>
                  <w:tcW w:w="3546" w:type="dxa"/>
                  <w:noWrap w:val="0"/>
                  <w:vAlign w:val="center"/>
                </w:tcPr>
                <w:p w14:paraId="676CDF33">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3"/>
                      <w:sz w:val="21"/>
                      <w:szCs w:val="21"/>
                    </w:rPr>
                  </w:pPr>
                  <w:r>
                    <w:rPr>
                      <w:rFonts w:ascii="Times New Roman" w:hAnsi="Times New Roman" w:eastAsia="宋体" w:cs="宋体"/>
                      <w:spacing w:val="3"/>
                      <w:sz w:val="21"/>
                      <w:szCs w:val="21"/>
                    </w:rPr>
                    <w:t>钢筋制安</w:t>
                  </w:r>
                </w:p>
              </w:tc>
              <w:tc>
                <w:tcPr>
                  <w:tcW w:w="992" w:type="dxa"/>
                  <w:noWrap w:val="0"/>
                  <w:vAlign w:val="center"/>
                </w:tcPr>
                <w:p w14:paraId="2B4F0556">
                  <w:pPr>
                    <w:keepNext w:val="0"/>
                    <w:keepLines w:val="0"/>
                    <w:pageBreakBefore w:val="0"/>
                    <w:widowControl w:val="0"/>
                    <w:kinsoku/>
                    <w:wordWrap/>
                    <w:overflowPunct/>
                    <w:topLinePunct w:val="0"/>
                    <w:autoSpaceDE/>
                    <w:autoSpaceDN/>
                    <w:bidi w:val="0"/>
                    <w:adjustRightInd/>
                    <w:snapToGrid/>
                    <w:spacing w:line="240" w:lineRule="auto"/>
                    <w:ind w:left="407"/>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t</w:t>
                  </w:r>
                </w:p>
              </w:tc>
              <w:tc>
                <w:tcPr>
                  <w:tcW w:w="1295" w:type="dxa"/>
                  <w:noWrap w:val="0"/>
                  <w:vAlign w:val="center"/>
                </w:tcPr>
                <w:p w14:paraId="28DFFE1B">
                  <w:pPr>
                    <w:keepNext w:val="0"/>
                    <w:keepLines w:val="0"/>
                    <w:pageBreakBefore w:val="0"/>
                    <w:widowControl w:val="0"/>
                    <w:kinsoku/>
                    <w:wordWrap/>
                    <w:overflowPunct/>
                    <w:topLinePunct w:val="0"/>
                    <w:autoSpaceDE/>
                    <w:autoSpaceDN/>
                    <w:bidi w:val="0"/>
                    <w:adjustRightInd/>
                    <w:snapToGrid/>
                    <w:spacing w:line="240" w:lineRule="auto"/>
                    <w:ind w:left="323"/>
                    <w:jc w:val="center"/>
                    <w:textAlignment w:val="auto"/>
                    <w:rPr>
                      <w:rFonts w:ascii="Times New Roman" w:hAnsi="Times New Roman" w:eastAsia="宋体" w:cs="Times New Roman"/>
                      <w:spacing w:val="3"/>
                      <w:position w:val="-3"/>
                      <w:sz w:val="21"/>
                      <w:szCs w:val="21"/>
                    </w:rPr>
                  </w:pPr>
                  <w:r>
                    <w:rPr>
                      <w:rFonts w:ascii="Times New Roman" w:hAnsi="Times New Roman" w:eastAsia="宋体" w:cs="Times New Roman"/>
                      <w:spacing w:val="3"/>
                      <w:position w:val="-3"/>
                      <w:sz w:val="21"/>
                      <w:szCs w:val="21"/>
                    </w:rPr>
                    <w:t>263.28</w:t>
                  </w:r>
                </w:p>
              </w:tc>
              <w:tc>
                <w:tcPr>
                  <w:tcW w:w="1379" w:type="dxa"/>
                  <w:noWrap w:val="0"/>
                  <w:vAlign w:val="center"/>
                </w:tcPr>
                <w:p w14:paraId="37B296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p>
              </w:tc>
            </w:tr>
            <w:tr w14:paraId="537382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jc w:val="center"/>
              </w:trPr>
              <w:tc>
                <w:tcPr>
                  <w:tcW w:w="722" w:type="dxa"/>
                  <w:noWrap w:val="0"/>
                  <w:vAlign w:val="center"/>
                </w:tcPr>
                <w:p w14:paraId="57C1BE1D">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5"/>
                      <w:sz w:val="21"/>
                      <w:szCs w:val="21"/>
                    </w:rPr>
                  </w:pPr>
                  <w:r>
                    <w:rPr>
                      <w:rFonts w:ascii="Times New Roman" w:hAnsi="Times New Roman" w:eastAsia="宋体" w:cs="宋体"/>
                      <w:spacing w:val="5"/>
                      <w:sz w:val="21"/>
                      <w:szCs w:val="21"/>
                    </w:rPr>
                    <w:t>18</w:t>
                  </w:r>
                </w:p>
              </w:tc>
              <w:tc>
                <w:tcPr>
                  <w:tcW w:w="3546" w:type="dxa"/>
                  <w:noWrap w:val="0"/>
                  <w:vAlign w:val="center"/>
                </w:tcPr>
                <w:p w14:paraId="637FECCF">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3"/>
                      <w:sz w:val="21"/>
                      <w:szCs w:val="21"/>
                    </w:rPr>
                  </w:pPr>
                  <w:r>
                    <w:rPr>
                      <w:rFonts w:ascii="Times New Roman" w:hAnsi="Times New Roman" w:eastAsia="宋体" w:cs="宋体"/>
                      <w:spacing w:val="3"/>
                      <w:sz w:val="21"/>
                      <w:szCs w:val="21"/>
                    </w:rPr>
                    <w:t>伸缩缝</w:t>
                  </w:r>
                </w:p>
              </w:tc>
              <w:tc>
                <w:tcPr>
                  <w:tcW w:w="992" w:type="dxa"/>
                  <w:noWrap w:val="0"/>
                  <w:vAlign w:val="center"/>
                </w:tcPr>
                <w:p w14:paraId="7F9C3F30">
                  <w:pPr>
                    <w:keepNext w:val="0"/>
                    <w:keepLines w:val="0"/>
                    <w:pageBreakBefore w:val="0"/>
                    <w:widowControl w:val="0"/>
                    <w:kinsoku/>
                    <w:wordWrap/>
                    <w:overflowPunct/>
                    <w:topLinePunct w:val="0"/>
                    <w:autoSpaceDE/>
                    <w:autoSpaceDN/>
                    <w:bidi w:val="0"/>
                    <w:adjustRightInd/>
                    <w:snapToGrid/>
                    <w:spacing w:line="240" w:lineRule="auto"/>
                    <w:ind w:left="357"/>
                    <w:jc w:val="center"/>
                    <w:textAlignment w:val="auto"/>
                    <w:rPr>
                      <w:rFonts w:ascii="Times New Roman" w:hAnsi="Times New Roman" w:eastAsia="宋体" w:cs="Times New Roman"/>
                      <w:sz w:val="21"/>
                      <w:szCs w:val="21"/>
                    </w:rPr>
                  </w:pPr>
                  <w:r>
                    <w:rPr>
                      <w:rFonts w:ascii="Times New Roman" w:hAnsi="Times New Roman" w:eastAsia="宋体" w:cs="Times New Roman"/>
                      <w:spacing w:val="5"/>
                      <w:position w:val="-1"/>
                      <w:sz w:val="21"/>
                      <w:szCs w:val="21"/>
                    </w:rPr>
                    <w:t>m</w:t>
                  </w:r>
                </w:p>
              </w:tc>
              <w:tc>
                <w:tcPr>
                  <w:tcW w:w="1295" w:type="dxa"/>
                  <w:noWrap w:val="0"/>
                  <w:vAlign w:val="center"/>
                </w:tcPr>
                <w:p w14:paraId="104A4BA3">
                  <w:pPr>
                    <w:keepNext w:val="0"/>
                    <w:keepLines w:val="0"/>
                    <w:pageBreakBefore w:val="0"/>
                    <w:widowControl w:val="0"/>
                    <w:kinsoku/>
                    <w:wordWrap/>
                    <w:overflowPunct/>
                    <w:topLinePunct w:val="0"/>
                    <w:autoSpaceDE/>
                    <w:autoSpaceDN/>
                    <w:bidi w:val="0"/>
                    <w:adjustRightInd/>
                    <w:snapToGrid/>
                    <w:spacing w:line="240" w:lineRule="auto"/>
                    <w:ind w:left="323"/>
                    <w:jc w:val="center"/>
                    <w:textAlignment w:val="auto"/>
                    <w:rPr>
                      <w:rFonts w:ascii="Times New Roman" w:hAnsi="Times New Roman" w:eastAsia="宋体" w:cs="Times New Roman"/>
                      <w:spacing w:val="3"/>
                      <w:position w:val="-3"/>
                      <w:sz w:val="21"/>
                      <w:szCs w:val="21"/>
                    </w:rPr>
                  </w:pPr>
                  <w:r>
                    <w:rPr>
                      <w:rFonts w:ascii="Times New Roman" w:hAnsi="Times New Roman" w:eastAsia="宋体" w:cs="Times New Roman"/>
                      <w:spacing w:val="3"/>
                      <w:position w:val="-3"/>
                      <w:sz w:val="21"/>
                      <w:szCs w:val="21"/>
                    </w:rPr>
                    <w:t>183</w:t>
                  </w:r>
                </w:p>
              </w:tc>
              <w:tc>
                <w:tcPr>
                  <w:tcW w:w="1379" w:type="dxa"/>
                  <w:noWrap w:val="0"/>
                  <w:vAlign w:val="center"/>
                </w:tcPr>
                <w:p w14:paraId="70D7F6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p>
              </w:tc>
            </w:tr>
            <w:tr w14:paraId="2B1F69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jc w:val="center"/>
              </w:trPr>
              <w:tc>
                <w:tcPr>
                  <w:tcW w:w="722" w:type="dxa"/>
                  <w:noWrap w:val="0"/>
                  <w:vAlign w:val="center"/>
                </w:tcPr>
                <w:p w14:paraId="103D4A66">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5"/>
                      <w:sz w:val="21"/>
                      <w:szCs w:val="21"/>
                    </w:rPr>
                  </w:pPr>
                  <w:r>
                    <w:rPr>
                      <w:rFonts w:ascii="Times New Roman" w:hAnsi="Times New Roman" w:eastAsia="宋体" w:cs="宋体"/>
                      <w:spacing w:val="5"/>
                      <w:sz w:val="21"/>
                      <w:szCs w:val="21"/>
                    </w:rPr>
                    <w:t>19</w:t>
                  </w:r>
                </w:p>
              </w:tc>
              <w:tc>
                <w:tcPr>
                  <w:tcW w:w="3546" w:type="dxa"/>
                  <w:noWrap w:val="0"/>
                  <w:vAlign w:val="center"/>
                </w:tcPr>
                <w:p w14:paraId="62D6AA65">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3"/>
                      <w:sz w:val="21"/>
                      <w:szCs w:val="21"/>
                    </w:rPr>
                  </w:pPr>
                  <w:r>
                    <w:rPr>
                      <w:rFonts w:ascii="Times New Roman" w:hAnsi="Times New Roman" w:eastAsia="宋体" w:cs="宋体"/>
                      <w:spacing w:val="3"/>
                      <w:sz w:val="21"/>
                      <w:szCs w:val="21"/>
                    </w:rPr>
                    <w:t>2cm厚1:2防水水泥砂浆抹面</w:t>
                  </w:r>
                </w:p>
              </w:tc>
              <w:tc>
                <w:tcPr>
                  <w:tcW w:w="992" w:type="dxa"/>
                  <w:noWrap w:val="0"/>
                  <w:vAlign w:val="center"/>
                </w:tcPr>
                <w:p w14:paraId="5F96189D">
                  <w:pPr>
                    <w:keepNext w:val="0"/>
                    <w:keepLines w:val="0"/>
                    <w:pageBreakBefore w:val="0"/>
                    <w:widowControl w:val="0"/>
                    <w:kinsoku/>
                    <w:wordWrap/>
                    <w:overflowPunct/>
                    <w:topLinePunct w:val="0"/>
                    <w:autoSpaceDE/>
                    <w:autoSpaceDN/>
                    <w:bidi w:val="0"/>
                    <w:adjustRightInd/>
                    <w:snapToGrid/>
                    <w:spacing w:line="240" w:lineRule="auto"/>
                    <w:ind w:left="323"/>
                    <w:jc w:val="center"/>
                    <w:textAlignment w:val="auto"/>
                    <w:rPr>
                      <w:rFonts w:ascii="Times New Roman" w:hAnsi="Times New Roman" w:eastAsia="宋体" w:cs="Times New Roman"/>
                      <w:sz w:val="21"/>
                      <w:szCs w:val="21"/>
                    </w:rPr>
                  </w:pPr>
                  <w:r>
                    <w:rPr>
                      <w:rFonts w:ascii="Times New Roman" w:hAnsi="Times New Roman" w:eastAsia="宋体" w:cs="Times New Roman"/>
                      <w:spacing w:val="3"/>
                      <w:position w:val="-3"/>
                      <w:sz w:val="21"/>
                      <w:szCs w:val="21"/>
                    </w:rPr>
                    <w:t>m</w:t>
                  </w:r>
                  <w:r>
                    <w:rPr>
                      <w:rFonts w:ascii="Times New Roman" w:hAnsi="Times New Roman" w:eastAsia="宋体" w:cs="Times New Roman"/>
                      <w:spacing w:val="3"/>
                      <w:position w:val="3"/>
                      <w:sz w:val="21"/>
                      <w:szCs w:val="21"/>
                    </w:rPr>
                    <w:t>2</w:t>
                  </w:r>
                </w:p>
              </w:tc>
              <w:tc>
                <w:tcPr>
                  <w:tcW w:w="1295" w:type="dxa"/>
                  <w:noWrap w:val="0"/>
                  <w:vAlign w:val="center"/>
                </w:tcPr>
                <w:p w14:paraId="3A434678">
                  <w:pPr>
                    <w:keepNext w:val="0"/>
                    <w:keepLines w:val="0"/>
                    <w:pageBreakBefore w:val="0"/>
                    <w:widowControl w:val="0"/>
                    <w:kinsoku/>
                    <w:wordWrap/>
                    <w:overflowPunct/>
                    <w:topLinePunct w:val="0"/>
                    <w:autoSpaceDE/>
                    <w:autoSpaceDN/>
                    <w:bidi w:val="0"/>
                    <w:adjustRightInd/>
                    <w:snapToGrid/>
                    <w:spacing w:line="240" w:lineRule="auto"/>
                    <w:ind w:left="323"/>
                    <w:jc w:val="center"/>
                    <w:textAlignment w:val="auto"/>
                    <w:rPr>
                      <w:rFonts w:ascii="Times New Roman" w:hAnsi="Times New Roman" w:eastAsia="宋体" w:cs="Times New Roman"/>
                      <w:spacing w:val="3"/>
                      <w:position w:val="-3"/>
                      <w:sz w:val="21"/>
                      <w:szCs w:val="21"/>
                    </w:rPr>
                  </w:pPr>
                  <w:r>
                    <w:rPr>
                      <w:rFonts w:ascii="Times New Roman" w:hAnsi="Times New Roman" w:eastAsia="宋体" w:cs="Times New Roman"/>
                      <w:spacing w:val="3"/>
                      <w:position w:val="-3"/>
                      <w:sz w:val="21"/>
                      <w:szCs w:val="21"/>
                    </w:rPr>
                    <w:t>12012</w:t>
                  </w:r>
                </w:p>
              </w:tc>
              <w:tc>
                <w:tcPr>
                  <w:tcW w:w="1379" w:type="dxa"/>
                  <w:noWrap w:val="0"/>
                  <w:vAlign w:val="center"/>
                </w:tcPr>
                <w:p w14:paraId="319C67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p>
              </w:tc>
            </w:tr>
            <w:tr w14:paraId="5E3AB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jc w:val="center"/>
              </w:trPr>
              <w:tc>
                <w:tcPr>
                  <w:tcW w:w="722" w:type="dxa"/>
                  <w:noWrap w:val="0"/>
                  <w:vAlign w:val="center"/>
                </w:tcPr>
                <w:p w14:paraId="25BB551C">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5"/>
                      <w:sz w:val="21"/>
                      <w:szCs w:val="21"/>
                    </w:rPr>
                  </w:pPr>
                  <w:r>
                    <w:rPr>
                      <w:rFonts w:ascii="Times New Roman" w:hAnsi="Times New Roman" w:eastAsia="宋体" w:cs="宋体"/>
                      <w:spacing w:val="5"/>
                      <w:sz w:val="21"/>
                      <w:szCs w:val="21"/>
                    </w:rPr>
                    <w:t>20</w:t>
                  </w:r>
                </w:p>
              </w:tc>
              <w:tc>
                <w:tcPr>
                  <w:tcW w:w="3546" w:type="dxa"/>
                  <w:noWrap w:val="0"/>
                  <w:vAlign w:val="center"/>
                </w:tcPr>
                <w:p w14:paraId="7A600DAE">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3"/>
                      <w:sz w:val="21"/>
                      <w:szCs w:val="21"/>
                    </w:rPr>
                  </w:pPr>
                  <w:r>
                    <w:rPr>
                      <w:rFonts w:ascii="Times New Roman" w:hAnsi="Times New Roman" w:eastAsia="宋体" w:cs="宋体"/>
                      <w:spacing w:val="3"/>
                      <w:sz w:val="21"/>
                      <w:szCs w:val="21"/>
                    </w:rPr>
                    <w:t>dn110PE管</w:t>
                  </w:r>
                </w:p>
              </w:tc>
              <w:tc>
                <w:tcPr>
                  <w:tcW w:w="992" w:type="dxa"/>
                  <w:noWrap w:val="0"/>
                  <w:vAlign w:val="center"/>
                </w:tcPr>
                <w:p w14:paraId="594FCCF3">
                  <w:pPr>
                    <w:keepNext w:val="0"/>
                    <w:keepLines w:val="0"/>
                    <w:pageBreakBefore w:val="0"/>
                    <w:widowControl w:val="0"/>
                    <w:kinsoku/>
                    <w:wordWrap/>
                    <w:overflowPunct/>
                    <w:topLinePunct w:val="0"/>
                    <w:autoSpaceDE/>
                    <w:autoSpaceDN/>
                    <w:bidi w:val="0"/>
                    <w:adjustRightInd/>
                    <w:snapToGrid/>
                    <w:spacing w:line="240" w:lineRule="auto"/>
                    <w:ind w:left="357"/>
                    <w:jc w:val="center"/>
                    <w:textAlignment w:val="auto"/>
                    <w:rPr>
                      <w:rFonts w:ascii="Times New Roman" w:hAnsi="Times New Roman" w:eastAsia="宋体" w:cs="Times New Roman"/>
                      <w:sz w:val="21"/>
                      <w:szCs w:val="21"/>
                    </w:rPr>
                  </w:pPr>
                  <w:r>
                    <w:rPr>
                      <w:rFonts w:ascii="Times New Roman" w:hAnsi="Times New Roman" w:eastAsia="宋体" w:cs="Times New Roman"/>
                      <w:spacing w:val="5"/>
                      <w:position w:val="-1"/>
                      <w:sz w:val="21"/>
                      <w:szCs w:val="21"/>
                    </w:rPr>
                    <w:t>m</w:t>
                  </w:r>
                </w:p>
              </w:tc>
              <w:tc>
                <w:tcPr>
                  <w:tcW w:w="1295" w:type="dxa"/>
                  <w:noWrap w:val="0"/>
                  <w:vAlign w:val="center"/>
                </w:tcPr>
                <w:p w14:paraId="534F57B2">
                  <w:pPr>
                    <w:keepNext w:val="0"/>
                    <w:keepLines w:val="0"/>
                    <w:pageBreakBefore w:val="0"/>
                    <w:widowControl w:val="0"/>
                    <w:kinsoku/>
                    <w:wordWrap/>
                    <w:overflowPunct/>
                    <w:topLinePunct w:val="0"/>
                    <w:autoSpaceDE/>
                    <w:autoSpaceDN/>
                    <w:bidi w:val="0"/>
                    <w:adjustRightInd/>
                    <w:snapToGrid/>
                    <w:spacing w:line="240" w:lineRule="auto"/>
                    <w:ind w:left="323"/>
                    <w:jc w:val="center"/>
                    <w:textAlignment w:val="auto"/>
                    <w:rPr>
                      <w:rFonts w:ascii="Times New Roman" w:hAnsi="Times New Roman" w:eastAsia="宋体" w:cs="Times New Roman"/>
                      <w:spacing w:val="3"/>
                      <w:position w:val="-3"/>
                      <w:sz w:val="21"/>
                      <w:szCs w:val="21"/>
                    </w:rPr>
                  </w:pPr>
                  <w:r>
                    <w:rPr>
                      <w:rFonts w:ascii="Times New Roman" w:hAnsi="Times New Roman" w:eastAsia="宋体" w:cs="Times New Roman"/>
                      <w:spacing w:val="3"/>
                      <w:position w:val="-3"/>
                      <w:sz w:val="21"/>
                      <w:szCs w:val="21"/>
                    </w:rPr>
                    <w:t>745</w:t>
                  </w:r>
                </w:p>
              </w:tc>
              <w:tc>
                <w:tcPr>
                  <w:tcW w:w="1379" w:type="dxa"/>
                  <w:noWrap w:val="0"/>
                  <w:vAlign w:val="center"/>
                </w:tcPr>
                <w:p w14:paraId="57D7A3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p>
              </w:tc>
            </w:tr>
            <w:tr w14:paraId="4AA367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jc w:val="center"/>
              </w:trPr>
              <w:tc>
                <w:tcPr>
                  <w:tcW w:w="722" w:type="dxa"/>
                  <w:noWrap w:val="0"/>
                  <w:vAlign w:val="center"/>
                </w:tcPr>
                <w:p w14:paraId="62069FAA">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5"/>
                      <w:sz w:val="21"/>
                      <w:szCs w:val="21"/>
                    </w:rPr>
                  </w:pPr>
                  <w:r>
                    <w:rPr>
                      <w:rFonts w:ascii="Times New Roman" w:hAnsi="Times New Roman" w:eastAsia="宋体" w:cs="宋体"/>
                      <w:spacing w:val="5"/>
                      <w:sz w:val="21"/>
                      <w:szCs w:val="21"/>
                    </w:rPr>
                    <w:t>21</w:t>
                  </w:r>
                </w:p>
              </w:tc>
              <w:tc>
                <w:tcPr>
                  <w:tcW w:w="3546" w:type="dxa"/>
                  <w:noWrap w:val="0"/>
                  <w:vAlign w:val="center"/>
                </w:tcPr>
                <w:p w14:paraId="0E55FA94">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3"/>
                      <w:sz w:val="21"/>
                      <w:szCs w:val="21"/>
                    </w:rPr>
                  </w:pPr>
                  <w:r>
                    <w:rPr>
                      <w:rFonts w:ascii="Times New Roman" w:hAnsi="Times New Roman" w:eastAsia="宋体" w:cs="宋体"/>
                      <w:spacing w:val="3"/>
                      <w:sz w:val="21"/>
                      <w:szCs w:val="21"/>
                    </w:rPr>
                    <w:t>DN600PE双壁波纹管（SN8）</w:t>
                  </w:r>
                </w:p>
              </w:tc>
              <w:tc>
                <w:tcPr>
                  <w:tcW w:w="992" w:type="dxa"/>
                  <w:noWrap w:val="0"/>
                  <w:vAlign w:val="center"/>
                </w:tcPr>
                <w:p w14:paraId="1E0EACE0">
                  <w:pPr>
                    <w:keepNext w:val="0"/>
                    <w:keepLines w:val="0"/>
                    <w:pageBreakBefore w:val="0"/>
                    <w:widowControl w:val="0"/>
                    <w:kinsoku/>
                    <w:wordWrap/>
                    <w:overflowPunct/>
                    <w:topLinePunct w:val="0"/>
                    <w:autoSpaceDE/>
                    <w:autoSpaceDN/>
                    <w:bidi w:val="0"/>
                    <w:adjustRightInd/>
                    <w:snapToGrid/>
                    <w:spacing w:line="240" w:lineRule="auto"/>
                    <w:ind w:left="357"/>
                    <w:jc w:val="center"/>
                    <w:textAlignment w:val="auto"/>
                    <w:rPr>
                      <w:rFonts w:ascii="Times New Roman" w:hAnsi="Times New Roman" w:eastAsia="宋体" w:cs="Times New Roman"/>
                      <w:sz w:val="21"/>
                      <w:szCs w:val="21"/>
                    </w:rPr>
                  </w:pPr>
                  <w:r>
                    <w:rPr>
                      <w:rFonts w:ascii="Times New Roman" w:hAnsi="Times New Roman" w:eastAsia="宋体" w:cs="Times New Roman"/>
                      <w:spacing w:val="5"/>
                      <w:position w:val="-1"/>
                      <w:sz w:val="21"/>
                      <w:szCs w:val="21"/>
                    </w:rPr>
                    <w:t>m</w:t>
                  </w:r>
                </w:p>
              </w:tc>
              <w:tc>
                <w:tcPr>
                  <w:tcW w:w="1295" w:type="dxa"/>
                  <w:noWrap w:val="0"/>
                  <w:vAlign w:val="center"/>
                </w:tcPr>
                <w:p w14:paraId="607A053F">
                  <w:pPr>
                    <w:keepNext w:val="0"/>
                    <w:keepLines w:val="0"/>
                    <w:pageBreakBefore w:val="0"/>
                    <w:widowControl w:val="0"/>
                    <w:kinsoku/>
                    <w:wordWrap/>
                    <w:overflowPunct/>
                    <w:topLinePunct w:val="0"/>
                    <w:autoSpaceDE/>
                    <w:autoSpaceDN/>
                    <w:bidi w:val="0"/>
                    <w:adjustRightInd/>
                    <w:snapToGrid/>
                    <w:spacing w:line="240" w:lineRule="auto"/>
                    <w:ind w:left="323"/>
                    <w:jc w:val="center"/>
                    <w:textAlignment w:val="auto"/>
                    <w:rPr>
                      <w:rFonts w:ascii="Times New Roman" w:hAnsi="Times New Roman" w:eastAsia="宋体" w:cs="Times New Roman"/>
                      <w:spacing w:val="3"/>
                      <w:position w:val="-3"/>
                      <w:sz w:val="21"/>
                      <w:szCs w:val="21"/>
                    </w:rPr>
                  </w:pPr>
                  <w:r>
                    <w:rPr>
                      <w:rFonts w:ascii="Times New Roman" w:hAnsi="Times New Roman" w:eastAsia="宋体" w:cs="Times New Roman"/>
                      <w:spacing w:val="3"/>
                      <w:position w:val="-3"/>
                      <w:sz w:val="21"/>
                      <w:szCs w:val="21"/>
                    </w:rPr>
                    <w:t>150</w:t>
                  </w:r>
                </w:p>
              </w:tc>
              <w:tc>
                <w:tcPr>
                  <w:tcW w:w="1379" w:type="dxa"/>
                  <w:noWrap w:val="0"/>
                  <w:vAlign w:val="center"/>
                </w:tcPr>
                <w:p w14:paraId="07D039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p>
              </w:tc>
            </w:tr>
            <w:tr w14:paraId="13D08A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jc w:val="center"/>
              </w:trPr>
              <w:tc>
                <w:tcPr>
                  <w:tcW w:w="722" w:type="dxa"/>
                  <w:noWrap w:val="0"/>
                  <w:vAlign w:val="center"/>
                </w:tcPr>
                <w:p w14:paraId="255A649A">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5"/>
                      <w:sz w:val="21"/>
                      <w:szCs w:val="21"/>
                    </w:rPr>
                  </w:pPr>
                  <w:r>
                    <w:rPr>
                      <w:rFonts w:ascii="Times New Roman" w:hAnsi="Times New Roman" w:eastAsia="宋体" w:cs="宋体"/>
                      <w:spacing w:val="5"/>
                      <w:sz w:val="21"/>
                      <w:szCs w:val="21"/>
                    </w:rPr>
                    <w:t>22</w:t>
                  </w:r>
                </w:p>
              </w:tc>
              <w:tc>
                <w:tcPr>
                  <w:tcW w:w="3546" w:type="dxa"/>
                  <w:noWrap w:val="0"/>
                  <w:vAlign w:val="center"/>
                </w:tcPr>
                <w:p w14:paraId="46B7FD48">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3"/>
                      <w:sz w:val="21"/>
                      <w:szCs w:val="21"/>
                    </w:rPr>
                  </w:pPr>
                  <w:r>
                    <w:rPr>
                      <w:rFonts w:ascii="Times New Roman" w:hAnsi="Times New Roman" w:eastAsia="宋体" w:cs="宋体"/>
                      <w:spacing w:val="3"/>
                      <w:sz w:val="21"/>
                      <w:szCs w:val="21"/>
                    </w:rPr>
                    <w:t>草籽护坡（匍匐翦股颖草籽15g/m²</w:t>
                  </w:r>
                  <w:r>
                    <w:rPr>
                      <w:rFonts w:hint="eastAsia" w:ascii="Times New Roman" w:hAnsi="Times New Roman" w:eastAsia="宋体" w:cs="宋体"/>
                      <w:spacing w:val="3"/>
                      <w:sz w:val="21"/>
                      <w:szCs w:val="21"/>
                      <w:lang w:eastAsia="zh-CN"/>
                    </w:rPr>
                    <w:t>，</w:t>
                  </w:r>
                  <w:r>
                    <w:rPr>
                      <w:rFonts w:ascii="Times New Roman" w:hAnsi="Times New Roman" w:eastAsia="宋体" w:cs="宋体"/>
                      <w:spacing w:val="3"/>
                      <w:sz w:val="21"/>
                      <w:szCs w:val="21"/>
                    </w:rPr>
                    <w:t>养护三年）</w:t>
                  </w:r>
                </w:p>
              </w:tc>
              <w:tc>
                <w:tcPr>
                  <w:tcW w:w="992" w:type="dxa"/>
                  <w:noWrap w:val="0"/>
                  <w:vAlign w:val="center"/>
                </w:tcPr>
                <w:p w14:paraId="1A204E46">
                  <w:pPr>
                    <w:keepNext w:val="0"/>
                    <w:keepLines w:val="0"/>
                    <w:pageBreakBefore w:val="0"/>
                    <w:widowControl w:val="0"/>
                    <w:kinsoku/>
                    <w:wordWrap/>
                    <w:overflowPunct/>
                    <w:topLinePunct w:val="0"/>
                    <w:autoSpaceDE/>
                    <w:autoSpaceDN/>
                    <w:bidi w:val="0"/>
                    <w:adjustRightInd/>
                    <w:snapToGrid/>
                    <w:spacing w:line="240" w:lineRule="auto"/>
                    <w:ind w:left="323"/>
                    <w:jc w:val="center"/>
                    <w:textAlignment w:val="auto"/>
                    <w:rPr>
                      <w:rFonts w:ascii="Times New Roman" w:hAnsi="Times New Roman" w:eastAsia="宋体" w:cs="Times New Roman"/>
                      <w:sz w:val="21"/>
                      <w:szCs w:val="21"/>
                    </w:rPr>
                  </w:pPr>
                  <w:r>
                    <w:rPr>
                      <w:rFonts w:ascii="Times New Roman" w:hAnsi="Times New Roman" w:eastAsia="宋体" w:cs="Times New Roman"/>
                      <w:spacing w:val="3"/>
                      <w:position w:val="-3"/>
                      <w:sz w:val="21"/>
                      <w:szCs w:val="21"/>
                    </w:rPr>
                    <w:t>m</w:t>
                  </w:r>
                  <w:r>
                    <w:rPr>
                      <w:rFonts w:ascii="Times New Roman" w:hAnsi="Times New Roman" w:eastAsia="宋体" w:cs="Times New Roman"/>
                      <w:spacing w:val="3"/>
                      <w:position w:val="3"/>
                      <w:sz w:val="21"/>
                      <w:szCs w:val="21"/>
                    </w:rPr>
                    <w:t>2</w:t>
                  </w:r>
                </w:p>
              </w:tc>
              <w:tc>
                <w:tcPr>
                  <w:tcW w:w="1295" w:type="dxa"/>
                  <w:noWrap w:val="0"/>
                  <w:vAlign w:val="center"/>
                </w:tcPr>
                <w:p w14:paraId="37CC2D96">
                  <w:pPr>
                    <w:keepNext w:val="0"/>
                    <w:keepLines w:val="0"/>
                    <w:pageBreakBefore w:val="0"/>
                    <w:widowControl w:val="0"/>
                    <w:kinsoku/>
                    <w:wordWrap/>
                    <w:overflowPunct/>
                    <w:topLinePunct w:val="0"/>
                    <w:autoSpaceDE/>
                    <w:autoSpaceDN/>
                    <w:bidi w:val="0"/>
                    <w:adjustRightInd/>
                    <w:snapToGrid/>
                    <w:spacing w:line="240" w:lineRule="auto"/>
                    <w:ind w:left="323"/>
                    <w:jc w:val="center"/>
                    <w:textAlignment w:val="auto"/>
                    <w:rPr>
                      <w:rFonts w:ascii="Times New Roman" w:hAnsi="Times New Roman" w:eastAsia="宋体" w:cs="Times New Roman"/>
                      <w:spacing w:val="3"/>
                      <w:position w:val="-3"/>
                      <w:sz w:val="21"/>
                      <w:szCs w:val="21"/>
                    </w:rPr>
                  </w:pPr>
                  <w:r>
                    <w:rPr>
                      <w:rFonts w:ascii="Times New Roman" w:hAnsi="Times New Roman" w:eastAsia="宋体" w:cs="Times New Roman"/>
                      <w:spacing w:val="3"/>
                      <w:position w:val="-3"/>
                      <w:sz w:val="21"/>
                      <w:szCs w:val="21"/>
                    </w:rPr>
                    <w:t>762</w:t>
                  </w:r>
                </w:p>
              </w:tc>
              <w:tc>
                <w:tcPr>
                  <w:tcW w:w="1379" w:type="dxa"/>
                  <w:noWrap w:val="0"/>
                  <w:vAlign w:val="center"/>
                </w:tcPr>
                <w:p w14:paraId="74D930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p>
              </w:tc>
            </w:tr>
            <w:tr w14:paraId="06A096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jc w:val="center"/>
              </w:trPr>
              <w:tc>
                <w:tcPr>
                  <w:tcW w:w="722" w:type="dxa"/>
                  <w:noWrap w:val="0"/>
                  <w:vAlign w:val="center"/>
                </w:tcPr>
                <w:p w14:paraId="5183633F">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5"/>
                      <w:sz w:val="21"/>
                      <w:szCs w:val="21"/>
                    </w:rPr>
                  </w:pPr>
                  <w:r>
                    <w:rPr>
                      <w:rFonts w:ascii="Times New Roman" w:hAnsi="Times New Roman" w:eastAsia="宋体" w:cs="宋体"/>
                      <w:spacing w:val="5"/>
                      <w:sz w:val="21"/>
                      <w:szCs w:val="21"/>
                    </w:rPr>
                    <w:t>23</w:t>
                  </w:r>
                </w:p>
              </w:tc>
              <w:tc>
                <w:tcPr>
                  <w:tcW w:w="3546" w:type="dxa"/>
                  <w:noWrap w:val="0"/>
                  <w:vAlign w:val="center"/>
                </w:tcPr>
                <w:p w14:paraId="30E0C6A0">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3"/>
                      <w:sz w:val="21"/>
                      <w:szCs w:val="21"/>
                    </w:rPr>
                  </w:pPr>
                  <w:r>
                    <w:rPr>
                      <w:rFonts w:ascii="Times New Roman" w:hAnsi="Times New Roman" w:eastAsia="宋体" w:cs="宋体"/>
                      <w:spacing w:val="3"/>
                      <w:sz w:val="21"/>
                      <w:szCs w:val="21"/>
                    </w:rPr>
                    <w:t>荻（高度30～40cm，养护三年）</w:t>
                  </w:r>
                </w:p>
              </w:tc>
              <w:tc>
                <w:tcPr>
                  <w:tcW w:w="992" w:type="dxa"/>
                  <w:noWrap w:val="0"/>
                  <w:vAlign w:val="center"/>
                </w:tcPr>
                <w:p w14:paraId="2BD7926A">
                  <w:pPr>
                    <w:keepNext w:val="0"/>
                    <w:keepLines w:val="0"/>
                    <w:pageBreakBefore w:val="0"/>
                    <w:widowControl w:val="0"/>
                    <w:kinsoku/>
                    <w:wordWrap/>
                    <w:overflowPunct/>
                    <w:topLinePunct w:val="0"/>
                    <w:autoSpaceDE/>
                    <w:autoSpaceDN/>
                    <w:bidi w:val="0"/>
                    <w:adjustRightInd/>
                    <w:snapToGrid/>
                    <w:spacing w:line="240" w:lineRule="auto"/>
                    <w:ind w:left="323"/>
                    <w:jc w:val="center"/>
                    <w:textAlignment w:val="auto"/>
                    <w:rPr>
                      <w:rFonts w:ascii="Times New Roman" w:hAnsi="Times New Roman" w:eastAsia="宋体" w:cs="Times New Roman"/>
                      <w:sz w:val="21"/>
                      <w:szCs w:val="21"/>
                    </w:rPr>
                  </w:pPr>
                  <w:r>
                    <w:rPr>
                      <w:rFonts w:ascii="Times New Roman" w:hAnsi="Times New Roman" w:eastAsia="宋体" w:cs="Times New Roman"/>
                      <w:spacing w:val="3"/>
                      <w:position w:val="-3"/>
                      <w:sz w:val="21"/>
                      <w:szCs w:val="21"/>
                    </w:rPr>
                    <w:t>m</w:t>
                  </w:r>
                  <w:r>
                    <w:rPr>
                      <w:rFonts w:ascii="Times New Roman" w:hAnsi="Times New Roman" w:eastAsia="宋体" w:cs="Times New Roman"/>
                      <w:spacing w:val="3"/>
                      <w:position w:val="3"/>
                      <w:sz w:val="21"/>
                      <w:szCs w:val="21"/>
                    </w:rPr>
                    <w:t>2</w:t>
                  </w:r>
                </w:p>
              </w:tc>
              <w:tc>
                <w:tcPr>
                  <w:tcW w:w="1295" w:type="dxa"/>
                  <w:noWrap w:val="0"/>
                  <w:vAlign w:val="center"/>
                </w:tcPr>
                <w:p w14:paraId="71CCF9A6">
                  <w:pPr>
                    <w:keepNext w:val="0"/>
                    <w:keepLines w:val="0"/>
                    <w:pageBreakBefore w:val="0"/>
                    <w:widowControl w:val="0"/>
                    <w:kinsoku/>
                    <w:wordWrap/>
                    <w:overflowPunct/>
                    <w:topLinePunct w:val="0"/>
                    <w:autoSpaceDE/>
                    <w:autoSpaceDN/>
                    <w:bidi w:val="0"/>
                    <w:adjustRightInd/>
                    <w:snapToGrid/>
                    <w:spacing w:line="240" w:lineRule="auto"/>
                    <w:ind w:left="323"/>
                    <w:jc w:val="center"/>
                    <w:textAlignment w:val="auto"/>
                    <w:rPr>
                      <w:rFonts w:ascii="Times New Roman" w:hAnsi="Times New Roman" w:eastAsia="宋体" w:cs="Times New Roman"/>
                      <w:spacing w:val="3"/>
                      <w:position w:val="-3"/>
                      <w:sz w:val="21"/>
                      <w:szCs w:val="21"/>
                    </w:rPr>
                  </w:pPr>
                  <w:r>
                    <w:rPr>
                      <w:rFonts w:ascii="Times New Roman" w:hAnsi="Times New Roman" w:eastAsia="宋体" w:cs="Times New Roman"/>
                      <w:spacing w:val="3"/>
                      <w:position w:val="-3"/>
                      <w:sz w:val="21"/>
                      <w:szCs w:val="21"/>
                    </w:rPr>
                    <w:t>90</w:t>
                  </w:r>
                </w:p>
              </w:tc>
              <w:tc>
                <w:tcPr>
                  <w:tcW w:w="1379" w:type="dxa"/>
                  <w:noWrap w:val="0"/>
                  <w:vAlign w:val="center"/>
                </w:tcPr>
                <w:p w14:paraId="2DB8A1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p>
              </w:tc>
            </w:tr>
            <w:tr w14:paraId="669BFB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jc w:val="center"/>
              </w:trPr>
              <w:tc>
                <w:tcPr>
                  <w:tcW w:w="722" w:type="dxa"/>
                  <w:noWrap w:val="0"/>
                  <w:vAlign w:val="center"/>
                </w:tcPr>
                <w:p w14:paraId="40A36554">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5"/>
                      <w:sz w:val="21"/>
                      <w:szCs w:val="21"/>
                    </w:rPr>
                  </w:pPr>
                  <w:r>
                    <w:rPr>
                      <w:rFonts w:ascii="Times New Roman" w:hAnsi="Times New Roman" w:eastAsia="宋体" w:cs="宋体"/>
                      <w:spacing w:val="5"/>
                      <w:sz w:val="21"/>
                      <w:szCs w:val="21"/>
                    </w:rPr>
                    <w:t>24</w:t>
                  </w:r>
                </w:p>
              </w:tc>
              <w:tc>
                <w:tcPr>
                  <w:tcW w:w="3546" w:type="dxa"/>
                  <w:noWrap w:val="0"/>
                  <w:vAlign w:val="center"/>
                </w:tcPr>
                <w:p w14:paraId="1C83825A">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3"/>
                      <w:sz w:val="21"/>
                      <w:szCs w:val="21"/>
                    </w:rPr>
                  </w:pPr>
                  <w:r>
                    <w:rPr>
                      <w:rFonts w:ascii="Times New Roman" w:hAnsi="Times New Roman" w:eastAsia="宋体" w:cs="宋体"/>
                      <w:spacing w:val="3"/>
                      <w:sz w:val="21"/>
                      <w:szCs w:val="21"/>
                    </w:rPr>
                    <w:t>冬青（80株/㎡，高度50～60cm，养护三年）</w:t>
                  </w:r>
                </w:p>
              </w:tc>
              <w:tc>
                <w:tcPr>
                  <w:tcW w:w="992" w:type="dxa"/>
                  <w:noWrap w:val="0"/>
                  <w:vAlign w:val="center"/>
                </w:tcPr>
                <w:p w14:paraId="679F50B8">
                  <w:pPr>
                    <w:keepNext w:val="0"/>
                    <w:keepLines w:val="0"/>
                    <w:pageBreakBefore w:val="0"/>
                    <w:widowControl w:val="0"/>
                    <w:kinsoku/>
                    <w:wordWrap/>
                    <w:overflowPunct/>
                    <w:topLinePunct w:val="0"/>
                    <w:autoSpaceDE/>
                    <w:autoSpaceDN/>
                    <w:bidi w:val="0"/>
                    <w:adjustRightInd/>
                    <w:snapToGrid/>
                    <w:spacing w:line="240" w:lineRule="auto"/>
                    <w:ind w:left="323"/>
                    <w:jc w:val="center"/>
                    <w:textAlignment w:val="auto"/>
                    <w:rPr>
                      <w:rFonts w:ascii="Times New Roman" w:hAnsi="Times New Roman" w:eastAsia="宋体" w:cs="Times New Roman"/>
                      <w:sz w:val="21"/>
                      <w:szCs w:val="21"/>
                    </w:rPr>
                  </w:pPr>
                  <w:r>
                    <w:rPr>
                      <w:rFonts w:ascii="Times New Roman" w:hAnsi="Times New Roman" w:eastAsia="宋体" w:cs="Times New Roman"/>
                      <w:spacing w:val="3"/>
                      <w:position w:val="-3"/>
                      <w:sz w:val="21"/>
                      <w:szCs w:val="21"/>
                    </w:rPr>
                    <w:t>m</w:t>
                  </w:r>
                  <w:r>
                    <w:rPr>
                      <w:rFonts w:ascii="Times New Roman" w:hAnsi="Times New Roman" w:eastAsia="宋体" w:cs="Times New Roman"/>
                      <w:spacing w:val="3"/>
                      <w:position w:val="3"/>
                      <w:sz w:val="21"/>
                      <w:szCs w:val="21"/>
                    </w:rPr>
                    <w:t>2</w:t>
                  </w:r>
                </w:p>
              </w:tc>
              <w:tc>
                <w:tcPr>
                  <w:tcW w:w="1295" w:type="dxa"/>
                  <w:noWrap w:val="0"/>
                  <w:vAlign w:val="center"/>
                </w:tcPr>
                <w:p w14:paraId="58E71550">
                  <w:pPr>
                    <w:keepNext w:val="0"/>
                    <w:keepLines w:val="0"/>
                    <w:pageBreakBefore w:val="0"/>
                    <w:widowControl w:val="0"/>
                    <w:kinsoku/>
                    <w:wordWrap/>
                    <w:overflowPunct/>
                    <w:topLinePunct w:val="0"/>
                    <w:autoSpaceDE/>
                    <w:autoSpaceDN/>
                    <w:bidi w:val="0"/>
                    <w:adjustRightInd/>
                    <w:snapToGrid/>
                    <w:spacing w:line="240" w:lineRule="auto"/>
                    <w:ind w:left="323"/>
                    <w:jc w:val="center"/>
                    <w:textAlignment w:val="auto"/>
                    <w:rPr>
                      <w:rFonts w:ascii="Times New Roman" w:hAnsi="Times New Roman" w:eastAsia="宋体" w:cs="Times New Roman"/>
                      <w:spacing w:val="3"/>
                      <w:position w:val="-3"/>
                      <w:sz w:val="21"/>
                      <w:szCs w:val="21"/>
                    </w:rPr>
                  </w:pPr>
                  <w:r>
                    <w:rPr>
                      <w:rFonts w:ascii="Times New Roman" w:hAnsi="Times New Roman" w:eastAsia="宋体" w:cs="Times New Roman"/>
                      <w:spacing w:val="3"/>
                      <w:position w:val="-3"/>
                      <w:sz w:val="21"/>
                      <w:szCs w:val="21"/>
                    </w:rPr>
                    <w:t>715</w:t>
                  </w:r>
                </w:p>
              </w:tc>
              <w:tc>
                <w:tcPr>
                  <w:tcW w:w="1379" w:type="dxa"/>
                  <w:noWrap w:val="0"/>
                  <w:vAlign w:val="center"/>
                </w:tcPr>
                <w:p w14:paraId="013F3C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p>
              </w:tc>
            </w:tr>
            <w:tr w14:paraId="1265CC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jc w:val="center"/>
              </w:trPr>
              <w:tc>
                <w:tcPr>
                  <w:tcW w:w="722" w:type="dxa"/>
                  <w:noWrap w:val="0"/>
                  <w:vAlign w:val="center"/>
                </w:tcPr>
                <w:p w14:paraId="3692FA39">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5"/>
                      <w:sz w:val="21"/>
                      <w:szCs w:val="21"/>
                    </w:rPr>
                  </w:pPr>
                  <w:r>
                    <w:rPr>
                      <w:rFonts w:ascii="Times New Roman" w:hAnsi="Times New Roman" w:eastAsia="宋体" w:cs="宋体"/>
                      <w:spacing w:val="5"/>
                      <w:sz w:val="21"/>
                      <w:szCs w:val="21"/>
                    </w:rPr>
                    <w:t>25</w:t>
                  </w:r>
                </w:p>
              </w:tc>
              <w:tc>
                <w:tcPr>
                  <w:tcW w:w="3546" w:type="dxa"/>
                  <w:noWrap w:val="0"/>
                  <w:vAlign w:val="center"/>
                </w:tcPr>
                <w:p w14:paraId="199892EA">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3"/>
                      <w:sz w:val="21"/>
                      <w:szCs w:val="21"/>
                    </w:rPr>
                  </w:pPr>
                  <w:r>
                    <w:rPr>
                      <w:rFonts w:ascii="Times New Roman" w:hAnsi="Times New Roman" w:eastAsia="宋体" w:cs="宋体"/>
                      <w:spacing w:val="3"/>
                      <w:sz w:val="21"/>
                      <w:szCs w:val="21"/>
                    </w:rPr>
                    <w:t>金叶石菖蒲（60株/㎡，高度10～20cm，养护三年）</w:t>
                  </w:r>
                </w:p>
              </w:tc>
              <w:tc>
                <w:tcPr>
                  <w:tcW w:w="992" w:type="dxa"/>
                  <w:noWrap w:val="0"/>
                  <w:vAlign w:val="center"/>
                </w:tcPr>
                <w:p w14:paraId="6C333CB3">
                  <w:pPr>
                    <w:keepNext w:val="0"/>
                    <w:keepLines w:val="0"/>
                    <w:pageBreakBefore w:val="0"/>
                    <w:widowControl w:val="0"/>
                    <w:kinsoku/>
                    <w:wordWrap/>
                    <w:overflowPunct/>
                    <w:topLinePunct w:val="0"/>
                    <w:autoSpaceDE/>
                    <w:autoSpaceDN/>
                    <w:bidi w:val="0"/>
                    <w:adjustRightInd/>
                    <w:snapToGrid/>
                    <w:spacing w:line="240" w:lineRule="auto"/>
                    <w:ind w:left="323"/>
                    <w:jc w:val="center"/>
                    <w:textAlignment w:val="auto"/>
                    <w:rPr>
                      <w:rFonts w:ascii="Times New Roman" w:hAnsi="Times New Roman" w:eastAsia="宋体" w:cs="Times New Roman"/>
                      <w:sz w:val="21"/>
                      <w:szCs w:val="21"/>
                    </w:rPr>
                  </w:pPr>
                  <w:r>
                    <w:rPr>
                      <w:rFonts w:ascii="Times New Roman" w:hAnsi="Times New Roman" w:eastAsia="宋体" w:cs="Times New Roman"/>
                      <w:spacing w:val="3"/>
                      <w:position w:val="-3"/>
                      <w:sz w:val="21"/>
                      <w:szCs w:val="21"/>
                    </w:rPr>
                    <w:t>m</w:t>
                  </w:r>
                  <w:r>
                    <w:rPr>
                      <w:rFonts w:ascii="Times New Roman" w:hAnsi="Times New Roman" w:eastAsia="宋体" w:cs="Times New Roman"/>
                      <w:spacing w:val="3"/>
                      <w:position w:val="3"/>
                      <w:sz w:val="21"/>
                      <w:szCs w:val="21"/>
                    </w:rPr>
                    <w:t>2</w:t>
                  </w:r>
                </w:p>
              </w:tc>
              <w:tc>
                <w:tcPr>
                  <w:tcW w:w="1295" w:type="dxa"/>
                  <w:noWrap w:val="0"/>
                  <w:vAlign w:val="center"/>
                </w:tcPr>
                <w:p w14:paraId="1844176D">
                  <w:pPr>
                    <w:keepNext w:val="0"/>
                    <w:keepLines w:val="0"/>
                    <w:pageBreakBefore w:val="0"/>
                    <w:widowControl w:val="0"/>
                    <w:kinsoku/>
                    <w:wordWrap/>
                    <w:overflowPunct/>
                    <w:topLinePunct w:val="0"/>
                    <w:autoSpaceDE/>
                    <w:autoSpaceDN/>
                    <w:bidi w:val="0"/>
                    <w:adjustRightInd/>
                    <w:snapToGrid/>
                    <w:spacing w:line="240" w:lineRule="auto"/>
                    <w:ind w:left="323"/>
                    <w:jc w:val="center"/>
                    <w:textAlignment w:val="auto"/>
                    <w:rPr>
                      <w:rFonts w:ascii="Times New Roman" w:hAnsi="Times New Roman" w:eastAsia="宋体" w:cs="Times New Roman"/>
                      <w:spacing w:val="3"/>
                      <w:position w:val="-3"/>
                      <w:sz w:val="21"/>
                      <w:szCs w:val="21"/>
                    </w:rPr>
                  </w:pPr>
                  <w:r>
                    <w:rPr>
                      <w:rFonts w:ascii="Times New Roman" w:hAnsi="Times New Roman" w:eastAsia="宋体" w:cs="Times New Roman"/>
                      <w:spacing w:val="3"/>
                      <w:position w:val="-3"/>
                      <w:sz w:val="21"/>
                      <w:szCs w:val="21"/>
                    </w:rPr>
                    <w:t>5978</w:t>
                  </w:r>
                </w:p>
              </w:tc>
              <w:tc>
                <w:tcPr>
                  <w:tcW w:w="1379" w:type="dxa"/>
                  <w:noWrap w:val="0"/>
                  <w:vAlign w:val="center"/>
                </w:tcPr>
                <w:p w14:paraId="7E4EF7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p>
              </w:tc>
            </w:tr>
            <w:tr w14:paraId="2F68E8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722" w:type="dxa"/>
                  <w:noWrap w:val="0"/>
                  <w:vAlign w:val="center"/>
                </w:tcPr>
                <w:p w14:paraId="4FC362E5">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5"/>
                      <w:sz w:val="21"/>
                      <w:szCs w:val="21"/>
                    </w:rPr>
                  </w:pPr>
                  <w:r>
                    <w:rPr>
                      <w:rFonts w:ascii="Times New Roman" w:hAnsi="Times New Roman" w:eastAsia="宋体" w:cs="宋体"/>
                      <w:spacing w:val="5"/>
                      <w:sz w:val="21"/>
                      <w:szCs w:val="21"/>
                    </w:rPr>
                    <w:t>26</w:t>
                  </w:r>
                </w:p>
              </w:tc>
              <w:tc>
                <w:tcPr>
                  <w:tcW w:w="3546" w:type="dxa"/>
                  <w:noWrap w:val="0"/>
                  <w:vAlign w:val="center"/>
                </w:tcPr>
                <w:p w14:paraId="451CCCD1">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3"/>
                      <w:sz w:val="21"/>
                      <w:szCs w:val="21"/>
                    </w:rPr>
                  </w:pPr>
                  <w:r>
                    <w:rPr>
                      <w:rFonts w:ascii="Times New Roman" w:hAnsi="Times New Roman" w:eastAsia="宋体" w:cs="宋体"/>
                      <w:spacing w:val="3"/>
                      <w:sz w:val="21"/>
                      <w:szCs w:val="21"/>
                    </w:rPr>
                    <w:t>芦竹（40株/㎡，高度20～30cm，养护三年）</w:t>
                  </w:r>
                </w:p>
              </w:tc>
              <w:tc>
                <w:tcPr>
                  <w:tcW w:w="992" w:type="dxa"/>
                  <w:noWrap w:val="0"/>
                  <w:vAlign w:val="center"/>
                </w:tcPr>
                <w:p w14:paraId="13ADEDEA">
                  <w:pPr>
                    <w:keepNext w:val="0"/>
                    <w:keepLines w:val="0"/>
                    <w:pageBreakBefore w:val="0"/>
                    <w:widowControl w:val="0"/>
                    <w:kinsoku/>
                    <w:wordWrap/>
                    <w:overflowPunct/>
                    <w:topLinePunct w:val="0"/>
                    <w:autoSpaceDE/>
                    <w:autoSpaceDN/>
                    <w:bidi w:val="0"/>
                    <w:adjustRightInd/>
                    <w:snapToGrid/>
                    <w:spacing w:line="240" w:lineRule="auto"/>
                    <w:ind w:left="323"/>
                    <w:jc w:val="center"/>
                    <w:textAlignment w:val="auto"/>
                    <w:rPr>
                      <w:rFonts w:ascii="Times New Roman" w:hAnsi="Times New Roman" w:eastAsia="宋体" w:cs="Times New Roman"/>
                      <w:sz w:val="21"/>
                      <w:szCs w:val="21"/>
                    </w:rPr>
                  </w:pPr>
                  <w:r>
                    <w:rPr>
                      <w:rFonts w:ascii="Times New Roman" w:hAnsi="Times New Roman" w:eastAsia="宋体" w:cs="Times New Roman"/>
                      <w:spacing w:val="3"/>
                      <w:position w:val="-3"/>
                      <w:sz w:val="21"/>
                      <w:szCs w:val="21"/>
                    </w:rPr>
                    <w:t>m</w:t>
                  </w:r>
                  <w:r>
                    <w:rPr>
                      <w:rFonts w:ascii="Times New Roman" w:hAnsi="Times New Roman" w:eastAsia="宋体" w:cs="Times New Roman"/>
                      <w:spacing w:val="3"/>
                      <w:position w:val="3"/>
                      <w:sz w:val="21"/>
                      <w:szCs w:val="21"/>
                    </w:rPr>
                    <w:t>2</w:t>
                  </w:r>
                </w:p>
              </w:tc>
              <w:tc>
                <w:tcPr>
                  <w:tcW w:w="1295" w:type="dxa"/>
                  <w:noWrap w:val="0"/>
                  <w:vAlign w:val="center"/>
                </w:tcPr>
                <w:p w14:paraId="74DFC3AC">
                  <w:pPr>
                    <w:keepNext w:val="0"/>
                    <w:keepLines w:val="0"/>
                    <w:pageBreakBefore w:val="0"/>
                    <w:widowControl w:val="0"/>
                    <w:kinsoku/>
                    <w:wordWrap/>
                    <w:overflowPunct/>
                    <w:topLinePunct w:val="0"/>
                    <w:autoSpaceDE/>
                    <w:autoSpaceDN/>
                    <w:bidi w:val="0"/>
                    <w:adjustRightInd/>
                    <w:snapToGrid/>
                    <w:spacing w:line="240" w:lineRule="auto"/>
                    <w:ind w:left="323"/>
                    <w:jc w:val="center"/>
                    <w:textAlignment w:val="auto"/>
                    <w:rPr>
                      <w:rFonts w:ascii="Times New Roman" w:hAnsi="Times New Roman" w:eastAsia="宋体" w:cs="Times New Roman"/>
                      <w:spacing w:val="3"/>
                      <w:position w:val="-3"/>
                      <w:sz w:val="21"/>
                      <w:szCs w:val="21"/>
                    </w:rPr>
                  </w:pPr>
                  <w:r>
                    <w:rPr>
                      <w:rFonts w:ascii="Times New Roman" w:hAnsi="Times New Roman" w:eastAsia="宋体" w:cs="Times New Roman"/>
                      <w:spacing w:val="3"/>
                      <w:position w:val="-3"/>
                      <w:sz w:val="21"/>
                      <w:szCs w:val="21"/>
                    </w:rPr>
                    <w:t>137</w:t>
                  </w:r>
                </w:p>
              </w:tc>
              <w:tc>
                <w:tcPr>
                  <w:tcW w:w="1379" w:type="dxa"/>
                  <w:noWrap w:val="0"/>
                  <w:vAlign w:val="center"/>
                </w:tcPr>
                <w:p w14:paraId="170048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p>
              </w:tc>
            </w:tr>
            <w:tr w14:paraId="3EA413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jc w:val="center"/>
              </w:trPr>
              <w:tc>
                <w:tcPr>
                  <w:tcW w:w="722" w:type="dxa"/>
                  <w:noWrap w:val="0"/>
                  <w:vAlign w:val="center"/>
                </w:tcPr>
                <w:p w14:paraId="47CEEC15">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5"/>
                      <w:sz w:val="21"/>
                      <w:szCs w:val="21"/>
                    </w:rPr>
                  </w:pPr>
                  <w:r>
                    <w:rPr>
                      <w:rFonts w:ascii="Times New Roman" w:hAnsi="Times New Roman" w:eastAsia="宋体" w:cs="宋体"/>
                      <w:spacing w:val="5"/>
                      <w:sz w:val="21"/>
                      <w:szCs w:val="21"/>
                    </w:rPr>
                    <w:t>27</w:t>
                  </w:r>
                </w:p>
              </w:tc>
              <w:tc>
                <w:tcPr>
                  <w:tcW w:w="3546" w:type="dxa"/>
                  <w:noWrap w:val="0"/>
                  <w:vAlign w:val="center"/>
                </w:tcPr>
                <w:p w14:paraId="049448B3">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3"/>
                      <w:sz w:val="21"/>
                      <w:szCs w:val="21"/>
                    </w:rPr>
                  </w:pPr>
                  <w:r>
                    <w:rPr>
                      <w:rFonts w:ascii="Times New Roman" w:hAnsi="Times New Roman" w:eastAsia="宋体" w:cs="宋体"/>
                      <w:spacing w:val="3"/>
                      <w:sz w:val="21"/>
                      <w:szCs w:val="21"/>
                    </w:rPr>
                    <w:t>千屈菜（50株/㎡，高度10～20cm，养护三年）</w:t>
                  </w:r>
                </w:p>
              </w:tc>
              <w:tc>
                <w:tcPr>
                  <w:tcW w:w="992" w:type="dxa"/>
                  <w:noWrap w:val="0"/>
                  <w:vAlign w:val="center"/>
                </w:tcPr>
                <w:p w14:paraId="0860BAD5">
                  <w:pPr>
                    <w:keepNext w:val="0"/>
                    <w:keepLines w:val="0"/>
                    <w:pageBreakBefore w:val="0"/>
                    <w:widowControl w:val="0"/>
                    <w:kinsoku/>
                    <w:wordWrap/>
                    <w:overflowPunct/>
                    <w:topLinePunct w:val="0"/>
                    <w:autoSpaceDE/>
                    <w:autoSpaceDN/>
                    <w:bidi w:val="0"/>
                    <w:adjustRightInd/>
                    <w:snapToGrid/>
                    <w:spacing w:line="240" w:lineRule="auto"/>
                    <w:ind w:left="323"/>
                    <w:jc w:val="center"/>
                    <w:textAlignment w:val="auto"/>
                    <w:rPr>
                      <w:rFonts w:ascii="Times New Roman" w:hAnsi="Times New Roman" w:eastAsia="宋体" w:cs="Times New Roman"/>
                      <w:sz w:val="21"/>
                      <w:szCs w:val="21"/>
                    </w:rPr>
                  </w:pPr>
                  <w:r>
                    <w:rPr>
                      <w:rFonts w:ascii="Times New Roman" w:hAnsi="Times New Roman" w:eastAsia="宋体" w:cs="Times New Roman"/>
                      <w:spacing w:val="3"/>
                      <w:position w:val="-3"/>
                      <w:sz w:val="21"/>
                      <w:szCs w:val="21"/>
                    </w:rPr>
                    <w:t>m</w:t>
                  </w:r>
                  <w:r>
                    <w:rPr>
                      <w:rFonts w:ascii="Times New Roman" w:hAnsi="Times New Roman" w:eastAsia="宋体" w:cs="Times New Roman"/>
                      <w:spacing w:val="3"/>
                      <w:position w:val="3"/>
                      <w:sz w:val="21"/>
                      <w:szCs w:val="21"/>
                    </w:rPr>
                    <w:t>2</w:t>
                  </w:r>
                </w:p>
              </w:tc>
              <w:tc>
                <w:tcPr>
                  <w:tcW w:w="1295" w:type="dxa"/>
                  <w:noWrap w:val="0"/>
                  <w:vAlign w:val="center"/>
                </w:tcPr>
                <w:p w14:paraId="0C71A0FB">
                  <w:pPr>
                    <w:keepNext w:val="0"/>
                    <w:keepLines w:val="0"/>
                    <w:pageBreakBefore w:val="0"/>
                    <w:widowControl w:val="0"/>
                    <w:kinsoku/>
                    <w:wordWrap/>
                    <w:overflowPunct/>
                    <w:topLinePunct w:val="0"/>
                    <w:autoSpaceDE/>
                    <w:autoSpaceDN/>
                    <w:bidi w:val="0"/>
                    <w:adjustRightInd/>
                    <w:snapToGrid/>
                    <w:spacing w:line="240" w:lineRule="auto"/>
                    <w:ind w:left="323"/>
                    <w:jc w:val="center"/>
                    <w:textAlignment w:val="auto"/>
                    <w:rPr>
                      <w:rFonts w:ascii="Times New Roman" w:hAnsi="Times New Roman" w:eastAsia="宋体" w:cs="Times New Roman"/>
                      <w:spacing w:val="3"/>
                      <w:position w:val="-3"/>
                      <w:sz w:val="21"/>
                      <w:szCs w:val="21"/>
                    </w:rPr>
                  </w:pPr>
                  <w:r>
                    <w:rPr>
                      <w:rFonts w:ascii="Times New Roman" w:hAnsi="Times New Roman" w:eastAsia="宋体" w:cs="Times New Roman"/>
                      <w:spacing w:val="3"/>
                      <w:position w:val="-3"/>
                      <w:sz w:val="21"/>
                      <w:szCs w:val="21"/>
                    </w:rPr>
                    <w:t>276</w:t>
                  </w:r>
                </w:p>
              </w:tc>
              <w:tc>
                <w:tcPr>
                  <w:tcW w:w="1379" w:type="dxa"/>
                  <w:noWrap w:val="0"/>
                  <w:vAlign w:val="center"/>
                </w:tcPr>
                <w:p w14:paraId="3452B7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p>
              </w:tc>
            </w:tr>
            <w:tr w14:paraId="697129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jc w:val="center"/>
              </w:trPr>
              <w:tc>
                <w:tcPr>
                  <w:tcW w:w="722" w:type="dxa"/>
                  <w:noWrap w:val="0"/>
                  <w:vAlign w:val="center"/>
                </w:tcPr>
                <w:p w14:paraId="46F4896A">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5"/>
                      <w:sz w:val="21"/>
                      <w:szCs w:val="21"/>
                    </w:rPr>
                  </w:pPr>
                  <w:r>
                    <w:rPr>
                      <w:rFonts w:ascii="Times New Roman" w:hAnsi="Times New Roman" w:eastAsia="宋体" w:cs="宋体"/>
                      <w:spacing w:val="5"/>
                      <w:sz w:val="21"/>
                      <w:szCs w:val="21"/>
                    </w:rPr>
                    <w:t>28</w:t>
                  </w:r>
                </w:p>
              </w:tc>
              <w:tc>
                <w:tcPr>
                  <w:tcW w:w="3546" w:type="dxa"/>
                  <w:noWrap w:val="0"/>
                  <w:vAlign w:val="center"/>
                </w:tcPr>
                <w:p w14:paraId="0C73E0A9">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3"/>
                      <w:sz w:val="21"/>
                      <w:szCs w:val="21"/>
                    </w:rPr>
                  </w:pPr>
                  <w:r>
                    <w:rPr>
                      <w:rFonts w:ascii="Times New Roman" w:hAnsi="Times New Roman" w:eastAsia="宋体" w:cs="宋体"/>
                      <w:spacing w:val="3"/>
                      <w:sz w:val="21"/>
                      <w:szCs w:val="21"/>
                    </w:rPr>
                    <w:t>鸢尾（50株/㎡，高度30～40cm，养护三年）</w:t>
                  </w:r>
                </w:p>
              </w:tc>
              <w:tc>
                <w:tcPr>
                  <w:tcW w:w="992" w:type="dxa"/>
                  <w:noWrap w:val="0"/>
                  <w:vAlign w:val="center"/>
                </w:tcPr>
                <w:p w14:paraId="212B1428">
                  <w:pPr>
                    <w:keepNext w:val="0"/>
                    <w:keepLines w:val="0"/>
                    <w:pageBreakBefore w:val="0"/>
                    <w:widowControl w:val="0"/>
                    <w:kinsoku/>
                    <w:wordWrap/>
                    <w:overflowPunct/>
                    <w:topLinePunct w:val="0"/>
                    <w:autoSpaceDE/>
                    <w:autoSpaceDN/>
                    <w:bidi w:val="0"/>
                    <w:adjustRightInd/>
                    <w:snapToGrid/>
                    <w:spacing w:line="240" w:lineRule="auto"/>
                    <w:ind w:left="323"/>
                    <w:jc w:val="center"/>
                    <w:textAlignment w:val="auto"/>
                    <w:rPr>
                      <w:rFonts w:ascii="Times New Roman" w:hAnsi="Times New Roman" w:eastAsia="宋体" w:cs="Times New Roman"/>
                      <w:sz w:val="21"/>
                      <w:szCs w:val="21"/>
                    </w:rPr>
                  </w:pPr>
                  <w:r>
                    <w:rPr>
                      <w:rFonts w:ascii="Times New Roman" w:hAnsi="Times New Roman" w:eastAsia="宋体" w:cs="Times New Roman"/>
                      <w:spacing w:val="3"/>
                      <w:position w:val="-3"/>
                      <w:sz w:val="21"/>
                      <w:szCs w:val="21"/>
                    </w:rPr>
                    <w:t>m</w:t>
                  </w:r>
                  <w:r>
                    <w:rPr>
                      <w:rFonts w:ascii="Times New Roman" w:hAnsi="Times New Roman" w:eastAsia="宋体" w:cs="Times New Roman"/>
                      <w:spacing w:val="3"/>
                      <w:position w:val="3"/>
                      <w:sz w:val="21"/>
                      <w:szCs w:val="21"/>
                    </w:rPr>
                    <w:t>2</w:t>
                  </w:r>
                </w:p>
              </w:tc>
              <w:tc>
                <w:tcPr>
                  <w:tcW w:w="1295" w:type="dxa"/>
                  <w:noWrap w:val="0"/>
                  <w:vAlign w:val="center"/>
                </w:tcPr>
                <w:p w14:paraId="035C24E8">
                  <w:pPr>
                    <w:keepNext w:val="0"/>
                    <w:keepLines w:val="0"/>
                    <w:pageBreakBefore w:val="0"/>
                    <w:widowControl w:val="0"/>
                    <w:kinsoku/>
                    <w:wordWrap/>
                    <w:overflowPunct/>
                    <w:topLinePunct w:val="0"/>
                    <w:autoSpaceDE/>
                    <w:autoSpaceDN/>
                    <w:bidi w:val="0"/>
                    <w:adjustRightInd/>
                    <w:snapToGrid/>
                    <w:spacing w:line="240" w:lineRule="auto"/>
                    <w:ind w:left="323"/>
                    <w:jc w:val="center"/>
                    <w:textAlignment w:val="auto"/>
                    <w:rPr>
                      <w:rFonts w:ascii="Times New Roman" w:hAnsi="Times New Roman" w:eastAsia="宋体" w:cs="Times New Roman"/>
                      <w:spacing w:val="3"/>
                      <w:position w:val="-3"/>
                      <w:sz w:val="21"/>
                      <w:szCs w:val="21"/>
                    </w:rPr>
                  </w:pPr>
                  <w:r>
                    <w:rPr>
                      <w:rFonts w:ascii="Times New Roman" w:hAnsi="Times New Roman" w:eastAsia="宋体" w:cs="Times New Roman"/>
                      <w:spacing w:val="3"/>
                      <w:position w:val="-3"/>
                      <w:sz w:val="21"/>
                      <w:szCs w:val="21"/>
                    </w:rPr>
                    <w:t>107</w:t>
                  </w:r>
                </w:p>
              </w:tc>
              <w:tc>
                <w:tcPr>
                  <w:tcW w:w="1379" w:type="dxa"/>
                  <w:noWrap w:val="0"/>
                  <w:vAlign w:val="center"/>
                </w:tcPr>
                <w:p w14:paraId="2B3DA1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p>
              </w:tc>
            </w:tr>
            <w:tr w14:paraId="3F1D41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jc w:val="center"/>
              </w:trPr>
              <w:tc>
                <w:tcPr>
                  <w:tcW w:w="722" w:type="dxa"/>
                  <w:noWrap w:val="0"/>
                  <w:vAlign w:val="center"/>
                </w:tcPr>
                <w:p w14:paraId="6FFE1B6F">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5"/>
                      <w:sz w:val="21"/>
                      <w:szCs w:val="21"/>
                    </w:rPr>
                  </w:pPr>
                  <w:r>
                    <w:rPr>
                      <w:rFonts w:ascii="Times New Roman" w:hAnsi="Times New Roman" w:eastAsia="宋体" w:cs="宋体"/>
                      <w:spacing w:val="5"/>
                      <w:sz w:val="21"/>
                      <w:szCs w:val="21"/>
                    </w:rPr>
                    <w:t>29</w:t>
                  </w:r>
                </w:p>
              </w:tc>
              <w:tc>
                <w:tcPr>
                  <w:tcW w:w="3546" w:type="dxa"/>
                  <w:noWrap w:val="0"/>
                  <w:vAlign w:val="center"/>
                </w:tcPr>
                <w:p w14:paraId="0330DCE0">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3"/>
                      <w:sz w:val="21"/>
                      <w:szCs w:val="21"/>
                    </w:rPr>
                  </w:pPr>
                  <w:r>
                    <w:rPr>
                      <w:rFonts w:ascii="Times New Roman" w:hAnsi="Times New Roman" w:eastAsia="宋体" w:cs="宋体"/>
                      <w:spacing w:val="3"/>
                      <w:sz w:val="21"/>
                      <w:szCs w:val="21"/>
                    </w:rPr>
                    <w:t>DN10OPE90 °弯头</w:t>
                  </w:r>
                </w:p>
              </w:tc>
              <w:tc>
                <w:tcPr>
                  <w:tcW w:w="992" w:type="dxa"/>
                  <w:noWrap w:val="0"/>
                  <w:vAlign w:val="center"/>
                </w:tcPr>
                <w:p w14:paraId="076A92B1">
                  <w:pPr>
                    <w:pStyle w:val="35"/>
                    <w:keepNext w:val="0"/>
                    <w:keepLines w:val="0"/>
                    <w:pageBreakBefore w:val="0"/>
                    <w:widowControl w:val="0"/>
                    <w:kinsoku/>
                    <w:wordWrap/>
                    <w:overflowPunct/>
                    <w:topLinePunct w:val="0"/>
                    <w:autoSpaceDE/>
                    <w:autoSpaceDN/>
                    <w:bidi w:val="0"/>
                    <w:adjustRightInd/>
                    <w:snapToGrid/>
                    <w:spacing w:line="240" w:lineRule="auto"/>
                    <w:ind w:left="339"/>
                    <w:jc w:val="center"/>
                    <w:textAlignment w:val="auto"/>
                    <w:rPr>
                      <w:rFonts w:ascii="Times New Roman" w:hAnsi="Times New Roman" w:eastAsia="宋体"/>
                      <w:sz w:val="21"/>
                      <w:szCs w:val="21"/>
                    </w:rPr>
                  </w:pPr>
                  <w:r>
                    <w:rPr>
                      <w:rFonts w:ascii="Times New Roman" w:hAnsi="Times New Roman" w:eastAsia="宋体"/>
                      <w:sz w:val="21"/>
                      <w:szCs w:val="21"/>
                    </w:rPr>
                    <w:t>个</w:t>
                  </w:r>
                </w:p>
              </w:tc>
              <w:tc>
                <w:tcPr>
                  <w:tcW w:w="1295" w:type="dxa"/>
                  <w:noWrap w:val="0"/>
                  <w:vAlign w:val="center"/>
                </w:tcPr>
                <w:p w14:paraId="43F24CAF">
                  <w:pPr>
                    <w:keepNext w:val="0"/>
                    <w:keepLines w:val="0"/>
                    <w:pageBreakBefore w:val="0"/>
                    <w:widowControl w:val="0"/>
                    <w:kinsoku/>
                    <w:wordWrap/>
                    <w:overflowPunct/>
                    <w:topLinePunct w:val="0"/>
                    <w:autoSpaceDE/>
                    <w:autoSpaceDN/>
                    <w:bidi w:val="0"/>
                    <w:adjustRightInd/>
                    <w:snapToGrid/>
                    <w:spacing w:line="240" w:lineRule="auto"/>
                    <w:ind w:left="323"/>
                    <w:jc w:val="center"/>
                    <w:textAlignment w:val="auto"/>
                    <w:rPr>
                      <w:rFonts w:ascii="Times New Roman" w:hAnsi="Times New Roman" w:eastAsia="宋体" w:cs="Times New Roman"/>
                      <w:spacing w:val="3"/>
                      <w:position w:val="-3"/>
                      <w:sz w:val="21"/>
                      <w:szCs w:val="21"/>
                    </w:rPr>
                  </w:pPr>
                  <w:r>
                    <w:rPr>
                      <w:rFonts w:ascii="Times New Roman" w:hAnsi="Times New Roman" w:eastAsia="宋体" w:cs="Times New Roman"/>
                      <w:spacing w:val="3"/>
                      <w:position w:val="-3"/>
                      <w:sz w:val="21"/>
                      <w:szCs w:val="21"/>
                    </w:rPr>
                    <w:t>497</w:t>
                  </w:r>
                </w:p>
              </w:tc>
              <w:tc>
                <w:tcPr>
                  <w:tcW w:w="1379" w:type="dxa"/>
                  <w:noWrap w:val="0"/>
                  <w:vAlign w:val="center"/>
                </w:tcPr>
                <w:p w14:paraId="26DAAC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p>
              </w:tc>
            </w:tr>
            <w:tr w14:paraId="10A0E1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jc w:val="center"/>
              </w:trPr>
              <w:tc>
                <w:tcPr>
                  <w:tcW w:w="722" w:type="dxa"/>
                  <w:noWrap w:val="0"/>
                  <w:vAlign w:val="center"/>
                </w:tcPr>
                <w:p w14:paraId="24DE4BD9">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5"/>
                      <w:sz w:val="21"/>
                      <w:szCs w:val="21"/>
                    </w:rPr>
                  </w:pPr>
                  <w:r>
                    <w:rPr>
                      <w:rFonts w:ascii="Times New Roman" w:hAnsi="Times New Roman" w:eastAsia="宋体" w:cs="宋体"/>
                      <w:spacing w:val="5"/>
                      <w:sz w:val="21"/>
                      <w:szCs w:val="21"/>
                    </w:rPr>
                    <w:t>30</w:t>
                  </w:r>
                </w:p>
              </w:tc>
              <w:tc>
                <w:tcPr>
                  <w:tcW w:w="3546" w:type="dxa"/>
                  <w:noWrap w:val="0"/>
                  <w:vAlign w:val="center"/>
                </w:tcPr>
                <w:p w14:paraId="2DC8283B">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3"/>
                      <w:sz w:val="21"/>
                      <w:szCs w:val="21"/>
                    </w:rPr>
                  </w:pPr>
                  <w:r>
                    <w:rPr>
                      <w:rFonts w:ascii="Times New Roman" w:hAnsi="Times New Roman" w:eastAsia="宋体" w:cs="宋体"/>
                      <w:spacing w:val="3"/>
                      <w:sz w:val="21"/>
                      <w:szCs w:val="21"/>
                    </w:rPr>
                    <w:t>DN600 管式测流计</w:t>
                  </w:r>
                </w:p>
              </w:tc>
              <w:tc>
                <w:tcPr>
                  <w:tcW w:w="992" w:type="dxa"/>
                  <w:noWrap w:val="0"/>
                  <w:vAlign w:val="center"/>
                </w:tcPr>
                <w:p w14:paraId="7387D156">
                  <w:pPr>
                    <w:pStyle w:val="35"/>
                    <w:keepNext w:val="0"/>
                    <w:keepLines w:val="0"/>
                    <w:pageBreakBefore w:val="0"/>
                    <w:widowControl w:val="0"/>
                    <w:kinsoku/>
                    <w:wordWrap/>
                    <w:overflowPunct/>
                    <w:topLinePunct w:val="0"/>
                    <w:autoSpaceDE/>
                    <w:autoSpaceDN/>
                    <w:bidi w:val="0"/>
                    <w:adjustRightInd/>
                    <w:snapToGrid/>
                    <w:spacing w:line="240" w:lineRule="auto"/>
                    <w:ind w:left="340"/>
                    <w:jc w:val="center"/>
                    <w:textAlignment w:val="auto"/>
                    <w:rPr>
                      <w:rFonts w:ascii="Times New Roman" w:hAnsi="Times New Roman" w:eastAsia="宋体"/>
                      <w:sz w:val="21"/>
                      <w:szCs w:val="21"/>
                    </w:rPr>
                  </w:pPr>
                  <w:r>
                    <w:rPr>
                      <w:rFonts w:ascii="Times New Roman" w:hAnsi="Times New Roman" w:eastAsia="宋体"/>
                      <w:sz w:val="21"/>
                      <w:szCs w:val="21"/>
                    </w:rPr>
                    <w:t>套</w:t>
                  </w:r>
                </w:p>
              </w:tc>
              <w:tc>
                <w:tcPr>
                  <w:tcW w:w="1295" w:type="dxa"/>
                  <w:noWrap w:val="0"/>
                  <w:vAlign w:val="center"/>
                </w:tcPr>
                <w:p w14:paraId="434C757F">
                  <w:pPr>
                    <w:keepNext w:val="0"/>
                    <w:keepLines w:val="0"/>
                    <w:pageBreakBefore w:val="0"/>
                    <w:widowControl w:val="0"/>
                    <w:kinsoku/>
                    <w:wordWrap/>
                    <w:overflowPunct/>
                    <w:topLinePunct w:val="0"/>
                    <w:autoSpaceDE/>
                    <w:autoSpaceDN/>
                    <w:bidi w:val="0"/>
                    <w:adjustRightInd/>
                    <w:snapToGrid/>
                    <w:spacing w:line="240" w:lineRule="auto"/>
                    <w:ind w:left="323"/>
                    <w:jc w:val="center"/>
                    <w:textAlignment w:val="auto"/>
                    <w:rPr>
                      <w:rFonts w:ascii="Times New Roman" w:hAnsi="Times New Roman" w:eastAsia="宋体" w:cs="Times New Roman"/>
                      <w:spacing w:val="3"/>
                      <w:position w:val="-3"/>
                      <w:sz w:val="21"/>
                      <w:szCs w:val="21"/>
                    </w:rPr>
                  </w:pPr>
                  <w:r>
                    <w:rPr>
                      <w:rFonts w:ascii="Times New Roman" w:hAnsi="Times New Roman" w:eastAsia="宋体" w:cs="Times New Roman"/>
                      <w:spacing w:val="3"/>
                      <w:position w:val="-3"/>
                      <w:sz w:val="21"/>
                      <w:szCs w:val="21"/>
                    </w:rPr>
                    <w:t>1</w:t>
                  </w:r>
                </w:p>
              </w:tc>
              <w:tc>
                <w:tcPr>
                  <w:tcW w:w="1379" w:type="dxa"/>
                  <w:noWrap w:val="0"/>
                  <w:vAlign w:val="center"/>
                </w:tcPr>
                <w:p w14:paraId="16E1FE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p>
              </w:tc>
            </w:tr>
            <w:tr w14:paraId="272BD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jc w:val="center"/>
              </w:trPr>
              <w:tc>
                <w:tcPr>
                  <w:tcW w:w="722" w:type="dxa"/>
                  <w:noWrap w:val="0"/>
                  <w:vAlign w:val="center"/>
                </w:tcPr>
                <w:p w14:paraId="425BE27B">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5"/>
                      <w:sz w:val="21"/>
                      <w:szCs w:val="21"/>
                    </w:rPr>
                  </w:pPr>
                  <w:r>
                    <w:rPr>
                      <w:rFonts w:ascii="Times New Roman" w:hAnsi="Times New Roman" w:eastAsia="宋体" w:cs="宋体"/>
                      <w:spacing w:val="5"/>
                      <w:sz w:val="21"/>
                      <w:szCs w:val="21"/>
                    </w:rPr>
                    <w:t>31</w:t>
                  </w:r>
                </w:p>
              </w:tc>
              <w:tc>
                <w:tcPr>
                  <w:tcW w:w="3546" w:type="dxa"/>
                  <w:noWrap w:val="0"/>
                  <w:vAlign w:val="center"/>
                </w:tcPr>
                <w:p w14:paraId="23970968">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3"/>
                      <w:sz w:val="21"/>
                      <w:szCs w:val="21"/>
                    </w:rPr>
                  </w:pPr>
                  <w:r>
                    <w:rPr>
                      <w:rFonts w:ascii="Times New Roman" w:hAnsi="Times New Roman" w:eastAsia="宋体" w:cs="宋体"/>
                      <w:spacing w:val="3"/>
                      <w:sz w:val="21"/>
                      <w:szCs w:val="21"/>
                    </w:rPr>
                    <w:t>600*600不锈钢闸门（机闸一体）</w:t>
                  </w:r>
                </w:p>
              </w:tc>
              <w:tc>
                <w:tcPr>
                  <w:tcW w:w="992" w:type="dxa"/>
                  <w:noWrap w:val="0"/>
                  <w:vAlign w:val="center"/>
                </w:tcPr>
                <w:p w14:paraId="5303809A">
                  <w:pPr>
                    <w:pStyle w:val="35"/>
                    <w:keepNext w:val="0"/>
                    <w:keepLines w:val="0"/>
                    <w:pageBreakBefore w:val="0"/>
                    <w:widowControl w:val="0"/>
                    <w:kinsoku/>
                    <w:wordWrap/>
                    <w:overflowPunct/>
                    <w:topLinePunct w:val="0"/>
                    <w:autoSpaceDE/>
                    <w:autoSpaceDN/>
                    <w:bidi w:val="0"/>
                    <w:adjustRightInd/>
                    <w:snapToGrid/>
                    <w:spacing w:line="240" w:lineRule="auto"/>
                    <w:ind w:left="340"/>
                    <w:jc w:val="center"/>
                    <w:textAlignment w:val="auto"/>
                    <w:rPr>
                      <w:rFonts w:ascii="Times New Roman" w:hAnsi="Times New Roman" w:eastAsia="宋体"/>
                      <w:sz w:val="21"/>
                      <w:szCs w:val="21"/>
                    </w:rPr>
                  </w:pPr>
                  <w:r>
                    <w:rPr>
                      <w:rFonts w:ascii="Times New Roman" w:hAnsi="Times New Roman" w:eastAsia="宋体"/>
                      <w:sz w:val="21"/>
                      <w:szCs w:val="21"/>
                    </w:rPr>
                    <w:t>套</w:t>
                  </w:r>
                </w:p>
              </w:tc>
              <w:tc>
                <w:tcPr>
                  <w:tcW w:w="1295" w:type="dxa"/>
                  <w:noWrap w:val="0"/>
                  <w:vAlign w:val="center"/>
                </w:tcPr>
                <w:p w14:paraId="51536412">
                  <w:pPr>
                    <w:keepNext w:val="0"/>
                    <w:keepLines w:val="0"/>
                    <w:pageBreakBefore w:val="0"/>
                    <w:widowControl w:val="0"/>
                    <w:kinsoku/>
                    <w:wordWrap/>
                    <w:overflowPunct/>
                    <w:topLinePunct w:val="0"/>
                    <w:autoSpaceDE/>
                    <w:autoSpaceDN/>
                    <w:bidi w:val="0"/>
                    <w:adjustRightInd/>
                    <w:snapToGrid/>
                    <w:spacing w:line="240" w:lineRule="auto"/>
                    <w:ind w:left="323"/>
                    <w:jc w:val="center"/>
                    <w:textAlignment w:val="auto"/>
                    <w:rPr>
                      <w:rFonts w:ascii="Times New Roman" w:hAnsi="Times New Roman" w:eastAsia="宋体" w:cs="Times New Roman"/>
                      <w:spacing w:val="3"/>
                      <w:position w:val="-3"/>
                      <w:sz w:val="21"/>
                      <w:szCs w:val="21"/>
                    </w:rPr>
                  </w:pPr>
                  <w:r>
                    <w:rPr>
                      <w:rFonts w:ascii="Times New Roman" w:hAnsi="Times New Roman" w:eastAsia="宋体" w:cs="Times New Roman"/>
                      <w:spacing w:val="3"/>
                      <w:position w:val="-3"/>
                      <w:sz w:val="21"/>
                      <w:szCs w:val="21"/>
                    </w:rPr>
                    <w:t>1</w:t>
                  </w:r>
                </w:p>
              </w:tc>
              <w:tc>
                <w:tcPr>
                  <w:tcW w:w="1379" w:type="dxa"/>
                  <w:noWrap w:val="0"/>
                  <w:vAlign w:val="center"/>
                </w:tcPr>
                <w:p w14:paraId="2577DC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p>
              </w:tc>
            </w:tr>
            <w:tr w14:paraId="27D009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jc w:val="center"/>
              </w:trPr>
              <w:tc>
                <w:tcPr>
                  <w:tcW w:w="722" w:type="dxa"/>
                  <w:noWrap w:val="0"/>
                  <w:vAlign w:val="center"/>
                </w:tcPr>
                <w:p w14:paraId="2E7EDD09">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5"/>
                      <w:sz w:val="21"/>
                      <w:szCs w:val="21"/>
                    </w:rPr>
                  </w:pPr>
                  <w:r>
                    <w:rPr>
                      <w:rFonts w:ascii="Times New Roman" w:hAnsi="Times New Roman" w:eastAsia="宋体" w:cs="宋体"/>
                      <w:spacing w:val="5"/>
                      <w:sz w:val="21"/>
                      <w:szCs w:val="21"/>
                    </w:rPr>
                    <w:t>32</w:t>
                  </w:r>
                </w:p>
              </w:tc>
              <w:tc>
                <w:tcPr>
                  <w:tcW w:w="3546" w:type="dxa"/>
                  <w:noWrap w:val="0"/>
                  <w:vAlign w:val="center"/>
                </w:tcPr>
                <w:p w14:paraId="6E4CDB33">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spacing w:val="3"/>
                      <w:sz w:val="21"/>
                      <w:szCs w:val="21"/>
                    </w:rPr>
                  </w:pPr>
                  <w:r>
                    <w:rPr>
                      <w:rFonts w:ascii="Times New Roman" w:hAnsi="Times New Roman" w:eastAsia="宋体" w:cs="宋体"/>
                      <w:spacing w:val="3"/>
                      <w:sz w:val="21"/>
                      <w:szCs w:val="21"/>
                    </w:rPr>
                    <w:t>1000* 1600不锈钢闸门（螺杆启闭）</w:t>
                  </w:r>
                </w:p>
              </w:tc>
              <w:tc>
                <w:tcPr>
                  <w:tcW w:w="992" w:type="dxa"/>
                  <w:noWrap w:val="0"/>
                  <w:vAlign w:val="center"/>
                </w:tcPr>
                <w:p w14:paraId="6D6F603B">
                  <w:pPr>
                    <w:pStyle w:val="35"/>
                    <w:keepNext w:val="0"/>
                    <w:keepLines w:val="0"/>
                    <w:pageBreakBefore w:val="0"/>
                    <w:widowControl w:val="0"/>
                    <w:kinsoku/>
                    <w:wordWrap/>
                    <w:overflowPunct/>
                    <w:topLinePunct w:val="0"/>
                    <w:autoSpaceDE/>
                    <w:autoSpaceDN/>
                    <w:bidi w:val="0"/>
                    <w:adjustRightInd/>
                    <w:snapToGrid/>
                    <w:spacing w:line="240" w:lineRule="auto"/>
                    <w:ind w:left="340"/>
                    <w:jc w:val="center"/>
                    <w:textAlignment w:val="auto"/>
                    <w:rPr>
                      <w:rFonts w:ascii="Times New Roman" w:hAnsi="Times New Roman" w:eastAsia="宋体"/>
                      <w:sz w:val="21"/>
                      <w:szCs w:val="21"/>
                    </w:rPr>
                  </w:pPr>
                  <w:r>
                    <w:rPr>
                      <w:rFonts w:ascii="Times New Roman" w:hAnsi="Times New Roman" w:eastAsia="宋体"/>
                      <w:sz w:val="21"/>
                      <w:szCs w:val="21"/>
                    </w:rPr>
                    <w:t>套</w:t>
                  </w:r>
                </w:p>
              </w:tc>
              <w:tc>
                <w:tcPr>
                  <w:tcW w:w="1295" w:type="dxa"/>
                  <w:noWrap w:val="0"/>
                  <w:vAlign w:val="center"/>
                </w:tcPr>
                <w:p w14:paraId="729E36C4">
                  <w:pPr>
                    <w:keepNext w:val="0"/>
                    <w:keepLines w:val="0"/>
                    <w:pageBreakBefore w:val="0"/>
                    <w:widowControl w:val="0"/>
                    <w:kinsoku/>
                    <w:wordWrap/>
                    <w:overflowPunct/>
                    <w:topLinePunct w:val="0"/>
                    <w:autoSpaceDE/>
                    <w:autoSpaceDN/>
                    <w:bidi w:val="0"/>
                    <w:adjustRightInd/>
                    <w:snapToGrid/>
                    <w:spacing w:line="240" w:lineRule="auto"/>
                    <w:ind w:left="323"/>
                    <w:jc w:val="center"/>
                    <w:textAlignment w:val="auto"/>
                    <w:rPr>
                      <w:rFonts w:ascii="Times New Roman" w:hAnsi="Times New Roman" w:eastAsia="宋体" w:cs="Times New Roman"/>
                      <w:spacing w:val="3"/>
                      <w:position w:val="-3"/>
                      <w:sz w:val="21"/>
                      <w:szCs w:val="21"/>
                    </w:rPr>
                  </w:pPr>
                  <w:r>
                    <w:rPr>
                      <w:rFonts w:ascii="Times New Roman" w:hAnsi="Times New Roman" w:eastAsia="宋体" w:cs="Times New Roman"/>
                      <w:spacing w:val="3"/>
                      <w:position w:val="-3"/>
                      <w:sz w:val="21"/>
                      <w:szCs w:val="21"/>
                    </w:rPr>
                    <w:t>4</w:t>
                  </w:r>
                </w:p>
              </w:tc>
              <w:tc>
                <w:tcPr>
                  <w:tcW w:w="1379" w:type="dxa"/>
                  <w:noWrap w:val="0"/>
                  <w:vAlign w:val="center"/>
                </w:tcPr>
                <w:p w14:paraId="30FAD1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z w:val="21"/>
                      <w:szCs w:val="21"/>
                    </w:rPr>
                  </w:pPr>
                </w:p>
              </w:tc>
            </w:tr>
          </w:tbl>
          <w:p w14:paraId="7CEEE8F8">
            <w:pPr>
              <w:pStyle w:val="28"/>
              <w:rPr>
                <w:rFonts w:hint="eastAsia" w:ascii="Times New Roman" w:hAnsi="Times New Roman" w:eastAsia="宋体" w:cs="Times New Roman"/>
                <w:color w:val="auto"/>
                <w:sz w:val="21"/>
                <w:szCs w:val="21"/>
                <w:lang w:val="en-US" w:eastAsia="zh-CN"/>
              </w:rPr>
            </w:pPr>
          </w:p>
          <w:p w14:paraId="2B92119C">
            <w:pPr>
              <w:pStyle w:val="28"/>
              <w:rPr>
                <w:rFonts w:hint="eastAsia" w:ascii="Times New Roman" w:hAnsi="Times New Roman" w:eastAsia="宋体" w:cs="Times New Roman"/>
                <w:color w:val="auto"/>
                <w:sz w:val="21"/>
                <w:szCs w:val="21"/>
                <w:lang w:val="en-US" w:eastAsia="zh-CN"/>
              </w:rPr>
            </w:pPr>
          </w:p>
          <w:p w14:paraId="6E24A718">
            <w:pPr>
              <w:pStyle w:val="28"/>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表2-10  陇县千河南岸新城污水处理厂人工湿地工程量统计表</w:t>
            </w:r>
          </w:p>
          <w:tbl>
            <w:tblPr>
              <w:tblStyle w:val="36"/>
              <w:tblW w:w="793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6"/>
              <w:gridCol w:w="4506"/>
              <w:gridCol w:w="763"/>
              <w:gridCol w:w="794"/>
              <w:gridCol w:w="1167"/>
            </w:tblGrid>
            <w:tr w14:paraId="64AE40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jc w:val="center"/>
              </w:trPr>
              <w:tc>
                <w:tcPr>
                  <w:tcW w:w="706" w:type="dxa"/>
                  <w:noWrap w:val="0"/>
                  <w:vAlign w:val="top"/>
                </w:tcPr>
                <w:p w14:paraId="239CB489">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序号</w:t>
                  </w:r>
                </w:p>
              </w:tc>
              <w:tc>
                <w:tcPr>
                  <w:tcW w:w="4506" w:type="dxa"/>
                  <w:noWrap w:val="0"/>
                  <w:vAlign w:val="top"/>
                </w:tcPr>
                <w:p w14:paraId="47DC9B11">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项目</w:t>
                  </w:r>
                </w:p>
              </w:tc>
              <w:tc>
                <w:tcPr>
                  <w:tcW w:w="763" w:type="dxa"/>
                  <w:noWrap w:val="0"/>
                  <w:vAlign w:val="top"/>
                </w:tcPr>
                <w:p w14:paraId="2A41F142">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单位</w:t>
                  </w:r>
                </w:p>
              </w:tc>
              <w:tc>
                <w:tcPr>
                  <w:tcW w:w="794" w:type="dxa"/>
                  <w:noWrap w:val="0"/>
                  <w:vAlign w:val="top"/>
                </w:tcPr>
                <w:p w14:paraId="46F10A76">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数量</w:t>
                  </w:r>
                </w:p>
              </w:tc>
              <w:tc>
                <w:tcPr>
                  <w:tcW w:w="1167" w:type="dxa"/>
                  <w:noWrap w:val="0"/>
                  <w:vAlign w:val="top"/>
                </w:tcPr>
                <w:p w14:paraId="3B6D19CD">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备注</w:t>
                  </w:r>
                </w:p>
              </w:tc>
            </w:tr>
            <w:tr w14:paraId="256F35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706" w:type="dxa"/>
                  <w:noWrap w:val="0"/>
                  <w:vAlign w:val="top"/>
                </w:tcPr>
                <w:p w14:paraId="517D33B8">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1</w:t>
                  </w:r>
                </w:p>
              </w:tc>
              <w:tc>
                <w:tcPr>
                  <w:tcW w:w="4506" w:type="dxa"/>
                  <w:noWrap w:val="0"/>
                  <w:vAlign w:val="top"/>
                </w:tcPr>
                <w:p w14:paraId="1C3171BF">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土方开挖</w:t>
                  </w:r>
                </w:p>
              </w:tc>
              <w:tc>
                <w:tcPr>
                  <w:tcW w:w="763" w:type="dxa"/>
                  <w:noWrap w:val="0"/>
                  <w:vAlign w:val="top"/>
                </w:tcPr>
                <w:p w14:paraId="028DDE45">
                  <w:pPr>
                    <w:spacing w:before="61" w:line="214" w:lineRule="auto"/>
                    <w:ind w:left="322"/>
                    <w:rPr>
                      <w:rFonts w:ascii="Times New Roman" w:hAnsi="Times New Roman" w:eastAsia="宋体" w:cs="Times New Roman"/>
                      <w:sz w:val="13"/>
                      <w:szCs w:val="13"/>
                    </w:rPr>
                  </w:pPr>
                  <w:r>
                    <w:rPr>
                      <w:rFonts w:ascii="Times New Roman" w:hAnsi="Times New Roman" w:eastAsia="宋体" w:cs="Times New Roman"/>
                      <w:spacing w:val="4"/>
                      <w:position w:val="-3"/>
                      <w:sz w:val="20"/>
                      <w:szCs w:val="20"/>
                    </w:rPr>
                    <w:t>m</w:t>
                  </w:r>
                  <w:r>
                    <w:rPr>
                      <w:rFonts w:ascii="Times New Roman" w:hAnsi="Times New Roman" w:eastAsia="宋体" w:cs="Times New Roman"/>
                      <w:spacing w:val="4"/>
                      <w:position w:val="3"/>
                      <w:sz w:val="13"/>
                      <w:szCs w:val="13"/>
                    </w:rPr>
                    <w:t>3</w:t>
                  </w:r>
                </w:p>
              </w:tc>
              <w:tc>
                <w:tcPr>
                  <w:tcW w:w="794" w:type="dxa"/>
                  <w:noWrap w:val="0"/>
                  <w:vAlign w:val="top"/>
                </w:tcPr>
                <w:p w14:paraId="53C42FC6">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36318</w:t>
                  </w:r>
                </w:p>
              </w:tc>
              <w:tc>
                <w:tcPr>
                  <w:tcW w:w="1167" w:type="dxa"/>
                  <w:noWrap w:val="0"/>
                  <w:vAlign w:val="top"/>
                </w:tcPr>
                <w:p w14:paraId="190FFF09">
                  <w:pPr>
                    <w:pStyle w:val="35"/>
                    <w:spacing w:before="35" w:line="218" w:lineRule="auto"/>
                    <w:jc w:val="center"/>
                    <w:rPr>
                      <w:rFonts w:ascii="Times New Roman" w:hAnsi="Times New Roman" w:eastAsia="宋体" w:cs="宋体"/>
                      <w:spacing w:val="3"/>
                      <w:sz w:val="21"/>
                      <w:szCs w:val="21"/>
                    </w:rPr>
                  </w:pPr>
                </w:p>
              </w:tc>
            </w:tr>
            <w:tr w14:paraId="36D3BA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706" w:type="dxa"/>
                  <w:noWrap w:val="0"/>
                  <w:vAlign w:val="top"/>
                </w:tcPr>
                <w:p w14:paraId="65BC39ED">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2</w:t>
                  </w:r>
                </w:p>
              </w:tc>
              <w:tc>
                <w:tcPr>
                  <w:tcW w:w="4506" w:type="dxa"/>
                  <w:noWrap w:val="0"/>
                  <w:vAlign w:val="top"/>
                </w:tcPr>
                <w:p w14:paraId="7BB7A9C8">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土方回填</w:t>
                  </w:r>
                </w:p>
              </w:tc>
              <w:tc>
                <w:tcPr>
                  <w:tcW w:w="763" w:type="dxa"/>
                  <w:noWrap w:val="0"/>
                  <w:vAlign w:val="top"/>
                </w:tcPr>
                <w:p w14:paraId="7C7FE323">
                  <w:pPr>
                    <w:spacing w:before="62" w:line="214" w:lineRule="auto"/>
                    <w:ind w:left="322"/>
                    <w:rPr>
                      <w:rFonts w:ascii="Times New Roman" w:hAnsi="Times New Roman" w:eastAsia="宋体" w:cs="Times New Roman"/>
                      <w:sz w:val="13"/>
                      <w:szCs w:val="13"/>
                    </w:rPr>
                  </w:pPr>
                  <w:r>
                    <w:rPr>
                      <w:rFonts w:ascii="Times New Roman" w:hAnsi="Times New Roman" w:eastAsia="宋体" w:cs="Times New Roman"/>
                      <w:spacing w:val="4"/>
                      <w:position w:val="-3"/>
                      <w:sz w:val="20"/>
                      <w:szCs w:val="20"/>
                    </w:rPr>
                    <w:t>m</w:t>
                  </w:r>
                  <w:r>
                    <w:rPr>
                      <w:rFonts w:ascii="Times New Roman" w:hAnsi="Times New Roman" w:eastAsia="宋体" w:cs="Times New Roman"/>
                      <w:spacing w:val="4"/>
                      <w:position w:val="3"/>
                      <w:sz w:val="13"/>
                      <w:szCs w:val="13"/>
                    </w:rPr>
                    <w:t>3</w:t>
                  </w:r>
                </w:p>
              </w:tc>
              <w:tc>
                <w:tcPr>
                  <w:tcW w:w="794" w:type="dxa"/>
                  <w:noWrap w:val="0"/>
                  <w:vAlign w:val="top"/>
                </w:tcPr>
                <w:p w14:paraId="7F80D662">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6637</w:t>
                  </w:r>
                </w:p>
              </w:tc>
              <w:tc>
                <w:tcPr>
                  <w:tcW w:w="1167" w:type="dxa"/>
                  <w:noWrap w:val="0"/>
                  <w:vAlign w:val="top"/>
                </w:tcPr>
                <w:p w14:paraId="760339B9">
                  <w:pPr>
                    <w:pStyle w:val="35"/>
                    <w:spacing w:before="35" w:line="218" w:lineRule="auto"/>
                    <w:jc w:val="center"/>
                    <w:rPr>
                      <w:rFonts w:ascii="Times New Roman" w:hAnsi="Times New Roman" w:eastAsia="宋体" w:cs="宋体"/>
                      <w:spacing w:val="3"/>
                      <w:sz w:val="21"/>
                      <w:szCs w:val="21"/>
                    </w:rPr>
                  </w:pPr>
                </w:p>
              </w:tc>
            </w:tr>
            <w:tr w14:paraId="3C704A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jc w:val="center"/>
              </w:trPr>
              <w:tc>
                <w:tcPr>
                  <w:tcW w:w="706" w:type="dxa"/>
                  <w:noWrap w:val="0"/>
                  <w:vAlign w:val="top"/>
                </w:tcPr>
                <w:p w14:paraId="76C62CF2">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3</w:t>
                  </w:r>
                </w:p>
              </w:tc>
              <w:tc>
                <w:tcPr>
                  <w:tcW w:w="4506" w:type="dxa"/>
                  <w:noWrap w:val="0"/>
                  <w:vAlign w:val="top"/>
                </w:tcPr>
                <w:p w14:paraId="7B999817">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余方外运（外运5km）</w:t>
                  </w:r>
                </w:p>
              </w:tc>
              <w:tc>
                <w:tcPr>
                  <w:tcW w:w="763" w:type="dxa"/>
                  <w:noWrap w:val="0"/>
                  <w:vAlign w:val="top"/>
                </w:tcPr>
                <w:p w14:paraId="3B1096A7">
                  <w:pPr>
                    <w:spacing w:before="62" w:line="212" w:lineRule="auto"/>
                    <w:ind w:left="322"/>
                    <w:rPr>
                      <w:rFonts w:ascii="Times New Roman" w:hAnsi="Times New Roman" w:eastAsia="宋体" w:cs="Times New Roman"/>
                      <w:sz w:val="13"/>
                      <w:szCs w:val="13"/>
                    </w:rPr>
                  </w:pPr>
                  <w:r>
                    <w:rPr>
                      <w:rFonts w:ascii="Times New Roman" w:hAnsi="Times New Roman" w:eastAsia="宋体" w:cs="Times New Roman"/>
                      <w:spacing w:val="4"/>
                      <w:position w:val="-3"/>
                      <w:sz w:val="20"/>
                      <w:szCs w:val="20"/>
                    </w:rPr>
                    <w:t>m</w:t>
                  </w:r>
                  <w:r>
                    <w:rPr>
                      <w:rFonts w:ascii="Times New Roman" w:hAnsi="Times New Roman" w:eastAsia="宋体" w:cs="Times New Roman"/>
                      <w:spacing w:val="4"/>
                      <w:position w:val="3"/>
                      <w:sz w:val="13"/>
                      <w:szCs w:val="13"/>
                    </w:rPr>
                    <w:t>3</w:t>
                  </w:r>
                </w:p>
              </w:tc>
              <w:tc>
                <w:tcPr>
                  <w:tcW w:w="794" w:type="dxa"/>
                  <w:noWrap w:val="0"/>
                  <w:vAlign w:val="top"/>
                </w:tcPr>
                <w:p w14:paraId="75DB0353">
                  <w:pPr>
                    <w:pStyle w:val="35"/>
                    <w:spacing w:before="35" w:line="218" w:lineRule="auto"/>
                    <w:jc w:val="center"/>
                    <w:rPr>
                      <w:rFonts w:hint="default" w:ascii="Times New Roman" w:hAnsi="Times New Roman" w:eastAsia="宋体" w:cs="宋体"/>
                      <w:spacing w:val="3"/>
                      <w:sz w:val="21"/>
                      <w:szCs w:val="21"/>
                      <w:lang w:val="en-US" w:eastAsia="zh-CN"/>
                    </w:rPr>
                  </w:pPr>
                  <w:r>
                    <w:rPr>
                      <w:rFonts w:ascii="Times New Roman" w:hAnsi="Times New Roman" w:eastAsia="宋体" w:cs="宋体"/>
                      <w:spacing w:val="3"/>
                      <w:sz w:val="21"/>
                      <w:szCs w:val="21"/>
                    </w:rPr>
                    <w:t>2</w:t>
                  </w:r>
                  <w:r>
                    <w:rPr>
                      <w:rFonts w:hint="eastAsia" w:ascii="Times New Roman" w:hAnsi="Times New Roman" w:eastAsia="宋体" w:cs="宋体"/>
                      <w:spacing w:val="3"/>
                      <w:sz w:val="21"/>
                      <w:szCs w:val="21"/>
                      <w:lang w:val="en-US" w:eastAsia="zh-CN"/>
                    </w:rPr>
                    <w:t>9681</w:t>
                  </w:r>
                </w:p>
              </w:tc>
              <w:tc>
                <w:tcPr>
                  <w:tcW w:w="1167" w:type="dxa"/>
                  <w:noWrap w:val="0"/>
                  <w:vAlign w:val="top"/>
                </w:tcPr>
                <w:p w14:paraId="38AF48B8">
                  <w:pPr>
                    <w:pStyle w:val="35"/>
                    <w:spacing w:before="35" w:line="218" w:lineRule="auto"/>
                    <w:jc w:val="center"/>
                    <w:rPr>
                      <w:rFonts w:ascii="Times New Roman" w:hAnsi="Times New Roman" w:eastAsia="宋体" w:cs="宋体"/>
                      <w:spacing w:val="3"/>
                      <w:sz w:val="21"/>
                      <w:szCs w:val="21"/>
                    </w:rPr>
                  </w:pPr>
                </w:p>
              </w:tc>
            </w:tr>
            <w:tr w14:paraId="34C261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706" w:type="dxa"/>
                  <w:noWrap w:val="0"/>
                  <w:vAlign w:val="top"/>
                </w:tcPr>
                <w:p w14:paraId="04184C8B">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4</w:t>
                  </w:r>
                </w:p>
              </w:tc>
              <w:tc>
                <w:tcPr>
                  <w:tcW w:w="4506" w:type="dxa"/>
                  <w:noWrap w:val="0"/>
                  <w:vAlign w:val="top"/>
                </w:tcPr>
                <w:p w14:paraId="645B1C04">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外购沸石（10mm-50mm）</w:t>
                  </w:r>
                </w:p>
              </w:tc>
              <w:tc>
                <w:tcPr>
                  <w:tcW w:w="763" w:type="dxa"/>
                  <w:noWrap w:val="0"/>
                  <w:vAlign w:val="top"/>
                </w:tcPr>
                <w:p w14:paraId="5FC82573">
                  <w:pPr>
                    <w:spacing w:before="62" w:line="213" w:lineRule="auto"/>
                    <w:ind w:left="322"/>
                    <w:rPr>
                      <w:rFonts w:ascii="Times New Roman" w:hAnsi="Times New Roman" w:eastAsia="宋体" w:cs="Times New Roman"/>
                      <w:sz w:val="13"/>
                      <w:szCs w:val="13"/>
                    </w:rPr>
                  </w:pPr>
                  <w:r>
                    <w:rPr>
                      <w:rFonts w:ascii="Times New Roman" w:hAnsi="Times New Roman" w:eastAsia="宋体" w:cs="Times New Roman"/>
                      <w:spacing w:val="4"/>
                      <w:position w:val="-3"/>
                      <w:sz w:val="20"/>
                      <w:szCs w:val="20"/>
                    </w:rPr>
                    <w:t>m</w:t>
                  </w:r>
                  <w:r>
                    <w:rPr>
                      <w:rFonts w:ascii="Times New Roman" w:hAnsi="Times New Roman" w:eastAsia="宋体" w:cs="Times New Roman"/>
                      <w:spacing w:val="4"/>
                      <w:position w:val="3"/>
                      <w:sz w:val="13"/>
                      <w:szCs w:val="13"/>
                    </w:rPr>
                    <w:t>3</w:t>
                  </w:r>
                </w:p>
              </w:tc>
              <w:tc>
                <w:tcPr>
                  <w:tcW w:w="794" w:type="dxa"/>
                  <w:noWrap w:val="0"/>
                  <w:vAlign w:val="top"/>
                </w:tcPr>
                <w:p w14:paraId="2F551723">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8241</w:t>
                  </w:r>
                </w:p>
              </w:tc>
              <w:tc>
                <w:tcPr>
                  <w:tcW w:w="1167" w:type="dxa"/>
                  <w:noWrap w:val="0"/>
                  <w:vAlign w:val="top"/>
                </w:tcPr>
                <w:p w14:paraId="381D9EF1">
                  <w:pPr>
                    <w:pStyle w:val="35"/>
                    <w:spacing w:before="35" w:line="218" w:lineRule="auto"/>
                    <w:jc w:val="center"/>
                    <w:rPr>
                      <w:rFonts w:ascii="Times New Roman" w:hAnsi="Times New Roman" w:eastAsia="宋体" w:cs="宋体"/>
                      <w:spacing w:val="3"/>
                      <w:sz w:val="21"/>
                      <w:szCs w:val="21"/>
                    </w:rPr>
                  </w:pPr>
                </w:p>
              </w:tc>
            </w:tr>
            <w:tr w14:paraId="53F5F5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706" w:type="dxa"/>
                  <w:noWrap w:val="0"/>
                  <w:vAlign w:val="top"/>
                </w:tcPr>
                <w:p w14:paraId="1D5C6EE8">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5</w:t>
                  </w:r>
                </w:p>
              </w:tc>
              <w:tc>
                <w:tcPr>
                  <w:tcW w:w="4506" w:type="dxa"/>
                  <w:noWrap w:val="0"/>
                  <w:vAlign w:val="top"/>
                </w:tcPr>
                <w:p w14:paraId="433DD555">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外购卵石（50mm-80mm）</w:t>
                  </w:r>
                </w:p>
              </w:tc>
              <w:tc>
                <w:tcPr>
                  <w:tcW w:w="763" w:type="dxa"/>
                  <w:noWrap w:val="0"/>
                  <w:vAlign w:val="top"/>
                </w:tcPr>
                <w:p w14:paraId="5A31E7AD">
                  <w:pPr>
                    <w:spacing w:before="63" w:line="213" w:lineRule="auto"/>
                    <w:ind w:left="322"/>
                    <w:rPr>
                      <w:rFonts w:ascii="Times New Roman" w:hAnsi="Times New Roman" w:eastAsia="宋体" w:cs="Times New Roman"/>
                      <w:sz w:val="13"/>
                      <w:szCs w:val="13"/>
                    </w:rPr>
                  </w:pPr>
                  <w:r>
                    <w:rPr>
                      <w:rFonts w:ascii="Times New Roman" w:hAnsi="Times New Roman" w:eastAsia="宋体" w:cs="Times New Roman"/>
                      <w:spacing w:val="4"/>
                      <w:position w:val="-3"/>
                      <w:sz w:val="20"/>
                      <w:szCs w:val="20"/>
                    </w:rPr>
                    <w:t>m</w:t>
                  </w:r>
                  <w:r>
                    <w:rPr>
                      <w:rFonts w:ascii="Times New Roman" w:hAnsi="Times New Roman" w:eastAsia="宋体" w:cs="Times New Roman"/>
                      <w:spacing w:val="4"/>
                      <w:position w:val="3"/>
                      <w:sz w:val="13"/>
                      <w:szCs w:val="13"/>
                    </w:rPr>
                    <w:t>3</w:t>
                  </w:r>
                </w:p>
              </w:tc>
              <w:tc>
                <w:tcPr>
                  <w:tcW w:w="794" w:type="dxa"/>
                  <w:noWrap w:val="0"/>
                  <w:vAlign w:val="top"/>
                </w:tcPr>
                <w:p w14:paraId="08D2A66E">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910</w:t>
                  </w:r>
                </w:p>
              </w:tc>
              <w:tc>
                <w:tcPr>
                  <w:tcW w:w="1167" w:type="dxa"/>
                  <w:noWrap w:val="0"/>
                  <w:vAlign w:val="top"/>
                </w:tcPr>
                <w:p w14:paraId="7A53F26F">
                  <w:pPr>
                    <w:pStyle w:val="35"/>
                    <w:spacing w:before="35" w:line="218" w:lineRule="auto"/>
                    <w:jc w:val="center"/>
                    <w:rPr>
                      <w:rFonts w:ascii="Times New Roman" w:hAnsi="Times New Roman" w:eastAsia="宋体" w:cs="宋体"/>
                      <w:spacing w:val="3"/>
                      <w:sz w:val="21"/>
                      <w:szCs w:val="21"/>
                    </w:rPr>
                  </w:pPr>
                </w:p>
              </w:tc>
            </w:tr>
            <w:tr w14:paraId="616AB2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706" w:type="dxa"/>
                  <w:noWrap w:val="0"/>
                  <w:vAlign w:val="top"/>
                </w:tcPr>
                <w:p w14:paraId="5E08AD43">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6</w:t>
                  </w:r>
                </w:p>
              </w:tc>
              <w:tc>
                <w:tcPr>
                  <w:tcW w:w="4506" w:type="dxa"/>
                  <w:noWrap w:val="0"/>
                  <w:vAlign w:val="top"/>
                </w:tcPr>
                <w:p w14:paraId="02361C51">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种植土</w:t>
                  </w:r>
                </w:p>
              </w:tc>
              <w:tc>
                <w:tcPr>
                  <w:tcW w:w="763" w:type="dxa"/>
                  <w:noWrap w:val="0"/>
                  <w:vAlign w:val="top"/>
                </w:tcPr>
                <w:p w14:paraId="5C72EDB9">
                  <w:pPr>
                    <w:spacing w:before="64" w:line="211" w:lineRule="auto"/>
                    <w:ind w:left="322"/>
                    <w:rPr>
                      <w:rFonts w:ascii="Times New Roman" w:hAnsi="Times New Roman" w:eastAsia="宋体" w:cs="Times New Roman"/>
                      <w:sz w:val="13"/>
                      <w:szCs w:val="13"/>
                    </w:rPr>
                  </w:pPr>
                  <w:r>
                    <w:rPr>
                      <w:rFonts w:ascii="Times New Roman" w:hAnsi="Times New Roman" w:eastAsia="宋体" w:cs="Times New Roman"/>
                      <w:spacing w:val="4"/>
                      <w:position w:val="-3"/>
                      <w:sz w:val="20"/>
                      <w:szCs w:val="20"/>
                    </w:rPr>
                    <w:t>m</w:t>
                  </w:r>
                  <w:r>
                    <w:rPr>
                      <w:rFonts w:ascii="Times New Roman" w:hAnsi="Times New Roman" w:eastAsia="宋体" w:cs="Times New Roman"/>
                      <w:spacing w:val="4"/>
                      <w:position w:val="3"/>
                      <w:sz w:val="13"/>
                      <w:szCs w:val="13"/>
                    </w:rPr>
                    <w:t>3</w:t>
                  </w:r>
                </w:p>
              </w:tc>
              <w:tc>
                <w:tcPr>
                  <w:tcW w:w="794" w:type="dxa"/>
                  <w:noWrap w:val="0"/>
                  <w:vAlign w:val="top"/>
                </w:tcPr>
                <w:p w14:paraId="677E641B">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2370</w:t>
                  </w:r>
                </w:p>
              </w:tc>
              <w:tc>
                <w:tcPr>
                  <w:tcW w:w="1167" w:type="dxa"/>
                  <w:noWrap w:val="0"/>
                  <w:vAlign w:val="top"/>
                </w:tcPr>
                <w:p w14:paraId="3B5F2B9D">
                  <w:pPr>
                    <w:pStyle w:val="35"/>
                    <w:spacing w:before="35" w:line="218" w:lineRule="auto"/>
                    <w:jc w:val="center"/>
                    <w:rPr>
                      <w:rFonts w:ascii="Times New Roman" w:hAnsi="Times New Roman" w:eastAsia="宋体" w:cs="宋体"/>
                      <w:spacing w:val="3"/>
                      <w:sz w:val="21"/>
                      <w:szCs w:val="21"/>
                    </w:rPr>
                  </w:pPr>
                </w:p>
              </w:tc>
            </w:tr>
            <w:tr w14:paraId="2805A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706" w:type="dxa"/>
                  <w:noWrap w:val="0"/>
                  <w:vAlign w:val="top"/>
                </w:tcPr>
                <w:p w14:paraId="3D2FD2E9">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7</w:t>
                  </w:r>
                </w:p>
              </w:tc>
              <w:tc>
                <w:tcPr>
                  <w:tcW w:w="4506" w:type="dxa"/>
                  <w:noWrap w:val="0"/>
                  <w:vAlign w:val="top"/>
                </w:tcPr>
                <w:p w14:paraId="101C27FA">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基础整平夯实</w:t>
                  </w:r>
                </w:p>
              </w:tc>
              <w:tc>
                <w:tcPr>
                  <w:tcW w:w="763" w:type="dxa"/>
                  <w:noWrap w:val="0"/>
                  <w:vAlign w:val="top"/>
                </w:tcPr>
                <w:p w14:paraId="2F7DB58F">
                  <w:pPr>
                    <w:spacing w:before="65" w:line="210" w:lineRule="auto"/>
                    <w:ind w:left="322"/>
                    <w:rPr>
                      <w:rFonts w:ascii="Times New Roman" w:hAnsi="Times New Roman" w:eastAsia="宋体" w:cs="Times New Roman"/>
                      <w:sz w:val="13"/>
                      <w:szCs w:val="13"/>
                    </w:rPr>
                  </w:pPr>
                  <w:r>
                    <w:rPr>
                      <w:rFonts w:ascii="Times New Roman" w:hAnsi="Times New Roman" w:eastAsia="宋体" w:cs="Times New Roman"/>
                      <w:spacing w:val="4"/>
                      <w:position w:val="-3"/>
                      <w:sz w:val="20"/>
                      <w:szCs w:val="20"/>
                    </w:rPr>
                    <w:t>m</w:t>
                  </w:r>
                  <w:r>
                    <w:rPr>
                      <w:rFonts w:ascii="Times New Roman" w:hAnsi="Times New Roman" w:eastAsia="宋体" w:cs="Times New Roman"/>
                      <w:spacing w:val="4"/>
                      <w:position w:val="3"/>
                      <w:sz w:val="13"/>
                      <w:szCs w:val="13"/>
                    </w:rPr>
                    <w:t>2</w:t>
                  </w:r>
                </w:p>
              </w:tc>
              <w:tc>
                <w:tcPr>
                  <w:tcW w:w="794" w:type="dxa"/>
                  <w:noWrap w:val="0"/>
                  <w:vAlign w:val="top"/>
                </w:tcPr>
                <w:p w14:paraId="6DDA515C">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6223</w:t>
                  </w:r>
                </w:p>
              </w:tc>
              <w:tc>
                <w:tcPr>
                  <w:tcW w:w="1167" w:type="dxa"/>
                  <w:noWrap w:val="0"/>
                  <w:vAlign w:val="top"/>
                </w:tcPr>
                <w:p w14:paraId="7F087BEA">
                  <w:pPr>
                    <w:pStyle w:val="35"/>
                    <w:spacing w:before="35" w:line="218" w:lineRule="auto"/>
                    <w:jc w:val="center"/>
                    <w:rPr>
                      <w:rFonts w:ascii="Times New Roman" w:hAnsi="Times New Roman" w:eastAsia="宋体" w:cs="宋体"/>
                      <w:spacing w:val="3"/>
                      <w:sz w:val="21"/>
                      <w:szCs w:val="21"/>
                    </w:rPr>
                  </w:pPr>
                </w:p>
              </w:tc>
            </w:tr>
            <w:tr w14:paraId="76C71D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706" w:type="dxa"/>
                  <w:noWrap w:val="0"/>
                  <w:vAlign w:val="top"/>
                </w:tcPr>
                <w:p w14:paraId="0780EA2E">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8</w:t>
                  </w:r>
                </w:p>
              </w:tc>
              <w:tc>
                <w:tcPr>
                  <w:tcW w:w="4506" w:type="dxa"/>
                  <w:noWrap w:val="0"/>
                  <w:vAlign w:val="top"/>
                </w:tcPr>
                <w:p w14:paraId="0739722D">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清表</w:t>
                  </w:r>
                </w:p>
              </w:tc>
              <w:tc>
                <w:tcPr>
                  <w:tcW w:w="763" w:type="dxa"/>
                  <w:noWrap w:val="0"/>
                  <w:vAlign w:val="top"/>
                </w:tcPr>
                <w:p w14:paraId="2FC85B54">
                  <w:pPr>
                    <w:spacing w:before="64" w:line="211" w:lineRule="auto"/>
                    <w:ind w:left="322"/>
                    <w:rPr>
                      <w:rFonts w:ascii="Times New Roman" w:hAnsi="Times New Roman" w:eastAsia="宋体" w:cs="Times New Roman"/>
                      <w:sz w:val="13"/>
                      <w:szCs w:val="13"/>
                    </w:rPr>
                  </w:pPr>
                  <w:r>
                    <w:rPr>
                      <w:rFonts w:ascii="Times New Roman" w:hAnsi="Times New Roman" w:eastAsia="宋体" w:cs="Times New Roman"/>
                      <w:spacing w:val="4"/>
                      <w:position w:val="-3"/>
                      <w:sz w:val="20"/>
                      <w:szCs w:val="20"/>
                    </w:rPr>
                    <w:t>m</w:t>
                  </w:r>
                  <w:r>
                    <w:rPr>
                      <w:rFonts w:ascii="Times New Roman" w:hAnsi="Times New Roman" w:eastAsia="宋体" w:cs="Times New Roman"/>
                      <w:spacing w:val="4"/>
                      <w:position w:val="3"/>
                      <w:sz w:val="13"/>
                      <w:szCs w:val="13"/>
                    </w:rPr>
                    <w:t>2</w:t>
                  </w:r>
                </w:p>
              </w:tc>
              <w:tc>
                <w:tcPr>
                  <w:tcW w:w="794" w:type="dxa"/>
                  <w:noWrap w:val="0"/>
                  <w:vAlign w:val="top"/>
                </w:tcPr>
                <w:p w14:paraId="58147DB5">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7363</w:t>
                  </w:r>
                </w:p>
              </w:tc>
              <w:tc>
                <w:tcPr>
                  <w:tcW w:w="1167" w:type="dxa"/>
                  <w:noWrap w:val="0"/>
                  <w:vAlign w:val="top"/>
                </w:tcPr>
                <w:p w14:paraId="28BF1E4C">
                  <w:pPr>
                    <w:pStyle w:val="35"/>
                    <w:spacing w:before="35" w:line="218" w:lineRule="auto"/>
                    <w:jc w:val="center"/>
                    <w:rPr>
                      <w:rFonts w:ascii="Times New Roman" w:hAnsi="Times New Roman" w:eastAsia="宋体" w:cs="宋体"/>
                      <w:spacing w:val="3"/>
                      <w:sz w:val="21"/>
                      <w:szCs w:val="21"/>
                    </w:rPr>
                  </w:pPr>
                </w:p>
              </w:tc>
            </w:tr>
            <w:tr w14:paraId="482A74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706" w:type="dxa"/>
                  <w:noWrap w:val="0"/>
                  <w:vAlign w:val="top"/>
                </w:tcPr>
                <w:p w14:paraId="766517CD">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9</w:t>
                  </w:r>
                </w:p>
              </w:tc>
              <w:tc>
                <w:tcPr>
                  <w:tcW w:w="4506" w:type="dxa"/>
                  <w:noWrap w:val="0"/>
                  <w:vAlign w:val="top"/>
                </w:tcPr>
                <w:p w14:paraId="0426D3B2">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清理树木、树根</w:t>
                  </w:r>
                  <w:r>
                    <w:rPr>
                      <w:rFonts w:hint="eastAsia" w:ascii="Times New Roman" w:hAnsi="Times New Roman" w:eastAsia="宋体" w:cs="宋体"/>
                      <w:spacing w:val="3"/>
                      <w:sz w:val="21"/>
                      <w:szCs w:val="21"/>
                      <w:lang w:eastAsia="zh-CN"/>
                    </w:rPr>
                    <w:t>（</w:t>
                  </w:r>
                  <w:r>
                    <w:rPr>
                      <w:rFonts w:ascii="Times New Roman" w:hAnsi="Times New Roman" w:eastAsia="宋体" w:cs="宋体"/>
                      <w:spacing w:val="3"/>
                      <w:sz w:val="21"/>
                      <w:szCs w:val="21"/>
                    </w:rPr>
                    <w:t>胸径 10~20cm</w:t>
                  </w:r>
                  <w:r>
                    <w:rPr>
                      <w:rFonts w:hint="eastAsia" w:ascii="Times New Roman" w:hAnsi="Times New Roman" w:eastAsia="宋体" w:cs="宋体"/>
                      <w:spacing w:val="3"/>
                      <w:sz w:val="21"/>
                      <w:szCs w:val="21"/>
                      <w:lang w:eastAsia="zh-CN"/>
                    </w:rPr>
                    <w:t>）</w:t>
                  </w:r>
                </w:p>
              </w:tc>
              <w:tc>
                <w:tcPr>
                  <w:tcW w:w="763" w:type="dxa"/>
                  <w:noWrap w:val="0"/>
                  <w:vAlign w:val="top"/>
                </w:tcPr>
                <w:p w14:paraId="7E0FBED4">
                  <w:pPr>
                    <w:spacing w:before="65" w:line="210" w:lineRule="auto"/>
                    <w:ind w:left="322"/>
                    <w:rPr>
                      <w:rFonts w:ascii="Times New Roman" w:hAnsi="Times New Roman" w:eastAsia="宋体" w:cs="Times New Roman"/>
                      <w:sz w:val="13"/>
                      <w:szCs w:val="13"/>
                    </w:rPr>
                  </w:pPr>
                  <w:r>
                    <w:rPr>
                      <w:rFonts w:ascii="Times New Roman" w:hAnsi="Times New Roman" w:eastAsia="宋体" w:cs="Times New Roman"/>
                      <w:spacing w:val="4"/>
                      <w:position w:val="-3"/>
                      <w:sz w:val="20"/>
                      <w:szCs w:val="20"/>
                    </w:rPr>
                    <w:t>m</w:t>
                  </w:r>
                  <w:r>
                    <w:rPr>
                      <w:rFonts w:ascii="Times New Roman" w:hAnsi="Times New Roman" w:eastAsia="宋体" w:cs="Times New Roman"/>
                      <w:spacing w:val="4"/>
                      <w:position w:val="3"/>
                      <w:sz w:val="13"/>
                      <w:szCs w:val="13"/>
                    </w:rPr>
                    <w:t>3</w:t>
                  </w:r>
                </w:p>
              </w:tc>
              <w:tc>
                <w:tcPr>
                  <w:tcW w:w="794" w:type="dxa"/>
                  <w:noWrap w:val="0"/>
                  <w:vAlign w:val="top"/>
                </w:tcPr>
                <w:p w14:paraId="6CB777F6">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2675</w:t>
                  </w:r>
                </w:p>
              </w:tc>
              <w:tc>
                <w:tcPr>
                  <w:tcW w:w="1167" w:type="dxa"/>
                  <w:noWrap w:val="0"/>
                  <w:vAlign w:val="top"/>
                </w:tcPr>
                <w:p w14:paraId="33F3933B">
                  <w:pPr>
                    <w:pStyle w:val="35"/>
                    <w:spacing w:before="35" w:line="218" w:lineRule="auto"/>
                    <w:jc w:val="center"/>
                    <w:rPr>
                      <w:rFonts w:ascii="Times New Roman" w:hAnsi="Times New Roman" w:eastAsia="宋体" w:cs="宋体"/>
                      <w:spacing w:val="3"/>
                      <w:sz w:val="21"/>
                      <w:szCs w:val="21"/>
                    </w:rPr>
                  </w:pPr>
                </w:p>
              </w:tc>
            </w:tr>
            <w:tr w14:paraId="06A5B7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706" w:type="dxa"/>
                  <w:noWrap w:val="0"/>
                  <w:vAlign w:val="top"/>
                </w:tcPr>
                <w:p w14:paraId="39CE01FC">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10</w:t>
                  </w:r>
                </w:p>
              </w:tc>
              <w:tc>
                <w:tcPr>
                  <w:tcW w:w="4506" w:type="dxa"/>
                  <w:noWrap w:val="0"/>
                  <w:vAlign w:val="top"/>
                </w:tcPr>
                <w:p w14:paraId="1341C61E">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2cm 厚 1:2 防水水泥砂浆抹面</w:t>
                  </w:r>
                </w:p>
              </w:tc>
              <w:tc>
                <w:tcPr>
                  <w:tcW w:w="763" w:type="dxa"/>
                  <w:noWrap w:val="0"/>
                  <w:vAlign w:val="top"/>
                </w:tcPr>
                <w:p w14:paraId="21292A40">
                  <w:pPr>
                    <w:spacing w:before="66" w:line="209" w:lineRule="auto"/>
                    <w:ind w:left="322"/>
                    <w:rPr>
                      <w:rFonts w:ascii="Times New Roman" w:hAnsi="Times New Roman" w:eastAsia="宋体" w:cs="Times New Roman"/>
                      <w:sz w:val="13"/>
                      <w:szCs w:val="13"/>
                    </w:rPr>
                  </w:pPr>
                  <w:r>
                    <w:rPr>
                      <w:rFonts w:ascii="Times New Roman" w:hAnsi="Times New Roman" w:eastAsia="宋体" w:cs="Times New Roman"/>
                      <w:spacing w:val="4"/>
                      <w:position w:val="-3"/>
                      <w:sz w:val="20"/>
                      <w:szCs w:val="20"/>
                    </w:rPr>
                    <w:t>m</w:t>
                  </w:r>
                  <w:r>
                    <w:rPr>
                      <w:rFonts w:ascii="Times New Roman" w:hAnsi="Times New Roman" w:eastAsia="宋体" w:cs="Times New Roman"/>
                      <w:spacing w:val="4"/>
                      <w:position w:val="3"/>
                      <w:sz w:val="13"/>
                      <w:szCs w:val="13"/>
                    </w:rPr>
                    <w:t>2</w:t>
                  </w:r>
                </w:p>
              </w:tc>
              <w:tc>
                <w:tcPr>
                  <w:tcW w:w="794" w:type="dxa"/>
                  <w:noWrap w:val="0"/>
                  <w:vAlign w:val="top"/>
                </w:tcPr>
                <w:p w14:paraId="1461DAEA">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9242</w:t>
                  </w:r>
                </w:p>
              </w:tc>
              <w:tc>
                <w:tcPr>
                  <w:tcW w:w="1167" w:type="dxa"/>
                  <w:noWrap w:val="0"/>
                  <w:vAlign w:val="top"/>
                </w:tcPr>
                <w:p w14:paraId="1B57E92E">
                  <w:pPr>
                    <w:pStyle w:val="35"/>
                    <w:spacing w:before="35" w:line="218" w:lineRule="auto"/>
                    <w:jc w:val="center"/>
                    <w:rPr>
                      <w:rFonts w:ascii="Times New Roman" w:hAnsi="Times New Roman" w:eastAsia="宋体" w:cs="宋体"/>
                      <w:spacing w:val="3"/>
                      <w:sz w:val="21"/>
                      <w:szCs w:val="21"/>
                    </w:rPr>
                  </w:pPr>
                </w:p>
              </w:tc>
            </w:tr>
            <w:tr w14:paraId="4D8A58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706" w:type="dxa"/>
                  <w:noWrap w:val="0"/>
                  <w:vAlign w:val="top"/>
                </w:tcPr>
                <w:p w14:paraId="62D9F5AA">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11</w:t>
                  </w:r>
                </w:p>
              </w:tc>
              <w:tc>
                <w:tcPr>
                  <w:tcW w:w="4506" w:type="dxa"/>
                  <w:noWrap w:val="0"/>
                  <w:vAlign w:val="top"/>
                </w:tcPr>
                <w:p w14:paraId="0A150BE3">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C15 砼垫层</w:t>
                  </w:r>
                </w:p>
              </w:tc>
              <w:tc>
                <w:tcPr>
                  <w:tcW w:w="763" w:type="dxa"/>
                  <w:noWrap w:val="0"/>
                  <w:vAlign w:val="top"/>
                </w:tcPr>
                <w:p w14:paraId="40FADE03">
                  <w:pPr>
                    <w:spacing w:before="65" w:line="211" w:lineRule="auto"/>
                    <w:ind w:left="322"/>
                    <w:rPr>
                      <w:rFonts w:ascii="Times New Roman" w:hAnsi="Times New Roman" w:eastAsia="宋体" w:cs="Times New Roman"/>
                      <w:sz w:val="13"/>
                      <w:szCs w:val="13"/>
                    </w:rPr>
                  </w:pPr>
                  <w:r>
                    <w:rPr>
                      <w:rFonts w:ascii="Times New Roman" w:hAnsi="Times New Roman" w:eastAsia="宋体" w:cs="Times New Roman"/>
                      <w:spacing w:val="4"/>
                      <w:position w:val="-3"/>
                      <w:sz w:val="20"/>
                      <w:szCs w:val="20"/>
                    </w:rPr>
                    <w:t>m</w:t>
                  </w:r>
                  <w:r>
                    <w:rPr>
                      <w:rFonts w:ascii="Times New Roman" w:hAnsi="Times New Roman" w:eastAsia="宋体" w:cs="Times New Roman"/>
                      <w:spacing w:val="4"/>
                      <w:position w:val="3"/>
                      <w:sz w:val="13"/>
                      <w:szCs w:val="13"/>
                    </w:rPr>
                    <w:t>3</w:t>
                  </w:r>
                </w:p>
              </w:tc>
              <w:tc>
                <w:tcPr>
                  <w:tcW w:w="794" w:type="dxa"/>
                  <w:noWrap w:val="0"/>
                  <w:vAlign w:val="top"/>
                </w:tcPr>
                <w:p w14:paraId="0D8BB859">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940</w:t>
                  </w:r>
                </w:p>
              </w:tc>
              <w:tc>
                <w:tcPr>
                  <w:tcW w:w="1167" w:type="dxa"/>
                  <w:noWrap w:val="0"/>
                  <w:vAlign w:val="top"/>
                </w:tcPr>
                <w:p w14:paraId="6B5617AC">
                  <w:pPr>
                    <w:pStyle w:val="35"/>
                    <w:spacing w:before="35" w:line="218" w:lineRule="auto"/>
                    <w:jc w:val="center"/>
                    <w:rPr>
                      <w:rFonts w:ascii="Times New Roman" w:hAnsi="Times New Roman" w:eastAsia="宋体" w:cs="宋体"/>
                      <w:spacing w:val="3"/>
                      <w:sz w:val="21"/>
                      <w:szCs w:val="21"/>
                    </w:rPr>
                  </w:pPr>
                </w:p>
              </w:tc>
            </w:tr>
            <w:tr w14:paraId="73D6CE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706" w:type="dxa"/>
                  <w:noWrap w:val="0"/>
                  <w:vAlign w:val="top"/>
                </w:tcPr>
                <w:p w14:paraId="139F8EE1">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12</w:t>
                  </w:r>
                </w:p>
              </w:tc>
              <w:tc>
                <w:tcPr>
                  <w:tcW w:w="4506" w:type="dxa"/>
                  <w:noWrap w:val="0"/>
                  <w:vAlign w:val="top"/>
                </w:tcPr>
                <w:p w14:paraId="0CFD15CB">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C30 钢筋砼盖板</w:t>
                  </w:r>
                </w:p>
              </w:tc>
              <w:tc>
                <w:tcPr>
                  <w:tcW w:w="763" w:type="dxa"/>
                  <w:noWrap w:val="0"/>
                  <w:vAlign w:val="top"/>
                </w:tcPr>
                <w:p w14:paraId="166D8E13">
                  <w:pPr>
                    <w:spacing w:before="65" w:line="210" w:lineRule="auto"/>
                    <w:ind w:left="322"/>
                    <w:rPr>
                      <w:rFonts w:ascii="Times New Roman" w:hAnsi="Times New Roman" w:eastAsia="宋体" w:cs="Times New Roman"/>
                      <w:sz w:val="13"/>
                      <w:szCs w:val="13"/>
                    </w:rPr>
                  </w:pPr>
                  <w:r>
                    <w:rPr>
                      <w:rFonts w:ascii="Times New Roman" w:hAnsi="Times New Roman" w:eastAsia="宋体" w:cs="Times New Roman"/>
                      <w:spacing w:val="4"/>
                      <w:position w:val="-3"/>
                      <w:sz w:val="20"/>
                      <w:szCs w:val="20"/>
                    </w:rPr>
                    <w:t>m</w:t>
                  </w:r>
                  <w:r>
                    <w:rPr>
                      <w:rFonts w:ascii="Times New Roman" w:hAnsi="Times New Roman" w:eastAsia="宋体" w:cs="Times New Roman"/>
                      <w:spacing w:val="4"/>
                      <w:position w:val="3"/>
                      <w:sz w:val="13"/>
                      <w:szCs w:val="13"/>
                    </w:rPr>
                    <w:t>3</w:t>
                  </w:r>
                </w:p>
              </w:tc>
              <w:tc>
                <w:tcPr>
                  <w:tcW w:w="794" w:type="dxa"/>
                  <w:noWrap w:val="0"/>
                  <w:vAlign w:val="top"/>
                </w:tcPr>
                <w:p w14:paraId="58DFD9D7">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411</w:t>
                  </w:r>
                </w:p>
              </w:tc>
              <w:tc>
                <w:tcPr>
                  <w:tcW w:w="1167" w:type="dxa"/>
                  <w:noWrap w:val="0"/>
                  <w:vAlign w:val="top"/>
                </w:tcPr>
                <w:p w14:paraId="68E708CD">
                  <w:pPr>
                    <w:pStyle w:val="35"/>
                    <w:spacing w:before="35" w:line="218" w:lineRule="auto"/>
                    <w:jc w:val="center"/>
                    <w:rPr>
                      <w:rFonts w:ascii="Times New Roman" w:hAnsi="Times New Roman" w:eastAsia="宋体" w:cs="宋体"/>
                      <w:spacing w:val="3"/>
                      <w:sz w:val="21"/>
                      <w:szCs w:val="21"/>
                    </w:rPr>
                  </w:pPr>
                </w:p>
              </w:tc>
            </w:tr>
            <w:tr w14:paraId="1A5B38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706" w:type="dxa"/>
                  <w:noWrap w:val="0"/>
                  <w:vAlign w:val="top"/>
                </w:tcPr>
                <w:p w14:paraId="569D35D6">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13</w:t>
                  </w:r>
                </w:p>
              </w:tc>
              <w:tc>
                <w:tcPr>
                  <w:tcW w:w="4506" w:type="dxa"/>
                  <w:noWrap w:val="0"/>
                  <w:vAlign w:val="top"/>
                </w:tcPr>
                <w:p w14:paraId="0771188A">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C30 混凝土池壁</w:t>
                  </w:r>
                </w:p>
              </w:tc>
              <w:tc>
                <w:tcPr>
                  <w:tcW w:w="763" w:type="dxa"/>
                  <w:noWrap w:val="0"/>
                  <w:vAlign w:val="top"/>
                </w:tcPr>
                <w:p w14:paraId="07A5C56E">
                  <w:pPr>
                    <w:spacing w:before="66" w:line="209" w:lineRule="auto"/>
                    <w:ind w:left="322"/>
                    <w:rPr>
                      <w:rFonts w:ascii="Times New Roman" w:hAnsi="Times New Roman" w:eastAsia="宋体" w:cs="Times New Roman"/>
                      <w:sz w:val="13"/>
                      <w:szCs w:val="13"/>
                    </w:rPr>
                  </w:pPr>
                  <w:r>
                    <w:rPr>
                      <w:rFonts w:ascii="Times New Roman" w:hAnsi="Times New Roman" w:eastAsia="宋体" w:cs="Times New Roman"/>
                      <w:spacing w:val="4"/>
                      <w:position w:val="-3"/>
                      <w:sz w:val="20"/>
                      <w:szCs w:val="20"/>
                    </w:rPr>
                    <w:t>m</w:t>
                  </w:r>
                  <w:r>
                    <w:rPr>
                      <w:rFonts w:ascii="Times New Roman" w:hAnsi="Times New Roman" w:eastAsia="宋体" w:cs="Times New Roman"/>
                      <w:spacing w:val="4"/>
                      <w:position w:val="3"/>
                      <w:sz w:val="13"/>
                      <w:szCs w:val="13"/>
                    </w:rPr>
                    <w:t>3</w:t>
                  </w:r>
                </w:p>
              </w:tc>
              <w:tc>
                <w:tcPr>
                  <w:tcW w:w="794" w:type="dxa"/>
                  <w:noWrap w:val="0"/>
                  <w:vAlign w:val="top"/>
                </w:tcPr>
                <w:p w14:paraId="636F6470">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548</w:t>
                  </w:r>
                </w:p>
              </w:tc>
              <w:tc>
                <w:tcPr>
                  <w:tcW w:w="1167" w:type="dxa"/>
                  <w:noWrap w:val="0"/>
                  <w:vAlign w:val="top"/>
                </w:tcPr>
                <w:p w14:paraId="53C0C936">
                  <w:pPr>
                    <w:pStyle w:val="35"/>
                    <w:spacing w:before="35" w:line="218" w:lineRule="auto"/>
                    <w:jc w:val="center"/>
                    <w:rPr>
                      <w:rFonts w:ascii="Times New Roman" w:hAnsi="Times New Roman" w:eastAsia="宋体" w:cs="宋体"/>
                      <w:spacing w:val="3"/>
                      <w:sz w:val="21"/>
                      <w:szCs w:val="21"/>
                    </w:rPr>
                  </w:pPr>
                </w:p>
              </w:tc>
            </w:tr>
            <w:tr w14:paraId="081E51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706" w:type="dxa"/>
                  <w:noWrap w:val="0"/>
                  <w:vAlign w:val="top"/>
                </w:tcPr>
                <w:p w14:paraId="10259D14">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14</w:t>
                  </w:r>
                </w:p>
              </w:tc>
              <w:tc>
                <w:tcPr>
                  <w:tcW w:w="4506" w:type="dxa"/>
                  <w:noWrap w:val="0"/>
                  <w:vAlign w:val="top"/>
                </w:tcPr>
                <w:p w14:paraId="3E975881">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C30 混凝土池底</w:t>
                  </w:r>
                </w:p>
              </w:tc>
              <w:tc>
                <w:tcPr>
                  <w:tcW w:w="763" w:type="dxa"/>
                  <w:noWrap w:val="0"/>
                  <w:vAlign w:val="top"/>
                </w:tcPr>
                <w:p w14:paraId="3FC9107C">
                  <w:pPr>
                    <w:spacing w:before="65" w:line="210" w:lineRule="auto"/>
                    <w:ind w:left="322"/>
                    <w:rPr>
                      <w:rFonts w:ascii="Times New Roman" w:hAnsi="Times New Roman" w:eastAsia="宋体" w:cs="Times New Roman"/>
                      <w:sz w:val="13"/>
                      <w:szCs w:val="13"/>
                    </w:rPr>
                  </w:pPr>
                  <w:r>
                    <w:rPr>
                      <w:rFonts w:ascii="Times New Roman" w:hAnsi="Times New Roman" w:eastAsia="宋体" w:cs="Times New Roman"/>
                      <w:spacing w:val="4"/>
                      <w:position w:val="-3"/>
                      <w:sz w:val="20"/>
                      <w:szCs w:val="20"/>
                    </w:rPr>
                    <w:t>m</w:t>
                  </w:r>
                  <w:r>
                    <w:rPr>
                      <w:rFonts w:ascii="Times New Roman" w:hAnsi="Times New Roman" w:eastAsia="宋体" w:cs="Times New Roman"/>
                      <w:spacing w:val="4"/>
                      <w:position w:val="3"/>
                      <w:sz w:val="13"/>
                      <w:szCs w:val="13"/>
                    </w:rPr>
                    <w:t>3</w:t>
                  </w:r>
                </w:p>
              </w:tc>
              <w:tc>
                <w:tcPr>
                  <w:tcW w:w="794" w:type="dxa"/>
                  <w:noWrap w:val="0"/>
                  <w:vAlign w:val="top"/>
                </w:tcPr>
                <w:p w14:paraId="0A44F174">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1585</w:t>
                  </w:r>
                </w:p>
              </w:tc>
              <w:tc>
                <w:tcPr>
                  <w:tcW w:w="1167" w:type="dxa"/>
                  <w:noWrap w:val="0"/>
                  <w:vAlign w:val="top"/>
                </w:tcPr>
                <w:p w14:paraId="624C64BC">
                  <w:pPr>
                    <w:pStyle w:val="35"/>
                    <w:spacing w:before="35" w:line="218" w:lineRule="auto"/>
                    <w:jc w:val="center"/>
                    <w:rPr>
                      <w:rFonts w:ascii="Times New Roman" w:hAnsi="Times New Roman" w:eastAsia="宋体" w:cs="宋体"/>
                      <w:spacing w:val="3"/>
                      <w:sz w:val="21"/>
                      <w:szCs w:val="21"/>
                    </w:rPr>
                  </w:pPr>
                </w:p>
              </w:tc>
            </w:tr>
            <w:tr w14:paraId="1DCFC8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706" w:type="dxa"/>
                  <w:noWrap w:val="0"/>
                  <w:vAlign w:val="top"/>
                </w:tcPr>
                <w:p w14:paraId="52B6A6B2">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15</w:t>
                  </w:r>
                </w:p>
              </w:tc>
              <w:tc>
                <w:tcPr>
                  <w:tcW w:w="4506" w:type="dxa"/>
                  <w:noWrap w:val="0"/>
                  <w:vAlign w:val="top"/>
                </w:tcPr>
                <w:p w14:paraId="718FB925">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钢筋制安</w:t>
                  </w:r>
                </w:p>
              </w:tc>
              <w:tc>
                <w:tcPr>
                  <w:tcW w:w="763" w:type="dxa"/>
                  <w:noWrap w:val="0"/>
                  <w:vAlign w:val="top"/>
                </w:tcPr>
                <w:p w14:paraId="3EA254AC">
                  <w:pPr>
                    <w:spacing w:before="102" w:line="172" w:lineRule="auto"/>
                    <w:ind w:left="409"/>
                    <w:rPr>
                      <w:rFonts w:ascii="Times New Roman" w:hAnsi="Times New Roman" w:eastAsia="宋体" w:cs="Times New Roman"/>
                      <w:sz w:val="20"/>
                      <w:szCs w:val="20"/>
                    </w:rPr>
                  </w:pPr>
                  <w:r>
                    <w:rPr>
                      <w:rFonts w:ascii="Times New Roman" w:hAnsi="Times New Roman" w:eastAsia="宋体" w:cs="Times New Roman"/>
                      <w:sz w:val="20"/>
                      <w:szCs w:val="20"/>
                    </w:rPr>
                    <w:t>t</w:t>
                  </w:r>
                </w:p>
              </w:tc>
              <w:tc>
                <w:tcPr>
                  <w:tcW w:w="794" w:type="dxa"/>
                  <w:noWrap w:val="0"/>
                  <w:vAlign w:val="top"/>
                </w:tcPr>
                <w:p w14:paraId="72705308">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206.45</w:t>
                  </w:r>
                </w:p>
              </w:tc>
              <w:tc>
                <w:tcPr>
                  <w:tcW w:w="1167" w:type="dxa"/>
                  <w:noWrap w:val="0"/>
                  <w:vAlign w:val="top"/>
                </w:tcPr>
                <w:p w14:paraId="19279E76">
                  <w:pPr>
                    <w:pStyle w:val="35"/>
                    <w:spacing w:before="35" w:line="218" w:lineRule="auto"/>
                    <w:jc w:val="center"/>
                    <w:rPr>
                      <w:rFonts w:ascii="Times New Roman" w:hAnsi="Times New Roman" w:eastAsia="宋体" w:cs="宋体"/>
                      <w:spacing w:val="3"/>
                      <w:sz w:val="21"/>
                      <w:szCs w:val="21"/>
                    </w:rPr>
                  </w:pPr>
                </w:p>
              </w:tc>
            </w:tr>
            <w:tr w14:paraId="0E21D6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706" w:type="dxa"/>
                  <w:noWrap w:val="0"/>
                  <w:vAlign w:val="top"/>
                </w:tcPr>
                <w:p w14:paraId="69C2FF3B">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16</w:t>
                  </w:r>
                </w:p>
              </w:tc>
              <w:tc>
                <w:tcPr>
                  <w:tcW w:w="4506" w:type="dxa"/>
                  <w:noWrap w:val="0"/>
                  <w:vAlign w:val="top"/>
                </w:tcPr>
                <w:p w14:paraId="313C26C5">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模板</w:t>
                  </w:r>
                </w:p>
              </w:tc>
              <w:tc>
                <w:tcPr>
                  <w:tcW w:w="763" w:type="dxa"/>
                  <w:noWrap w:val="0"/>
                  <w:vAlign w:val="top"/>
                </w:tcPr>
                <w:p w14:paraId="0F4FB956">
                  <w:pPr>
                    <w:spacing w:before="65" w:line="210" w:lineRule="auto"/>
                    <w:ind w:left="322"/>
                    <w:rPr>
                      <w:rFonts w:ascii="Times New Roman" w:hAnsi="Times New Roman" w:eastAsia="宋体" w:cs="Times New Roman"/>
                      <w:sz w:val="13"/>
                      <w:szCs w:val="13"/>
                    </w:rPr>
                  </w:pPr>
                  <w:r>
                    <w:rPr>
                      <w:rFonts w:ascii="Times New Roman" w:hAnsi="Times New Roman" w:eastAsia="宋体" w:cs="Times New Roman"/>
                      <w:spacing w:val="4"/>
                      <w:position w:val="-3"/>
                      <w:sz w:val="20"/>
                      <w:szCs w:val="20"/>
                    </w:rPr>
                    <w:t>m</w:t>
                  </w:r>
                  <w:r>
                    <w:rPr>
                      <w:rFonts w:ascii="Times New Roman" w:hAnsi="Times New Roman" w:eastAsia="宋体" w:cs="Times New Roman"/>
                      <w:spacing w:val="4"/>
                      <w:position w:val="3"/>
                      <w:sz w:val="13"/>
                      <w:szCs w:val="13"/>
                    </w:rPr>
                    <w:t>2</w:t>
                  </w:r>
                </w:p>
              </w:tc>
              <w:tc>
                <w:tcPr>
                  <w:tcW w:w="794" w:type="dxa"/>
                  <w:noWrap w:val="0"/>
                  <w:vAlign w:val="top"/>
                </w:tcPr>
                <w:p w14:paraId="37F893BD">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4554</w:t>
                  </w:r>
                </w:p>
              </w:tc>
              <w:tc>
                <w:tcPr>
                  <w:tcW w:w="1167" w:type="dxa"/>
                  <w:noWrap w:val="0"/>
                  <w:vAlign w:val="top"/>
                </w:tcPr>
                <w:p w14:paraId="721EEABD">
                  <w:pPr>
                    <w:pStyle w:val="35"/>
                    <w:spacing w:before="35" w:line="218" w:lineRule="auto"/>
                    <w:jc w:val="center"/>
                    <w:rPr>
                      <w:rFonts w:ascii="Times New Roman" w:hAnsi="Times New Roman" w:eastAsia="宋体" w:cs="宋体"/>
                      <w:spacing w:val="3"/>
                      <w:sz w:val="21"/>
                      <w:szCs w:val="21"/>
                    </w:rPr>
                  </w:pPr>
                </w:p>
              </w:tc>
            </w:tr>
            <w:tr w14:paraId="469B13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706" w:type="dxa"/>
                  <w:noWrap w:val="0"/>
                  <w:vAlign w:val="top"/>
                </w:tcPr>
                <w:p w14:paraId="2E8B67CB">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17</w:t>
                  </w:r>
                </w:p>
              </w:tc>
              <w:tc>
                <w:tcPr>
                  <w:tcW w:w="4506" w:type="dxa"/>
                  <w:noWrap w:val="0"/>
                  <w:vAlign w:val="top"/>
                </w:tcPr>
                <w:p w14:paraId="6F30E2CF">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伸缩缝</w:t>
                  </w:r>
                </w:p>
              </w:tc>
              <w:tc>
                <w:tcPr>
                  <w:tcW w:w="763" w:type="dxa"/>
                  <w:noWrap w:val="0"/>
                  <w:vAlign w:val="top"/>
                </w:tcPr>
                <w:p w14:paraId="29DACC6B">
                  <w:pPr>
                    <w:spacing w:before="132" w:line="135" w:lineRule="exact"/>
                    <w:ind w:left="356"/>
                    <w:rPr>
                      <w:rFonts w:ascii="Times New Roman" w:hAnsi="Times New Roman" w:eastAsia="宋体" w:cs="Times New Roman"/>
                      <w:sz w:val="20"/>
                      <w:szCs w:val="20"/>
                    </w:rPr>
                  </w:pPr>
                  <w:r>
                    <w:rPr>
                      <w:rFonts w:ascii="Times New Roman" w:hAnsi="Times New Roman" w:eastAsia="宋体" w:cs="Times New Roman"/>
                      <w:spacing w:val="5"/>
                      <w:position w:val="-1"/>
                      <w:sz w:val="20"/>
                      <w:szCs w:val="20"/>
                    </w:rPr>
                    <w:t>m</w:t>
                  </w:r>
                </w:p>
              </w:tc>
              <w:tc>
                <w:tcPr>
                  <w:tcW w:w="794" w:type="dxa"/>
                  <w:noWrap w:val="0"/>
                  <w:vAlign w:val="top"/>
                </w:tcPr>
                <w:p w14:paraId="671BE2A0">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176</w:t>
                  </w:r>
                </w:p>
              </w:tc>
              <w:tc>
                <w:tcPr>
                  <w:tcW w:w="1167" w:type="dxa"/>
                  <w:noWrap w:val="0"/>
                  <w:vAlign w:val="top"/>
                </w:tcPr>
                <w:p w14:paraId="2DA6CF95">
                  <w:pPr>
                    <w:pStyle w:val="35"/>
                    <w:spacing w:before="35" w:line="218" w:lineRule="auto"/>
                    <w:jc w:val="center"/>
                    <w:rPr>
                      <w:rFonts w:ascii="Times New Roman" w:hAnsi="Times New Roman" w:eastAsia="宋体" w:cs="宋体"/>
                      <w:spacing w:val="3"/>
                      <w:sz w:val="21"/>
                      <w:szCs w:val="21"/>
                    </w:rPr>
                  </w:pPr>
                </w:p>
              </w:tc>
            </w:tr>
            <w:tr w14:paraId="3C16BB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706" w:type="dxa"/>
                  <w:noWrap w:val="0"/>
                  <w:vAlign w:val="top"/>
                </w:tcPr>
                <w:p w14:paraId="7DBFA469">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18</w:t>
                  </w:r>
                </w:p>
              </w:tc>
              <w:tc>
                <w:tcPr>
                  <w:tcW w:w="4506" w:type="dxa"/>
                  <w:noWrap w:val="0"/>
                  <w:vAlign w:val="top"/>
                </w:tcPr>
                <w:p w14:paraId="55F322A0">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自来水管线迁移</w:t>
                  </w:r>
                </w:p>
              </w:tc>
              <w:tc>
                <w:tcPr>
                  <w:tcW w:w="763" w:type="dxa"/>
                  <w:noWrap w:val="0"/>
                  <w:vAlign w:val="top"/>
                </w:tcPr>
                <w:p w14:paraId="3AF6AF52">
                  <w:pPr>
                    <w:spacing w:before="130" w:line="137" w:lineRule="exact"/>
                    <w:ind w:left="356"/>
                    <w:rPr>
                      <w:rFonts w:ascii="Times New Roman" w:hAnsi="Times New Roman" w:eastAsia="宋体" w:cs="Times New Roman"/>
                      <w:sz w:val="20"/>
                      <w:szCs w:val="20"/>
                    </w:rPr>
                  </w:pPr>
                  <w:r>
                    <w:rPr>
                      <w:rFonts w:ascii="Times New Roman" w:hAnsi="Times New Roman" w:eastAsia="宋体" w:cs="Times New Roman"/>
                      <w:spacing w:val="5"/>
                      <w:position w:val="-1"/>
                      <w:sz w:val="20"/>
                      <w:szCs w:val="20"/>
                    </w:rPr>
                    <w:t>m</w:t>
                  </w:r>
                </w:p>
              </w:tc>
              <w:tc>
                <w:tcPr>
                  <w:tcW w:w="794" w:type="dxa"/>
                  <w:noWrap w:val="0"/>
                  <w:vAlign w:val="top"/>
                </w:tcPr>
                <w:p w14:paraId="5D895439">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300</w:t>
                  </w:r>
                </w:p>
              </w:tc>
              <w:tc>
                <w:tcPr>
                  <w:tcW w:w="1167" w:type="dxa"/>
                  <w:noWrap w:val="0"/>
                  <w:vAlign w:val="top"/>
                </w:tcPr>
                <w:p w14:paraId="6006C26E">
                  <w:pPr>
                    <w:pStyle w:val="35"/>
                    <w:spacing w:before="35" w:line="218" w:lineRule="auto"/>
                    <w:jc w:val="center"/>
                    <w:rPr>
                      <w:rFonts w:ascii="Times New Roman" w:hAnsi="Times New Roman" w:eastAsia="宋体" w:cs="宋体"/>
                      <w:spacing w:val="3"/>
                      <w:sz w:val="21"/>
                      <w:szCs w:val="21"/>
                    </w:rPr>
                  </w:pPr>
                </w:p>
              </w:tc>
            </w:tr>
            <w:tr w14:paraId="7352BE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706" w:type="dxa"/>
                  <w:noWrap w:val="0"/>
                  <w:vAlign w:val="top"/>
                </w:tcPr>
                <w:p w14:paraId="35F957C7">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19</w:t>
                  </w:r>
                </w:p>
              </w:tc>
              <w:tc>
                <w:tcPr>
                  <w:tcW w:w="4506" w:type="dxa"/>
                  <w:noWrap w:val="0"/>
                  <w:vAlign w:val="top"/>
                </w:tcPr>
                <w:p w14:paraId="372004CE">
                  <w:pPr>
                    <w:pStyle w:val="35"/>
                    <w:spacing w:before="35" w:line="218" w:lineRule="auto"/>
                    <w:jc w:val="center"/>
                    <w:rPr>
                      <w:rFonts w:hint="default" w:ascii="Times New Roman" w:hAnsi="Times New Roman" w:eastAsia="宋体" w:cs="宋体"/>
                      <w:spacing w:val="3"/>
                      <w:sz w:val="21"/>
                      <w:szCs w:val="21"/>
                      <w:lang w:val="en-US" w:eastAsia="zh-CN"/>
                    </w:rPr>
                  </w:pPr>
                  <w:r>
                    <w:rPr>
                      <w:rFonts w:ascii="Times New Roman" w:hAnsi="Times New Roman" w:eastAsia="宋体" w:cs="宋体"/>
                      <w:spacing w:val="3"/>
                      <w:sz w:val="21"/>
                      <w:szCs w:val="21"/>
                    </w:rPr>
                    <w:t>新建</w:t>
                  </w:r>
                  <w:r>
                    <w:rPr>
                      <w:rFonts w:hint="eastAsia" w:ascii="Times New Roman" w:hAnsi="Times New Roman" w:eastAsia="宋体" w:cs="宋体"/>
                      <w:spacing w:val="3"/>
                      <w:sz w:val="21"/>
                      <w:szCs w:val="21"/>
                      <w:lang w:val="en-US" w:eastAsia="zh-CN"/>
                    </w:rPr>
                    <w:t>堤顶道路</w:t>
                  </w:r>
                </w:p>
              </w:tc>
              <w:tc>
                <w:tcPr>
                  <w:tcW w:w="763" w:type="dxa"/>
                  <w:noWrap w:val="0"/>
                  <w:vAlign w:val="top"/>
                </w:tcPr>
                <w:p w14:paraId="7BD07BEB">
                  <w:pPr>
                    <w:spacing w:before="131" w:line="135" w:lineRule="exact"/>
                    <w:ind w:left="356"/>
                    <w:rPr>
                      <w:rFonts w:ascii="Times New Roman" w:hAnsi="Times New Roman" w:eastAsia="宋体" w:cs="Times New Roman"/>
                      <w:sz w:val="20"/>
                      <w:szCs w:val="20"/>
                    </w:rPr>
                  </w:pPr>
                  <w:r>
                    <w:rPr>
                      <w:rFonts w:ascii="Times New Roman" w:hAnsi="Times New Roman" w:eastAsia="宋体" w:cs="Times New Roman"/>
                      <w:spacing w:val="5"/>
                      <w:position w:val="-1"/>
                      <w:sz w:val="20"/>
                      <w:szCs w:val="20"/>
                    </w:rPr>
                    <w:t>m</w:t>
                  </w:r>
                </w:p>
              </w:tc>
              <w:tc>
                <w:tcPr>
                  <w:tcW w:w="794" w:type="dxa"/>
                  <w:noWrap w:val="0"/>
                  <w:vAlign w:val="top"/>
                </w:tcPr>
                <w:p w14:paraId="75371B1A">
                  <w:pPr>
                    <w:pStyle w:val="35"/>
                    <w:spacing w:before="35" w:line="218" w:lineRule="auto"/>
                    <w:jc w:val="center"/>
                    <w:rPr>
                      <w:rFonts w:ascii="Times New Roman" w:hAnsi="Times New Roman" w:eastAsia="宋体" w:cs="宋体"/>
                      <w:spacing w:val="3"/>
                      <w:sz w:val="21"/>
                      <w:szCs w:val="21"/>
                    </w:rPr>
                  </w:pPr>
                  <w:r>
                    <w:rPr>
                      <w:rFonts w:hint="eastAsia" w:ascii="Times New Roman" w:hAnsi="Times New Roman" w:eastAsia="宋体" w:cs="宋体"/>
                      <w:spacing w:val="3"/>
                      <w:sz w:val="21"/>
                      <w:szCs w:val="21"/>
                      <w:lang w:val="en-US" w:eastAsia="zh-CN"/>
                    </w:rPr>
                    <w:t>5</w:t>
                  </w:r>
                  <w:r>
                    <w:rPr>
                      <w:rFonts w:ascii="Times New Roman" w:hAnsi="Times New Roman" w:eastAsia="宋体" w:cs="宋体"/>
                      <w:spacing w:val="3"/>
                      <w:sz w:val="21"/>
                      <w:szCs w:val="21"/>
                    </w:rPr>
                    <w:t>70</w:t>
                  </w:r>
                </w:p>
              </w:tc>
              <w:tc>
                <w:tcPr>
                  <w:tcW w:w="1167" w:type="dxa"/>
                  <w:noWrap w:val="0"/>
                  <w:vAlign w:val="top"/>
                </w:tcPr>
                <w:p w14:paraId="600DA800">
                  <w:pPr>
                    <w:pStyle w:val="35"/>
                    <w:spacing w:before="35" w:line="218" w:lineRule="auto"/>
                    <w:jc w:val="center"/>
                    <w:rPr>
                      <w:rFonts w:ascii="Times New Roman" w:hAnsi="Times New Roman" w:eastAsia="宋体" w:cs="宋体"/>
                      <w:spacing w:val="3"/>
                      <w:sz w:val="21"/>
                      <w:szCs w:val="21"/>
                    </w:rPr>
                  </w:pPr>
                </w:p>
              </w:tc>
            </w:tr>
            <w:tr w14:paraId="0F8084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706" w:type="dxa"/>
                  <w:noWrap w:val="0"/>
                  <w:vAlign w:val="top"/>
                </w:tcPr>
                <w:p w14:paraId="5C781880">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20</w:t>
                  </w:r>
                </w:p>
              </w:tc>
              <w:tc>
                <w:tcPr>
                  <w:tcW w:w="4506" w:type="dxa"/>
                  <w:noWrap w:val="0"/>
                  <w:vAlign w:val="top"/>
                </w:tcPr>
                <w:p w14:paraId="4FC69C79">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千屈菜（50 株/㎡ ，高度10～20cm，养护三年）</w:t>
                  </w:r>
                </w:p>
              </w:tc>
              <w:tc>
                <w:tcPr>
                  <w:tcW w:w="763" w:type="dxa"/>
                  <w:noWrap w:val="0"/>
                  <w:vAlign w:val="top"/>
                </w:tcPr>
                <w:p w14:paraId="588D3DA5">
                  <w:pPr>
                    <w:spacing w:before="66" w:line="209" w:lineRule="auto"/>
                    <w:ind w:left="322"/>
                    <w:rPr>
                      <w:rFonts w:ascii="Times New Roman" w:hAnsi="Times New Roman" w:eastAsia="宋体" w:cs="Times New Roman"/>
                      <w:sz w:val="13"/>
                      <w:szCs w:val="13"/>
                    </w:rPr>
                  </w:pPr>
                  <w:r>
                    <w:rPr>
                      <w:rFonts w:ascii="Times New Roman" w:hAnsi="Times New Roman" w:eastAsia="宋体" w:cs="Times New Roman"/>
                      <w:spacing w:val="4"/>
                      <w:position w:val="-3"/>
                      <w:sz w:val="20"/>
                      <w:szCs w:val="20"/>
                    </w:rPr>
                    <w:t>m</w:t>
                  </w:r>
                  <w:r>
                    <w:rPr>
                      <w:rFonts w:ascii="Times New Roman" w:hAnsi="Times New Roman" w:eastAsia="宋体" w:cs="Times New Roman"/>
                      <w:spacing w:val="4"/>
                      <w:position w:val="3"/>
                      <w:sz w:val="13"/>
                      <w:szCs w:val="13"/>
                    </w:rPr>
                    <w:t>2</w:t>
                  </w:r>
                </w:p>
              </w:tc>
              <w:tc>
                <w:tcPr>
                  <w:tcW w:w="794" w:type="dxa"/>
                  <w:noWrap w:val="0"/>
                  <w:vAlign w:val="top"/>
                </w:tcPr>
                <w:p w14:paraId="139E1111">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210</w:t>
                  </w:r>
                </w:p>
              </w:tc>
              <w:tc>
                <w:tcPr>
                  <w:tcW w:w="1167" w:type="dxa"/>
                  <w:noWrap w:val="0"/>
                  <w:vAlign w:val="top"/>
                </w:tcPr>
                <w:p w14:paraId="30E9C8CD">
                  <w:pPr>
                    <w:pStyle w:val="35"/>
                    <w:spacing w:before="35" w:line="218" w:lineRule="auto"/>
                    <w:jc w:val="center"/>
                    <w:rPr>
                      <w:rFonts w:ascii="Times New Roman" w:hAnsi="Times New Roman" w:eastAsia="宋体" w:cs="宋体"/>
                      <w:spacing w:val="3"/>
                      <w:sz w:val="21"/>
                      <w:szCs w:val="21"/>
                    </w:rPr>
                  </w:pPr>
                </w:p>
              </w:tc>
            </w:tr>
            <w:tr w14:paraId="410D01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706" w:type="dxa"/>
                  <w:noWrap w:val="0"/>
                  <w:vAlign w:val="top"/>
                </w:tcPr>
                <w:p w14:paraId="454A09FB">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21</w:t>
                  </w:r>
                </w:p>
              </w:tc>
              <w:tc>
                <w:tcPr>
                  <w:tcW w:w="4506" w:type="dxa"/>
                  <w:noWrap w:val="0"/>
                  <w:vAlign w:val="top"/>
                </w:tcPr>
                <w:p w14:paraId="5DF4A033">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金叶石菖蒲（60 株/㎡，高度10～20cm，养护三年）</w:t>
                  </w:r>
                </w:p>
              </w:tc>
              <w:tc>
                <w:tcPr>
                  <w:tcW w:w="763" w:type="dxa"/>
                  <w:noWrap w:val="0"/>
                  <w:vAlign w:val="top"/>
                </w:tcPr>
                <w:p w14:paraId="522AAF25">
                  <w:pPr>
                    <w:spacing w:before="65" w:line="210" w:lineRule="auto"/>
                    <w:ind w:left="322"/>
                    <w:rPr>
                      <w:rFonts w:ascii="Times New Roman" w:hAnsi="Times New Roman" w:eastAsia="宋体" w:cs="Times New Roman"/>
                      <w:sz w:val="13"/>
                      <w:szCs w:val="13"/>
                    </w:rPr>
                  </w:pPr>
                  <w:r>
                    <w:rPr>
                      <w:rFonts w:ascii="Times New Roman" w:hAnsi="Times New Roman" w:eastAsia="宋体" w:cs="Times New Roman"/>
                      <w:spacing w:val="4"/>
                      <w:position w:val="-3"/>
                      <w:sz w:val="20"/>
                      <w:szCs w:val="20"/>
                    </w:rPr>
                    <w:t>m</w:t>
                  </w:r>
                  <w:r>
                    <w:rPr>
                      <w:rFonts w:ascii="Times New Roman" w:hAnsi="Times New Roman" w:eastAsia="宋体" w:cs="Times New Roman"/>
                      <w:spacing w:val="4"/>
                      <w:position w:val="3"/>
                      <w:sz w:val="13"/>
                      <w:szCs w:val="13"/>
                    </w:rPr>
                    <w:t>2</w:t>
                  </w:r>
                </w:p>
              </w:tc>
              <w:tc>
                <w:tcPr>
                  <w:tcW w:w="794" w:type="dxa"/>
                  <w:noWrap w:val="0"/>
                  <w:vAlign w:val="top"/>
                </w:tcPr>
                <w:p w14:paraId="07048FCE">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4293</w:t>
                  </w:r>
                </w:p>
              </w:tc>
              <w:tc>
                <w:tcPr>
                  <w:tcW w:w="1167" w:type="dxa"/>
                  <w:noWrap w:val="0"/>
                  <w:vAlign w:val="top"/>
                </w:tcPr>
                <w:p w14:paraId="2AABEEED">
                  <w:pPr>
                    <w:pStyle w:val="35"/>
                    <w:spacing w:before="35" w:line="218" w:lineRule="auto"/>
                    <w:jc w:val="center"/>
                    <w:rPr>
                      <w:rFonts w:ascii="Times New Roman" w:hAnsi="Times New Roman" w:eastAsia="宋体" w:cs="宋体"/>
                      <w:spacing w:val="3"/>
                      <w:sz w:val="21"/>
                      <w:szCs w:val="21"/>
                    </w:rPr>
                  </w:pPr>
                </w:p>
              </w:tc>
            </w:tr>
            <w:tr w14:paraId="4A2BA9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706" w:type="dxa"/>
                  <w:noWrap w:val="0"/>
                  <w:vAlign w:val="top"/>
                </w:tcPr>
                <w:p w14:paraId="3706DF6A">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22</w:t>
                  </w:r>
                </w:p>
              </w:tc>
              <w:tc>
                <w:tcPr>
                  <w:tcW w:w="4506" w:type="dxa"/>
                  <w:noWrap w:val="0"/>
                  <w:vAlign w:val="top"/>
                </w:tcPr>
                <w:p w14:paraId="1C4B86CE">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芦竹（40 株</w:t>
                  </w:r>
                  <w:r>
                    <w:rPr>
                      <w:rFonts w:ascii="Times New Roman" w:hAnsi="Times New Roman" w:eastAsia="宋体" w:cs="宋体"/>
                      <w:spacing w:val="6"/>
                      <w:sz w:val="21"/>
                      <w:szCs w:val="21"/>
                    </w:rPr>
                    <w:t>/㎡</w:t>
                  </w:r>
                  <w:r>
                    <w:rPr>
                      <w:rFonts w:ascii="Times New Roman" w:hAnsi="Times New Roman" w:eastAsia="宋体" w:cs="宋体"/>
                      <w:spacing w:val="3"/>
                      <w:sz w:val="21"/>
                      <w:szCs w:val="21"/>
                    </w:rPr>
                    <w:t>，高度20～30cm，养护三年）</w:t>
                  </w:r>
                </w:p>
              </w:tc>
              <w:tc>
                <w:tcPr>
                  <w:tcW w:w="763" w:type="dxa"/>
                  <w:noWrap w:val="0"/>
                  <w:vAlign w:val="top"/>
                </w:tcPr>
                <w:p w14:paraId="155C086E">
                  <w:pPr>
                    <w:spacing w:before="66" w:line="210" w:lineRule="auto"/>
                    <w:ind w:left="322"/>
                    <w:rPr>
                      <w:rFonts w:ascii="Times New Roman" w:hAnsi="Times New Roman" w:eastAsia="宋体" w:cs="Times New Roman"/>
                      <w:sz w:val="13"/>
                      <w:szCs w:val="13"/>
                    </w:rPr>
                  </w:pPr>
                  <w:r>
                    <w:rPr>
                      <w:rFonts w:ascii="Times New Roman" w:hAnsi="Times New Roman" w:eastAsia="宋体" w:cs="Times New Roman"/>
                      <w:spacing w:val="4"/>
                      <w:position w:val="-3"/>
                      <w:sz w:val="20"/>
                      <w:szCs w:val="20"/>
                    </w:rPr>
                    <w:t>m</w:t>
                  </w:r>
                  <w:r>
                    <w:rPr>
                      <w:rFonts w:ascii="Times New Roman" w:hAnsi="Times New Roman" w:eastAsia="宋体" w:cs="Times New Roman"/>
                      <w:spacing w:val="4"/>
                      <w:position w:val="3"/>
                      <w:sz w:val="13"/>
                      <w:szCs w:val="13"/>
                    </w:rPr>
                    <w:t>2</w:t>
                  </w:r>
                </w:p>
              </w:tc>
              <w:tc>
                <w:tcPr>
                  <w:tcW w:w="794" w:type="dxa"/>
                  <w:noWrap w:val="0"/>
                  <w:vAlign w:val="top"/>
                </w:tcPr>
                <w:p w14:paraId="0BDFC41B">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650</w:t>
                  </w:r>
                </w:p>
              </w:tc>
              <w:tc>
                <w:tcPr>
                  <w:tcW w:w="1167" w:type="dxa"/>
                  <w:noWrap w:val="0"/>
                  <w:vAlign w:val="top"/>
                </w:tcPr>
                <w:p w14:paraId="099291FF">
                  <w:pPr>
                    <w:pStyle w:val="35"/>
                    <w:spacing w:before="35" w:line="218" w:lineRule="auto"/>
                    <w:jc w:val="center"/>
                    <w:rPr>
                      <w:rFonts w:ascii="Times New Roman" w:hAnsi="Times New Roman" w:eastAsia="宋体" w:cs="宋体"/>
                      <w:spacing w:val="3"/>
                      <w:sz w:val="21"/>
                      <w:szCs w:val="21"/>
                    </w:rPr>
                  </w:pPr>
                </w:p>
              </w:tc>
            </w:tr>
            <w:tr w14:paraId="7E9722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jc w:val="center"/>
              </w:trPr>
              <w:tc>
                <w:tcPr>
                  <w:tcW w:w="706" w:type="dxa"/>
                  <w:noWrap w:val="0"/>
                  <w:vAlign w:val="top"/>
                </w:tcPr>
                <w:p w14:paraId="4A6D5021">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23</w:t>
                  </w:r>
                </w:p>
              </w:tc>
              <w:tc>
                <w:tcPr>
                  <w:tcW w:w="4506" w:type="dxa"/>
                  <w:noWrap w:val="0"/>
                  <w:vAlign w:val="top"/>
                </w:tcPr>
                <w:p w14:paraId="3B05B886">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黄菖蒲（40株/㎡，植株高度10～20cm，养护三年）</w:t>
                  </w:r>
                </w:p>
              </w:tc>
              <w:tc>
                <w:tcPr>
                  <w:tcW w:w="763" w:type="dxa"/>
                  <w:noWrap w:val="0"/>
                  <w:vAlign w:val="top"/>
                </w:tcPr>
                <w:p w14:paraId="11F9A803">
                  <w:pPr>
                    <w:spacing w:before="67" w:line="210" w:lineRule="auto"/>
                    <w:ind w:left="322"/>
                    <w:rPr>
                      <w:rFonts w:ascii="Times New Roman" w:hAnsi="Times New Roman" w:eastAsia="宋体" w:cs="Times New Roman"/>
                      <w:sz w:val="13"/>
                      <w:szCs w:val="13"/>
                    </w:rPr>
                  </w:pPr>
                  <w:r>
                    <w:rPr>
                      <w:rFonts w:ascii="Times New Roman" w:hAnsi="Times New Roman" w:eastAsia="宋体" w:cs="Times New Roman"/>
                      <w:spacing w:val="4"/>
                      <w:position w:val="-3"/>
                      <w:sz w:val="20"/>
                      <w:szCs w:val="20"/>
                    </w:rPr>
                    <w:t>m</w:t>
                  </w:r>
                  <w:r>
                    <w:rPr>
                      <w:rFonts w:ascii="Times New Roman" w:hAnsi="Times New Roman" w:eastAsia="宋体" w:cs="Times New Roman"/>
                      <w:spacing w:val="4"/>
                      <w:position w:val="3"/>
                      <w:sz w:val="13"/>
                      <w:szCs w:val="13"/>
                    </w:rPr>
                    <w:t>2</w:t>
                  </w:r>
                </w:p>
              </w:tc>
              <w:tc>
                <w:tcPr>
                  <w:tcW w:w="794" w:type="dxa"/>
                  <w:noWrap w:val="0"/>
                  <w:vAlign w:val="top"/>
                </w:tcPr>
                <w:p w14:paraId="510A1E84">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398</w:t>
                  </w:r>
                </w:p>
              </w:tc>
              <w:tc>
                <w:tcPr>
                  <w:tcW w:w="1167" w:type="dxa"/>
                  <w:noWrap w:val="0"/>
                  <w:vAlign w:val="top"/>
                </w:tcPr>
                <w:p w14:paraId="2FCDF290">
                  <w:pPr>
                    <w:pStyle w:val="35"/>
                    <w:spacing w:before="35" w:line="218" w:lineRule="auto"/>
                    <w:jc w:val="center"/>
                    <w:rPr>
                      <w:rFonts w:ascii="Times New Roman" w:hAnsi="Times New Roman" w:eastAsia="宋体" w:cs="宋体"/>
                      <w:spacing w:val="3"/>
                      <w:sz w:val="21"/>
                      <w:szCs w:val="21"/>
                    </w:rPr>
                  </w:pPr>
                </w:p>
              </w:tc>
            </w:tr>
            <w:tr w14:paraId="6F9123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706" w:type="dxa"/>
                  <w:noWrap w:val="0"/>
                  <w:vAlign w:val="center"/>
                </w:tcPr>
                <w:p w14:paraId="29CA91B2">
                  <w:pPr>
                    <w:pStyle w:val="35"/>
                    <w:spacing w:before="35" w:line="240"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24</w:t>
                  </w:r>
                </w:p>
              </w:tc>
              <w:tc>
                <w:tcPr>
                  <w:tcW w:w="4506" w:type="dxa"/>
                  <w:noWrap w:val="0"/>
                  <w:vAlign w:val="center"/>
                </w:tcPr>
                <w:p w14:paraId="19423424">
                  <w:pPr>
                    <w:pStyle w:val="35"/>
                    <w:spacing w:before="35" w:line="240"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草籽护坡（匍匐翦股颖草籽15g/m²</w:t>
                  </w:r>
                  <w:r>
                    <w:rPr>
                      <w:rFonts w:hint="eastAsia" w:ascii="Times New Roman" w:hAnsi="Times New Roman" w:eastAsia="宋体" w:cs="宋体"/>
                      <w:spacing w:val="3"/>
                      <w:sz w:val="21"/>
                      <w:szCs w:val="21"/>
                      <w:lang w:eastAsia="zh-CN"/>
                    </w:rPr>
                    <w:t>，</w:t>
                  </w:r>
                  <w:r>
                    <w:rPr>
                      <w:rFonts w:ascii="Times New Roman" w:hAnsi="Times New Roman" w:eastAsia="宋体" w:cs="宋体"/>
                      <w:spacing w:val="3"/>
                      <w:sz w:val="21"/>
                      <w:szCs w:val="21"/>
                    </w:rPr>
                    <w:t>养护三年）</w:t>
                  </w:r>
                </w:p>
              </w:tc>
              <w:tc>
                <w:tcPr>
                  <w:tcW w:w="763" w:type="dxa"/>
                  <w:noWrap w:val="0"/>
                  <w:vAlign w:val="top"/>
                </w:tcPr>
                <w:p w14:paraId="40D77AF7">
                  <w:pPr>
                    <w:spacing w:before="63" w:line="212" w:lineRule="auto"/>
                    <w:ind w:left="322"/>
                    <w:rPr>
                      <w:rFonts w:ascii="Times New Roman" w:hAnsi="Times New Roman" w:eastAsia="宋体" w:cs="Times New Roman"/>
                      <w:sz w:val="21"/>
                      <w:szCs w:val="21"/>
                    </w:rPr>
                  </w:pPr>
                  <w:r>
                    <w:rPr>
                      <w:rFonts w:ascii="Times New Roman" w:hAnsi="Times New Roman" w:eastAsia="宋体" w:cs="Times New Roman"/>
                      <w:spacing w:val="4"/>
                      <w:position w:val="-3"/>
                      <w:sz w:val="21"/>
                      <w:szCs w:val="21"/>
                    </w:rPr>
                    <w:t>m</w:t>
                  </w:r>
                  <w:r>
                    <w:rPr>
                      <w:rFonts w:ascii="Times New Roman" w:hAnsi="Times New Roman" w:eastAsia="宋体" w:cs="Times New Roman"/>
                      <w:spacing w:val="4"/>
                      <w:position w:val="3"/>
                      <w:sz w:val="21"/>
                      <w:szCs w:val="21"/>
                    </w:rPr>
                    <w:t>2</w:t>
                  </w:r>
                </w:p>
              </w:tc>
              <w:tc>
                <w:tcPr>
                  <w:tcW w:w="794" w:type="dxa"/>
                  <w:noWrap w:val="0"/>
                  <w:vAlign w:val="top"/>
                </w:tcPr>
                <w:p w14:paraId="3AD7A4E3">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2439</w:t>
                  </w:r>
                </w:p>
              </w:tc>
              <w:tc>
                <w:tcPr>
                  <w:tcW w:w="1167" w:type="dxa"/>
                  <w:noWrap w:val="0"/>
                  <w:vAlign w:val="top"/>
                </w:tcPr>
                <w:p w14:paraId="55C21264">
                  <w:pPr>
                    <w:pStyle w:val="35"/>
                    <w:spacing w:before="35" w:line="218" w:lineRule="auto"/>
                    <w:jc w:val="center"/>
                    <w:rPr>
                      <w:rFonts w:ascii="Times New Roman" w:hAnsi="Times New Roman" w:eastAsia="宋体" w:cs="宋体"/>
                      <w:spacing w:val="3"/>
                      <w:sz w:val="21"/>
                      <w:szCs w:val="21"/>
                    </w:rPr>
                  </w:pPr>
                </w:p>
              </w:tc>
            </w:tr>
            <w:tr w14:paraId="088A47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706" w:type="dxa"/>
                  <w:noWrap w:val="0"/>
                  <w:vAlign w:val="center"/>
                </w:tcPr>
                <w:p w14:paraId="352C61BC">
                  <w:pPr>
                    <w:pStyle w:val="35"/>
                    <w:spacing w:before="35" w:line="240"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25</w:t>
                  </w:r>
                </w:p>
              </w:tc>
              <w:tc>
                <w:tcPr>
                  <w:tcW w:w="4506" w:type="dxa"/>
                  <w:noWrap w:val="0"/>
                  <w:vAlign w:val="center"/>
                </w:tcPr>
                <w:p w14:paraId="463457C7">
                  <w:pPr>
                    <w:pStyle w:val="35"/>
                    <w:spacing w:before="35" w:line="240"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冬青（80 株/㎡ ，高度 50～60cm，养护三年）</w:t>
                  </w:r>
                </w:p>
              </w:tc>
              <w:tc>
                <w:tcPr>
                  <w:tcW w:w="763" w:type="dxa"/>
                  <w:noWrap w:val="0"/>
                  <w:vAlign w:val="top"/>
                </w:tcPr>
                <w:p w14:paraId="428396F2">
                  <w:pPr>
                    <w:spacing w:before="64" w:line="211" w:lineRule="auto"/>
                    <w:ind w:left="322"/>
                    <w:rPr>
                      <w:rFonts w:ascii="Times New Roman" w:hAnsi="Times New Roman" w:eastAsia="宋体" w:cs="Times New Roman"/>
                      <w:sz w:val="21"/>
                      <w:szCs w:val="21"/>
                    </w:rPr>
                  </w:pPr>
                  <w:r>
                    <w:rPr>
                      <w:rFonts w:ascii="Times New Roman" w:hAnsi="Times New Roman" w:eastAsia="宋体" w:cs="Times New Roman"/>
                      <w:spacing w:val="4"/>
                      <w:position w:val="-3"/>
                      <w:sz w:val="21"/>
                      <w:szCs w:val="21"/>
                    </w:rPr>
                    <w:t>m</w:t>
                  </w:r>
                  <w:r>
                    <w:rPr>
                      <w:rFonts w:ascii="Times New Roman" w:hAnsi="Times New Roman" w:eastAsia="宋体" w:cs="Times New Roman"/>
                      <w:spacing w:val="4"/>
                      <w:position w:val="3"/>
                      <w:sz w:val="21"/>
                      <w:szCs w:val="21"/>
                    </w:rPr>
                    <w:t>2</w:t>
                  </w:r>
                </w:p>
              </w:tc>
              <w:tc>
                <w:tcPr>
                  <w:tcW w:w="794" w:type="dxa"/>
                  <w:noWrap w:val="0"/>
                  <w:vAlign w:val="top"/>
                </w:tcPr>
                <w:p w14:paraId="2B1E883D">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356</w:t>
                  </w:r>
                </w:p>
              </w:tc>
              <w:tc>
                <w:tcPr>
                  <w:tcW w:w="1167" w:type="dxa"/>
                  <w:noWrap w:val="0"/>
                  <w:vAlign w:val="top"/>
                </w:tcPr>
                <w:p w14:paraId="07212FE3">
                  <w:pPr>
                    <w:pStyle w:val="35"/>
                    <w:spacing w:before="35" w:line="218" w:lineRule="auto"/>
                    <w:jc w:val="center"/>
                    <w:rPr>
                      <w:rFonts w:ascii="Times New Roman" w:hAnsi="Times New Roman" w:eastAsia="宋体" w:cs="宋体"/>
                      <w:spacing w:val="3"/>
                      <w:sz w:val="21"/>
                      <w:szCs w:val="21"/>
                    </w:rPr>
                  </w:pPr>
                </w:p>
              </w:tc>
            </w:tr>
            <w:tr w14:paraId="154B8E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706" w:type="dxa"/>
                  <w:noWrap w:val="0"/>
                  <w:vAlign w:val="center"/>
                </w:tcPr>
                <w:p w14:paraId="0134A549">
                  <w:pPr>
                    <w:pStyle w:val="35"/>
                    <w:spacing w:before="35" w:line="240"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26</w:t>
                  </w:r>
                </w:p>
              </w:tc>
              <w:tc>
                <w:tcPr>
                  <w:tcW w:w="4506" w:type="dxa"/>
                  <w:noWrap w:val="0"/>
                  <w:vAlign w:val="center"/>
                </w:tcPr>
                <w:p w14:paraId="5E353878">
                  <w:pPr>
                    <w:pStyle w:val="35"/>
                    <w:spacing w:before="35" w:line="240"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布水井</w:t>
                  </w:r>
                </w:p>
              </w:tc>
              <w:tc>
                <w:tcPr>
                  <w:tcW w:w="763" w:type="dxa"/>
                  <w:noWrap w:val="0"/>
                  <w:vAlign w:val="top"/>
                </w:tcPr>
                <w:p w14:paraId="1D31BF97">
                  <w:pPr>
                    <w:pStyle w:val="35"/>
                    <w:spacing w:before="32" w:line="216" w:lineRule="auto"/>
                    <w:ind w:left="340"/>
                    <w:rPr>
                      <w:rFonts w:ascii="Times New Roman" w:hAnsi="Times New Roman" w:eastAsia="宋体"/>
                      <w:sz w:val="21"/>
                      <w:szCs w:val="21"/>
                    </w:rPr>
                  </w:pPr>
                  <w:r>
                    <w:rPr>
                      <w:rFonts w:ascii="Times New Roman" w:hAnsi="Times New Roman" w:eastAsia="宋体"/>
                      <w:sz w:val="21"/>
                      <w:szCs w:val="21"/>
                    </w:rPr>
                    <w:t>座</w:t>
                  </w:r>
                </w:p>
              </w:tc>
              <w:tc>
                <w:tcPr>
                  <w:tcW w:w="794" w:type="dxa"/>
                  <w:noWrap w:val="0"/>
                  <w:vAlign w:val="top"/>
                </w:tcPr>
                <w:p w14:paraId="4D1CAD05">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4</w:t>
                  </w:r>
                </w:p>
              </w:tc>
              <w:tc>
                <w:tcPr>
                  <w:tcW w:w="1167" w:type="dxa"/>
                  <w:noWrap w:val="0"/>
                  <w:vAlign w:val="top"/>
                </w:tcPr>
                <w:p w14:paraId="1C63FB38">
                  <w:pPr>
                    <w:pStyle w:val="35"/>
                    <w:spacing w:before="35" w:line="218" w:lineRule="auto"/>
                    <w:jc w:val="center"/>
                    <w:rPr>
                      <w:rFonts w:ascii="Times New Roman" w:hAnsi="Times New Roman" w:eastAsia="宋体" w:cs="宋体"/>
                      <w:spacing w:val="3"/>
                      <w:sz w:val="21"/>
                      <w:szCs w:val="21"/>
                    </w:rPr>
                  </w:pPr>
                </w:p>
              </w:tc>
            </w:tr>
            <w:tr w14:paraId="230CC6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706" w:type="dxa"/>
                  <w:noWrap w:val="0"/>
                  <w:vAlign w:val="center"/>
                </w:tcPr>
                <w:p w14:paraId="10A2B22A">
                  <w:pPr>
                    <w:pStyle w:val="35"/>
                    <w:spacing w:before="35" w:line="240"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27</w:t>
                  </w:r>
                </w:p>
              </w:tc>
              <w:tc>
                <w:tcPr>
                  <w:tcW w:w="4506" w:type="dxa"/>
                  <w:noWrap w:val="0"/>
                  <w:vAlign w:val="center"/>
                </w:tcPr>
                <w:p w14:paraId="52FF692D">
                  <w:pPr>
                    <w:pStyle w:val="35"/>
                    <w:spacing w:before="35" w:line="240"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分水井</w:t>
                  </w:r>
                </w:p>
              </w:tc>
              <w:tc>
                <w:tcPr>
                  <w:tcW w:w="763" w:type="dxa"/>
                  <w:noWrap w:val="0"/>
                  <w:vAlign w:val="top"/>
                </w:tcPr>
                <w:p w14:paraId="1B143361">
                  <w:pPr>
                    <w:pStyle w:val="35"/>
                    <w:spacing w:before="34" w:line="216" w:lineRule="auto"/>
                    <w:ind w:left="340"/>
                    <w:rPr>
                      <w:rFonts w:ascii="Times New Roman" w:hAnsi="Times New Roman" w:eastAsia="宋体"/>
                      <w:sz w:val="21"/>
                      <w:szCs w:val="21"/>
                    </w:rPr>
                  </w:pPr>
                  <w:r>
                    <w:rPr>
                      <w:rFonts w:ascii="Times New Roman" w:hAnsi="Times New Roman" w:eastAsia="宋体"/>
                      <w:sz w:val="21"/>
                      <w:szCs w:val="21"/>
                    </w:rPr>
                    <w:t>座</w:t>
                  </w:r>
                </w:p>
              </w:tc>
              <w:tc>
                <w:tcPr>
                  <w:tcW w:w="794" w:type="dxa"/>
                  <w:noWrap w:val="0"/>
                  <w:vAlign w:val="top"/>
                </w:tcPr>
                <w:p w14:paraId="40B8D493">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1</w:t>
                  </w:r>
                </w:p>
              </w:tc>
              <w:tc>
                <w:tcPr>
                  <w:tcW w:w="1167" w:type="dxa"/>
                  <w:noWrap w:val="0"/>
                  <w:vAlign w:val="top"/>
                </w:tcPr>
                <w:p w14:paraId="5628316E">
                  <w:pPr>
                    <w:pStyle w:val="35"/>
                    <w:spacing w:before="35" w:line="218" w:lineRule="auto"/>
                    <w:jc w:val="center"/>
                    <w:rPr>
                      <w:rFonts w:ascii="Times New Roman" w:hAnsi="Times New Roman" w:eastAsia="宋体" w:cs="宋体"/>
                      <w:spacing w:val="3"/>
                      <w:sz w:val="21"/>
                      <w:szCs w:val="21"/>
                    </w:rPr>
                  </w:pPr>
                </w:p>
              </w:tc>
            </w:tr>
            <w:tr w14:paraId="3E6AEA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706" w:type="dxa"/>
                  <w:noWrap w:val="0"/>
                  <w:vAlign w:val="center"/>
                </w:tcPr>
                <w:p w14:paraId="003E3B47">
                  <w:pPr>
                    <w:pStyle w:val="35"/>
                    <w:spacing w:before="35" w:line="240"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28</w:t>
                  </w:r>
                </w:p>
              </w:tc>
              <w:tc>
                <w:tcPr>
                  <w:tcW w:w="4506" w:type="dxa"/>
                  <w:noWrap w:val="0"/>
                  <w:vAlign w:val="center"/>
                </w:tcPr>
                <w:p w14:paraId="5924F078">
                  <w:pPr>
                    <w:pStyle w:val="35"/>
                    <w:spacing w:before="35" w:line="240"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集水井</w:t>
                  </w:r>
                </w:p>
              </w:tc>
              <w:tc>
                <w:tcPr>
                  <w:tcW w:w="763" w:type="dxa"/>
                  <w:noWrap w:val="0"/>
                  <w:vAlign w:val="top"/>
                </w:tcPr>
                <w:p w14:paraId="1A6A5083">
                  <w:pPr>
                    <w:pStyle w:val="35"/>
                    <w:spacing w:before="31" w:line="217" w:lineRule="auto"/>
                    <w:ind w:left="340"/>
                    <w:rPr>
                      <w:rFonts w:ascii="Times New Roman" w:hAnsi="Times New Roman" w:eastAsia="宋体"/>
                      <w:sz w:val="21"/>
                      <w:szCs w:val="21"/>
                    </w:rPr>
                  </w:pPr>
                  <w:r>
                    <w:rPr>
                      <w:rFonts w:ascii="Times New Roman" w:hAnsi="Times New Roman" w:eastAsia="宋体"/>
                      <w:sz w:val="21"/>
                      <w:szCs w:val="21"/>
                    </w:rPr>
                    <w:t>座</w:t>
                  </w:r>
                </w:p>
              </w:tc>
              <w:tc>
                <w:tcPr>
                  <w:tcW w:w="794" w:type="dxa"/>
                  <w:noWrap w:val="0"/>
                  <w:vAlign w:val="top"/>
                </w:tcPr>
                <w:p w14:paraId="56D5E675">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4</w:t>
                  </w:r>
                </w:p>
              </w:tc>
              <w:tc>
                <w:tcPr>
                  <w:tcW w:w="1167" w:type="dxa"/>
                  <w:noWrap w:val="0"/>
                  <w:vAlign w:val="top"/>
                </w:tcPr>
                <w:p w14:paraId="670096B3">
                  <w:pPr>
                    <w:pStyle w:val="35"/>
                    <w:spacing w:before="35" w:line="218" w:lineRule="auto"/>
                    <w:jc w:val="center"/>
                    <w:rPr>
                      <w:rFonts w:ascii="Times New Roman" w:hAnsi="Times New Roman" w:eastAsia="宋体" w:cs="宋体"/>
                      <w:spacing w:val="3"/>
                      <w:sz w:val="21"/>
                      <w:szCs w:val="21"/>
                    </w:rPr>
                  </w:pPr>
                </w:p>
              </w:tc>
            </w:tr>
            <w:tr w14:paraId="1DA4D1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706" w:type="dxa"/>
                  <w:noWrap w:val="0"/>
                  <w:vAlign w:val="center"/>
                </w:tcPr>
                <w:p w14:paraId="2D688A79">
                  <w:pPr>
                    <w:pStyle w:val="35"/>
                    <w:spacing w:before="35" w:line="240"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29</w:t>
                  </w:r>
                </w:p>
              </w:tc>
              <w:tc>
                <w:tcPr>
                  <w:tcW w:w="4506" w:type="dxa"/>
                  <w:noWrap w:val="0"/>
                  <w:vAlign w:val="center"/>
                </w:tcPr>
                <w:p w14:paraId="76DAA55F">
                  <w:pPr>
                    <w:pStyle w:val="35"/>
                    <w:spacing w:before="35" w:line="240"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dn110PE 管</w:t>
                  </w:r>
                </w:p>
              </w:tc>
              <w:tc>
                <w:tcPr>
                  <w:tcW w:w="763" w:type="dxa"/>
                  <w:noWrap w:val="0"/>
                  <w:vAlign w:val="top"/>
                </w:tcPr>
                <w:p w14:paraId="3C1D5F33">
                  <w:pPr>
                    <w:spacing w:before="129" w:line="137" w:lineRule="exact"/>
                    <w:ind w:left="356"/>
                    <w:rPr>
                      <w:rFonts w:ascii="Times New Roman" w:hAnsi="Times New Roman" w:eastAsia="宋体" w:cs="Times New Roman"/>
                      <w:sz w:val="21"/>
                      <w:szCs w:val="21"/>
                    </w:rPr>
                  </w:pPr>
                  <w:r>
                    <w:rPr>
                      <w:rFonts w:ascii="Times New Roman" w:hAnsi="Times New Roman" w:eastAsia="宋体" w:cs="Times New Roman"/>
                      <w:spacing w:val="5"/>
                      <w:sz w:val="21"/>
                      <w:szCs w:val="21"/>
                    </w:rPr>
                    <w:t>m</w:t>
                  </w:r>
                </w:p>
              </w:tc>
              <w:tc>
                <w:tcPr>
                  <w:tcW w:w="794" w:type="dxa"/>
                  <w:noWrap w:val="0"/>
                  <w:vAlign w:val="top"/>
                </w:tcPr>
                <w:p w14:paraId="5C660219">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645</w:t>
                  </w:r>
                </w:p>
              </w:tc>
              <w:tc>
                <w:tcPr>
                  <w:tcW w:w="1167" w:type="dxa"/>
                  <w:noWrap w:val="0"/>
                  <w:vAlign w:val="top"/>
                </w:tcPr>
                <w:p w14:paraId="4CEA3D49">
                  <w:pPr>
                    <w:pStyle w:val="35"/>
                    <w:spacing w:before="35" w:line="218" w:lineRule="auto"/>
                    <w:jc w:val="center"/>
                    <w:rPr>
                      <w:rFonts w:ascii="Times New Roman" w:hAnsi="Times New Roman" w:eastAsia="宋体" w:cs="宋体"/>
                      <w:spacing w:val="3"/>
                      <w:sz w:val="21"/>
                      <w:szCs w:val="21"/>
                    </w:rPr>
                  </w:pPr>
                </w:p>
              </w:tc>
            </w:tr>
            <w:tr w14:paraId="2F3A9A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706" w:type="dxa"/>
                  <w:noWrap w:val="0"/>
                  <w:vAlign w:val="center"/>
                </w:tcPr>
                <w:p w14:paraId="0189F2BB">
                  <w:pPr>
                    <w:pStyle w:val="35"/>
                    <w:spacing w:before="35" w:line="240"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30</w:t>
                  </w:r>
                </w:p>
              </w:tc>
              <w:tc>
                <w:tcPr>
                  <w:tcW w:w="4506" w:type="dxa"/>
                  <w:noWrap w:val="0"/>
                  <w:vAlign w:val="center"/>
                </w:tcPr>
                <w:p w14:paraId="11C6FD15">
                  <w:pPr>
                    <w:pStyle w:val="35"/>
                    <w:spacing w:before="35" w:line="240"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DN600PE 双壁波纹管（SN8）</w:t>
                  </w:r>
                </w:p>
              </w:tc>
              <w:tc>
                <w:tcPr>
                  <w:tcW w:w="763" w:type="dxa"/>
                  <w:noWrap w:val="0"/>
                  <w:vAlign w:val="top"/>
                </w:tcPr>
                <w:p w14:paraId="4D7EC08C">
                  <w:pPr>
                    <w:spacing w:before="130" w:line="138" w:lineRule="exact"/>
                    <w:ind w:left="356"/>
                    <w:rPr>
                      <w:rFonts w:ascii="Times New Roman" w:hAnsi="Times New Roman" w:eastAsia="宋体" w:cs="Times New Roman"/>
                      <w:sz w:val="21"/>
                      <w:szCs w:val="21"/>
                    </w:rPr>
                  </w:pPr>
                  <w:r>
                    <w:rPr>
                      <w:rFonts w:ascii="Times New Roman" w:hAnsi="Times New Roman" w:eastAsia="宋体" w:cs="Times New Roman"/>
                      <w:spacing w:val="5"/>
                      <w:sz w:val="21"/>
                      <w:szCs w:val="21"/>
                    </w:rPr>
                    <w:t>m</w:t>
                  </w:r>
                </w:p>
              </w:tc>
              <w:tc>
                <w:tcPr>
                  <w:tcW w:w="794" w:type="dxa"/>
                  <w:noWrap w:val="0"/>
                  <w:vAlign w:val="top"/>
                </w:tcPr>
                <w:p w14:paraId="5140F6E4">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509</w:t>
                  </w:r>
                </w:p>
              </w:tc>
              <w:tc>
                <w:tcPr>
                  <w:tcW w:w="1167" w:type="dxa"/>
                  <w:noWrap w:val="0"/>
                  <w:vAlign w:val="top"/>
                </w:tcPr>
                <w:p w14:paraId="449BEEF4">
                  <w:pPr>
                    <w:pStyle w:val="35"/>
                    <w:spacing w:before="35" w:line="218" w:lineRule="auto"/>
                    <w:jc w:val="center"/>
                    <w:rPr>
                      <w:rFonts w:ascii="Times New Roman" w:hAnsi="Times New Roman" w:eastAsia="宋体" w:cs="宋体"/>
                      <w:spacing w:val="3"/>
                      <w:sz w:val="21"/>
                      <w:szCs w:val="21"/>
                    </w:rPr>
                  </w:pPr>
                </w:p>
              </w:tc>
            </w:tr>
            <w:tr w14:paraId="655F42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706" w:type="dxa"/>
                  <w:noWrap w:val="0"/>
                  <w:vAlign w:val="center"/>
                </w:tcPr>
                <w:p w14:paraId="13B016F2">
                  <w:pPr>
                    <w:pStyle w:val="35"/>
                    <w:spacing w:before="35" w:line="240" w:lineRule="auto"/>
                    <w:jc w:val="center"/>
                    <w:rPr>
                      <w:rFonts w:hint="default" w:ascii="Times New Roman" w:hAnsi="Times New Roman" w:eastAsia="宋体" w:cs="宋体"/>
                      <w:spacing w:val="3"/>
                      <w:sz w:val="21"/>
                      <w:szCs w:val="21"/>
                      <w:lang w:val="en-US" w:eastAsia="zh-CN"/>
                    </w:rPr>
                  </w:pPr>
                  <w:r>
                    <w:rPr>
                      <w:rFonts w:hint="eastAsia" w:ascii="Times New Roman" w:hAnsi="Times New Roman" w:eastAsia="宋体" w:cs="宋体"/>
                      <w:spacing w:val="3"/>
                      <w:sz w:val="21"/>
                      <w:szCs w:val="21"/>
                      <w:lang w:val="en-US" w:eastAsia="zh-CN"/>
                    </w:rPr>
                    <w:t>31</w:t>
                  </w:r>
                </w:p>
              </w:tc>
              <w:tc>
                <w:tcPr>
                  <w:tcW w:w="4506" w:type="dxa"/>
                  <w:noWrap w:val="0"/>
                  <w:vAlign w:val="center"/>
                </w:tcPr>
                <w:p w14:paraId="6070E943">
                  <w:pPr>
                    <w:pStyle w:val="35"/>
                    <w:spacing w:before="35" w:line="240" w:lineRule="auto"/>
                    <w:jc w:val="center"/>
                    <w:rPr>
                      <w:rFonts w:hint="default" w:ascii="Times New Roman" w:hAnsi="Times New Roman" w:eastAsia="宋体" w:cs="宋体"/>
                      <w:spacing w:val="3"/>
                      <w:sz w:val="21"/>
                      <w:szCs w:val="21"/>
                      <w:lang w:val="en-US" w:eastAsia="zh-CN"/>
                    </w:rPr>
                  </w:pPr>
                  <w:r>
                    <w:rPr>
                      <w:rFonts w:ascii="Times New Roman" w:hAnsi="Times New Roman" w:eastAsia="宋体" w:cs="宋体"/>
                      <w:spacing w:val="3"/>
                      <w:sz w:val="21"/>
                      <w:szCs w:val="21"/>
                    </w:rPr>
                    <w:t>新建护岸</w:t>
                  </w:r>
                  <w:r>
                    <w:rPr>
                      <w:rFonts w:hint="eastAsia" w:ascii="Times New Roman" w:hAnsi="Times New Roman" w:eastAsia="宋体" w:cs="宋体"/>
                      <w:spacing w:val="3"/>
                      <w:sz w:val="21"/>
                      <w:szCs w:val="21"/>
                      <w:lang w:val="en-US" w:eastAsia="zh-CN"/>
                    </w:rPr>
                    <w:t>及护坡</w:t>
                  </w:r>
                </w:p>
              </w:tc>
              <w:tc>
                <w:tcPr>
                  <w:tcW w:w="763" w:type="dxa"/>
                  <w:noWrap w:val="0"/>
                  <w:vAlign w:val="top"/>
                </w:tcPr>
                <w:p w14:paraId="7A1C87DA">
                  <w:pPr>
                    <w:spacing w:before="133" w:line="134" w:lineRule="exact"/>
                    <w:ind w:left="356"/>
                    <w:rPr>
                      <w:rFonts w:ascii="Times New Roman" w:hAnsi="Times New Roman" w:eastAsia="宋体" w:cs="Times New Roman"/>
                      <w:sz w:val="21"/>
                      <w:szCs w:val="21"/>
                    </w:rPr>
                  </w:pPr>
                  <w:r>
                    <w:rPr>
                      <w:rFonts w:ascii="Times New Roman" w:hAnsi="Times New Roman" w:eastAsia="宋体" w:cs="Times New Roman"/>
                      <w:spacing w:val="5"/>
                      <w:position w:val="-1"/>
                      <w:sz w:val="21"/>
                      <w:szCs w:val="21"/>
                    </w:rPr>
                    <w:t>m</w:t>
                  </w:r>
                </w:p>
              </w:tc>
              <w:tc>
                <w:tcPr>
                  <w:tcW w:w="794" w:type="dxa"/>
                  <w:noWrap w:val="0"/>
                  <w:vAlign w:val="top"/>
                </w:tcPr>
                <w:p w14:paraId="073A8BE9">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473</w:t>
                  </w:r>
                </w:p>
              </w:tc>
              <w:tc>
                <w:tcPr>
                  <w:tcW w:w="1167" w:type="dxa"/>
                  <w:noWrap w:val="0"/>
                  <w:vAlign w:val="top"/>
                </w:tcPr>
                <w:p w14:paraId="5A21EC35">
                  <w:pPr>
                    <w:pStyle w:val="35"/>
                    <w:spacing w:before="35" w:line="218" w:lineRule="auto"/>
                    <w:jc w:val="center"/>
                    <w:rPr>
                      <w:rFonts w:ascii="Times New Roman" w:hAnsi="Times New Roman" w:eastAsia="宋体" w:cs="宋体"/>
                      <w:spacing w:val="3"/>
                      <w:sz w:val="21"/>
                      <w:szCs w:val="21"/>
                    </w:rPr>
                  </w:pPr>
                </w:p>
              </w:tc>
            </w:tr>
            <w:tr w14:paraId="03865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jc w:val="center"/>
              </w:trPr>
              <w:tc>
                <w:tcPr>
                  <w:tcW w:w="706" w:type="dxa"/>
                  <w:noWrap w:val="0"/>
                  <w:vAlign w:val="center"/>
                </w:tcPr>
                <w:p w14:paraId="474A51E2">
                  <w:pPr>
                    <w:pStyle w:val="35"/>
                    <w:spacing w:before="35" w:line="240" w:lineRule="auto"/>
                    <w:jc w:val="center"/>
                    <w:rPr>
                      <w:rFonts w:hint="default" w:ascii="Times New Roman" w:hAnsi="Times New Roman" w:eastAsia="宋体" w:cs="宋体"/>
                      <w:spacing w:val="3"/>
                      <w:sz w:val="21"/>
                      <w:szCs w:val="21"/>
                      <w:lang w:val="en-US" w:eastAsia="zh-CN"/>
                    </w:rPr>
                  </w:pPr>
                  <w:r>
                    <w:rPr>
                      <w:rFonts w:hint="eastAsia" w:ascii="Times New Roman" w:hAnsi="Times New Roman" w:eastAsia="宋体" w:cs="宋体"/>
                      <w:spacing w:val="3"/>
                      <w:sz w:val="21"/>
                      <w:szCs w:val="21"/>
                      <w:lang w:val="en-US" w:eastAsia="zh-CN"/>
                    </w:rPr>
                    <w:t>32</w:t>
                  </w:r>
                </w:p>
              </w:tc>
              <w:tc>
                <w:tcPr>
                  <w:tcW w:w="4506" w:type="dxa"/>
                  <w:noWrap w:val="0"/>
                  <w:vAlign w:val="center"/>
                </w:tcPr>
                <w:p w14:paraId="3F5136D4">
                  <w:pPr>
                    <w:pStyle w:val="35"/>
                    <w:spacing w:before="35" w:line="240"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DN10OPE90 °弯头</w:t>
                  </w:r>
                </w:p>
              </w:tc>
              <w:tc>
                <w:tcPr>
                  <w:tcW w:w="763" w:type="dxa"/>
                  <w:noWrap w:val="0"/>
                  <w:vAlign w:val="top"/>
                </w:tcPr>
                <w:p w14:paraId="52784694">
                  <w:pPr>
                    <w:pStyle w:val="35"/>
                    <w:spacing w:before="35" w:line="215" w:lineRule="auto"/>
                    <w:ind w:left="338"/>
                    <w:rPr>
                      <w:rFonts w:ascii="Times New Roman" w:hAnsi="Times New Roman" w:eastAsia="宋体"/>
                      <w:sz w:val="21"/>
                      <w:szCs w:val="21"/>
                    </w:rPr>
                  </w:pPr>
                  <w:r>
                    <w:rPr>
                      <w:rFonts w:ascii="Times New Roman" w:hAnsi="Times New Roman" w:eastAsia="宋体"/>
                      <w:sz w:val="21"/>
                      <w:szCs w:val="21"/>
                    </w:rPr>
                    <w:t>个</w:t>
                  </w:r>
                </w:p>
              </w:tc>
              <w:tc>
                <w:tcPr>
                  <w:tcW w:w="794" w:type="dxa"/>
                  <w:noWrap w:val="0"/>
                  <w:vAlign w:val="top"/>
                </w:tcPr>
                <w:p w14:paraId="51EC60EA">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348</w:t>
                  </w:r>
                </w:p>
              </w:tc>
              <w:tc>
                <w:tcPr>
                  <w:tcW w:w="1167" w:type="dxa"/>
                  <w:noWrap w:val="0"/>
                  <w:vAlign w:val="top"/>
                </w:tcPr>
                <w:p w14:paraId="0B1F698C">
                  <w:pPr>
                    <w:pStyle w:val="35"/>
                    <w:spacing w:before="35" w:line="218" w:lineRule="auto"/>
                    <w:jc w:val="center"/>
                    <w:rPr>
                      <w:rFonts w:ascii="Times New Roman" w:hAnsi="Times New Roman" w:eastAsia="宋体" w:cs="宋体"/>
                      <w:spacing w:val="3"/>
                      <w:sz w:val="21"/>
                      <w:szCs w:val="21"/>
                    </w:rPr>
                  </w:pPr>
                </w:p>
              </w:tc>
            </w:tr>
            <w:tr w14:paraId="1851E2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706" w:type="dxa"/>
                  <w:noWrap w:val="0"/>
                  <w:vAlign w:val="center"/>
                </w:tcPr>
                <w:p w14:paraId="66EB0696">
                  <w:pPr>
                    <w:pStyle w:val="35"/>
                    <w:spacing w:before="35" w:line="240" w:lineRule="auto"/>
                    <w:jc w:val="center"/>
                    <w:rPr>
                      <w:rFonts w:hint="default" w:ascii="Times New Roman" w:hAnsi="Times New Roman" w:eastAsia="宋体" w:cs="宋体"/>
                      <w:spacing w:val="3"/>
                      <w:sz w:val="21"/>
                      <w:szCs w:val="21"/>
                      <w:lang w:val="en-US" w:eastAsia="zh-CN"/>
                    </w:rPr>
                  </w:pPr>
                  <w:r>
                    <w:rPr>
                      <w:rFonts w:hint="eastAsia" w:ascii="Times New Roman" w:hAnsi="Times New Roman" w:eastAsia="宋体" w:cs="宋体"/>
                      <w:spacing w:val="3"/>
                      <w:sz w:val="21"/>
                      <w:szCs w:val="21"/>
                      <w:lang w:val="en-US" w:eastAsia="zh-CN"/>
                    </w:rPr>
                    <w:t>33</w:t>
                  </w:r>
                </w:p>
              </w:tc>
              <w:tc>
                <w:tcPr>
                  <w:tcW w:w="4506" w:type="dxa"/>
                  <w:noWrap w:val="0"/>
                  <w:vAlign w:val="center"/>
                </w:tcPr>
                <w:p w14:paraId="01BD2F32">
                  <w:pPr>
                    <w:pStyle w:val="35"/>
                    <w:spacing w:before="35" w:line="240"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DN600 管式测流计</w:t>
                  </w:r>
                </w:p>
              </w:tc>
              <w:tc>
                <w:tcPr>
                  <w:tcW w:w="763" w:type="dxa"/>
                  <w:noWrap w:val="0"/>
                  <w:vAlign w:val="top"/>
                </w:tcPr>
                <w:p w14:paraId="711A6500">
                  <w:pPr>
                    <w:pStyle w:val="35"/>
                    <w:spacing w:before="35" w:line="214" w:lineRule="auto"/>
                    <w:ind w:left="339"/>
                    <w:rPr>
                      <w:rFonts w:ascii="Times New Roman" w:hAnsi="Times New Roman" w:eastAsia="宋体"/>
                      <w:sz w:val="21"/>
                      <w:szCs w:val="21"/>
                    </w:rPr>
                  </w:pPr>
                  <w:r>
                    <w:rPr>
                      <w:rFonts w:ascii="Times New Roman" w:hAnsi="Times New Roman" w:eastAsia="宋体"/>
                      <w:sz w:val="21"/>
                      <w:szCs w:val="21"/>
                    </w:rPr>
                    <w:t>套</w:t>
                  </w:r>
                </w:p>
              </w:tc>
              <w:tc>
                <w:tcPr>
                  <w:tcW w:w="794" w:type="dxa"/>
                  <w:noWrap w:val="0"/>
                  <w:vAlign w:val="top"/>
                </w:tcPr>
                <w:p w14:paraId="7962759B">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1</w:t>
                  </w:r>
                </w:p>
              </w:tc>
              <w:tc>
                <w:tcPr>
                  <w:tcW w:w="1167" w:type="dxa"/>
                  <w:noWrap w:val="0"/>
                  <w:vAlign w:val="top"/>
                </w:tcPr>
                <w:p w14:paraId="5B855AAB">
                  <w:pPr>
                    <w:pStyle w:val="35"/>
                    <w:spacing w:before="35" w:line="218" w:lineRule="auto"/>
                    <w:jc w:val="center"/>
                    <w:rPr>
                      <w:rFonts w:ascii="Times New Roman" w:hAnsi="Times New Roman" w:eastAsia="宋体" w:cs="宋体"/>
                      <w:spacing w:val="3"/>
                      <w:sz w:val="21"/>
                      <w:szCs w:val="21"/>
                    </w:rPr>
                  </w:pPr>
                </w:p>
              </w:tc>
            </w:tr>
            <w:tr w14:paraId="7DEC85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jc w:val="center"/>
              </w:trPr>
              <w:tc>
                <w:tcPr>
                  <w:tcW w:w="706" w:type="dxa"/>
                  <w:noWrap w:val="0"/>
                  <w:vAlign w:val="center"/>
                </w:tcPr>
                <w:p w14:paraId="6831BA30">
                  <w:pPr>
                    <w:pStyle w:val="35"/>
                    <w:spacing w:before="35" w:line="240" w:lineRule="auto"/>
                    <w:jc w:val="center"/>
                    <w:rPr>
                      <w:rFonts w:hint="default" w:ascii="Times New Roman" w:hAnsi="Times New Roman" w:eastAsia="宋体" w:cs="宋体"/>
                      <w:spacing w:val="3"/>
                      <w:sz w:val="21"/>
                      <w:szCs w:val="21"/>
                      <w:lang w:val="en-US" w:eastAsia="zh-CN"/>
                    </w:rPr>
                  </w:pPr>
                  <w:r>
                    <w:rPr>
                      <w:rFonts w:hint="eastAsia" w:ascii="Times New Roman" w:hAnsi="Times New Roman" w:eastAsia="宋体" w:cs="宋体"/>
                      <w:spacing w:val="3"/>
                      <w:sz w:val="21"/>
                      <w:szCs w:val="21"/>
                      <w:lang w:val="en-US" w:eastAsia="zh-CN"/>
                    </w:rPr>
                    <w:t>34</w:t>
                  </w:r>
                </w:p>
              </w:tc>
              <w:tc>
                <w:tcPr>
                  <w:tcW w:w="4506" w:type="dxa"/>
                  <w:noWrap w:val="0"/>
                  <w:vAlign w:val="center"/>
                </w:tcPr>
                <w:p w14:paraId="644D8E26">
                  <w:pPr>
                    <w:pStyle w:val="35"/>
                    <w:spacing w:before="35" w:line="240"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600*600 不锈钢闸门（机闸一体）</w:t>
                  </w:r>
                </w:p>
              </w:tc>
              <w:tc>
                <w:tcPr>
                  <w:tcW w:w="763" w:type="dxa"/>
                  <w:noWrap w:val="0"/>
                  <w:vAlign w:val="top"/>
                </w:tcPr>
                <w:p w14:paraId="7B54D083">
                  <w:pPr>
                    <w:pStyle w:val="35"/>
                    <w:spacing w:before="34" w:line="218" w:lineRule="auto"/>
                    <w:ind w:left="339"/>
                    <w:rPr>
                      <w:rFonts w:ascii="Times New Roman" w:hAnsi="Times New Roman" w:eastAsia="宋体"/>
                      <w:sz w:val="21"/>
                      <w:szCs w:val="21"/>
                    </w:rPr>
                  </w:pPr>
                  <w:r>
                    <w:rPr>
                      <w:rFonts w:ascii="Times New Roman" w:hAnsi="Times New Roman" w:eastAsia="宋体"/>
                      <w:sz w:val="21"/>
                      <w:szCs w:val="21"/>
                    </w:rPr>
                    <w:t>套</w:t>
                  </w:r>
                </w:p>
              </w:tc>
              <w:tc>
                <w:tcPr>
                  <w:tcW w:w="794" w:type="dxa"/>
                  <w:noWrap w:val="0"/>
                  <w:vAlign w:val="top"/>
                </w:tcPr>
                <w:p w14:paraId="361CC76E">
                  <w:pPr>
                    <w:pStyle w:val="35"/>
                    <w:spacing w:before="35" w:line="218" w:lineRule="auto"/>
                    <w:jc w:val="center"/>
                    <w:rPr>
                      <w:rFonts w:ascii="Times New Roman" w:hAnsi="Times New Roman" w:eastAsia="宋体" w:cs="宋体"/>
                      <w:spacing w:val="3"/>
                      <w:sz w:val="21"/>
                      <w:szCs w:val="21"/>
                    </w:rPr>
                  </w:pPr>
                  <w:r>
                    <w:rPr>
                      <w:rFonts w:ascii="Times New Roman" w:hAnsi="Times New Roman" w:eastAsia="宋体" w:cs="宋体"/>
                      <w:spacing w:val="3"/>
                      <w:sz w:val="21"/>
                      <w:szCs w:val="21"/>
                    </w:rPr>
                    <w:t>8</w:t>
                  </w:r>
                </w:p>
              </w:tc>
              <w:tc>
                <w:tcPr>
                  <w:tcW w:w="1167" w:type="dxa"/>
                  <w:noWrap w:val="0"/>
                  <w:vAlign w:val="top"/>
                </w:tcPr>
                <w:p w14:paraId="5A802424">
                  <w:pPr>
                    <w:pStyle w:val="35"/>
                    <w:spacing w:before="35" w:line="218" w:lineRule="auto"/>
                    <w:jc w:val="center"/>
                    <w:rPr>
                      <w:rFonts w:ascii="Times New Roman" w:hAnsi="Times New Roman" w:eastAsia="宋体" w:cs="宋体"/>
                      <w:spacing w:val="3"/>
                      <w:sz w:val="21"/>
                      <w:szCs w:val="21"/>
                    </w:rPr>
                  </w:pPr>
                </w:p>
              </w:tc>
            </w:tr>
          </w:tbl>
          <w:p w14:paraId="7EE0BCCA">
            <w:pPr>
              <w:pStyle w:val="27"/>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6、土石方平衡</w:t>
            </w:r>
          </w:p>
          <w:p w14:paraId="2BF081C3">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根据初步设计文件，本项目</w:t>
            </w:r>
            <w:r>
              <w:rPr>
                <w:rFonts w:hint="default" w:ascii="Times New Roman" w:hAnsi="Times New Roman" w:eastAsia="宋体" w:cs="Times New Roman"/>
                <w:color w:val="auto"/>
                <w:kern w:val="0"/>
                <w:sz w:val="24"/>
                <w:szCs w:val="24"/>
                <w:highlight w:val="none"/>
                <w:vertAlign w:val="baseline"/>
                <w:lang w:val="en-US" w:eastAsia="zh-CN" w:bidi="ar"/>
              </w:rPr>
              <w:t>土方开挖量</w:t>
            </w:r>
            <w:r>
              <w:rPr>
                <w:rFonts w:hint="eastAsia" w:ascii="Times New Roman" w:hAnsi="Times New Roman" w:eastAsia="宋体" w:cs="Times New Roman"/>
                <w:color w:val="auto"/>
                <w:kern w:val="0"/>
                <w:sz w:val="24"/>
                <w:szCs w:val="24"/>
                <w:highlight w:val="none"/>
                <w:vertAlign w:val="baseline"/>
                <w:lang w:val="en-US" w:eastAsia="zh-CN" w:bidi="ar"/>
              </w:rPr>
              <w:t>共6.32</w:t>
            </w:r>
            <w:r>
              <w:rPr>
                <w:rFonts w:hint="default" w:ascii="Times New Roman" w:hAnsi="Times New Roman" w:eastAsia="宋体" w:cs="Times New Roman"/>
                <w:color w:val="auto"/>
                <w:kern w:val="0"/>
                <w:sz w:val="24"/>
                <w:szCs w:val="24"/>
                <w:highlight w:val="none"/>
                <w:vertAlign w:val="baseline"/>
                <w:lang w:val="en-US" w:eastAsia="zh-CN" w:bidi="ar"/>
              </w:rPr>
              <w:t>万</w:t>
            </w:r>
            <w:r>
              <w:rPr>
                <w:rFonts w:hint="eastAsia" w:ascii="Times New Roman" w:hAnsi="Times New Roman" w:eastAsia="宋体" w:cs="Times New Roman"/>
                <w:color w:val="auto"/>
                <w:kern w:val="0"/>
                <w:sz w:val="24"/>
                <w:szCs w:val="24"/>
                <w:highlight w:val="none"/>
                <w:vertAlign w:val="baseline"/>
                <w:lang w:val="en-US" w:eastAsia="zh-CN" w:bidi="ar"/>
              </w:rPr>
              <w:t>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vertAlign w:val="baseline"/>
                <w:lang w:val="en-US" w:eastAsia="zh-CN" w:bidi="ar"/>
              </w:rPr>
              <w:t>，土方</w:t>
            </w:r>
            <w:r>
              <w:rPr>
                <w:rFonts w:hint="eastAsia" w:ascii="Times New Roman" w:hAnsi="Times New Roman" w:eastAsia="宋体" w:cs="Times New Roman"/>
                <w:color w:val="auto"/>
                <w:kern w:val="0"/>
                <w:sz w:val="24"/>
                <w:szCs w:val="24"/>
                <w:highlight w:val="none"/>
                <w:vertAlign w:val="baseline"/>
                <w:lang w:val="en-US" w:eastAsia="zh-CN" w:bidi="ar"/>
              </w:rPr>
              <w:t>回填</w:t>
            </w:r>
            <w:r>
              <w:rPr>
                <w:rFonts w:hint="default" w:ascii="Times New Roman" w:hAnsi="Times New Roman" w:eastAsia="宋体" w:cs="Times New Roman"/>
                <w:color w:val="auto"/>
                <w:kern w:val="0"/>
                <w:sz w:val="24"/>
                <w:szCs w:val="24"/>
                <w:highlight w:val="none"/>
                <w:vertAlign w:val="baseline"/>
                <w:lang w:val="en-US" w:eastAsia="zh-CN" w:bidi="ar"/>
              </w:rPr>
              <w:t>量为</w:t>
            </w:r>
            <w:r>
              <w:rPr>
                <w:rFonts w:hint="eastAsia" w:ascii="Times New Roman" w:hAnsi="Times New Roman" w:eastAsia="宋体" w:cs="Times New Roman"/>
                <w:color w:val="auto"/>
                <w:kern w:val="0"/>
                <w:sz w:val="24"/>
                <w:szCs w:val="24"/>
                <w:highlight w:val="none"/>
                <w:vertAlign w:val="baseline"/>
                <w:lang w:val="en-US" w:eastAsia="zh-CN" w:bidi="ar"/>
              </w:rPr>
              <w:t>1.18</w:t>
            </w:r>
            <w:r>
              <w:rPr>
                <w:rFonts w:hint="default" w:ascii="Times New Roman" w:hAnsi="Times New Roman" w:eastAsia="宋体" w:cs="Times New Roman"/>
                <w:color w:val="auto"/>
                <w:kern w:val="0"/>
                <w:sz w:val="24"/>
                <w:szCs w:val="24"/>
                <w:highlight w:val="none"/>
                <w:vertAlign w:val="baseline"/>
                <w:lang w:val="en-US" w:eastAsia="zh-CN" w:bidi="ar"/>
              </w:rPr>
              <w:t>万</w:t>
            </w:r>
            <w:r>
              <w:rPr>
                <w:rFonts w:hint="eastAsia" w:ascii="Times New Roman" w:hAnsi="Times New Roman" w:eastAsia="宋体" w:cs="Times New Roman"/>
                <w:color w:val="auto"/>
                <w:kern w:val="0"/>
                <w:sz w:val="24"/>
                <w:szCs w:val="24"/>
                <w:highlight w:val="none"/>
                <w:vertAlign w:val="baseline"/>
                <w:lang w:val="en-US" w:eastAsia="zh-CN" w:bidi="ar"/>
              </w:rPr>
              <w:t>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eastAsia" w:ascii="Times New Roman" w:hAnsi="Times New Roman" w:eastAsia="宋体" w:cs="Times New Roman"/>
                <w:color w:val="auto"/>
                <w:kern w:val="0"/>
                <w:sz w:val="24"/>
                <w:szCs w:val="24"/>
                <w:highlight w:val="none"/>
                <w:vertAlign w:val="baseline"/>
                <w:lang w:val="en-US" w:eastAsia="zh-CN" w:bidi="ar"/>
              </w:rPr>
              <w:t>，</w:t>
            </w:r>
            <w:r>
              <w:rPr>
                <w:rFonts w:hint="default" w:ascii="Times New Roman" w:hAnsi="Times New Roman" w:eastAsia="宋体" w:cs="Times New Roman"/>
                <w:color w:val="auto"/>
                <w:kern w:val="0"/>
                <w:sz w:val="24"/>
                <w:szCs w:val="24"/>
                <w:highlight w:val="none"/>
                <w:vertAlign w:val="baseline"/>
                <w:lang w:val="en-US" w:eastAsia="zh-CN" w:bidi="ar"/>
              </w:rPr>
              <w:t>需弃运土方量</w:t>
            </w:r>
            <w:r>
              <w:rPr>
                <w:rFonts w:hint="eastAsia" w:ascii="Times New Roman" w:hAnsi="Times New Roman" w:eastAsia="宋体" w:cs="Times New Roman"/>
                <w:color w:val="auto"/>
                <w:kern w:val="0"/>
                <w:sz w:val="24"/>
                <w:szCs w:val="24"/>
                <w:highlight w:val="none"/>
                <w:vertAlign w:val="baseline"/>
                <w:lang w:val="en-US" w:eastAsia="zh-CN" w:bidi="ar"/>
              </w:rPr>
              <w:t>5.14万m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eastAsia" w:ascii="Times New Roman" w:hAnsi="Times New Roman" w:eastAsia="宋体" w:cs="Times New Roman"/>
                <w:color w:val="auto"/>
                <w:kern w:val="0"/>
                <w:sz w:val="24"/>
                <w:szCs w:val="24"/>
                <w:highlight w:val="none"/>
                <w:vertAlign w:val="baseline"/>
                <w:lang w:val="en-US" w:eastAsia="zh-CN" w:bidi="ar"/>
              </w:rPr>
              <w:t>。根据建设单位提供的资料，土方砂石含量较多，弃方</w:t>
            </w:r>
            <w:r>
              <w:rPr>
                <w:rFonts w:hint="default" w:ascii="Times New Roman" w:hAnsi="Times New Roman" w:eastAsia="宋体" w:cs="Times New Roman"/>
                <w:color w:val="auto"/>
                <w:kern w:val="0"/>
                <w:sz w:val="24"/>
                <w:szCs w:val="24"/>
                <w:highlight w:val="none"/>
                <w:vertAlign w:val="baseline"/>
                <w:lang w:val="en-US" w:eastAsia="zh-CN" w:bidi="ar"/>
              </w:rPr>
              <w:t>外运至</w:t>
            </w:r>
            <w:r>
              <w:rPr>
                <w:rFonts w:hint="eastAsia" w:ascii="Times New Roman" w:hAnsi="Times New Roman" w:eastAsia="宋体" w:cs="Times New Roman"/>
                <w:color w:val="auto"/>
                <w:kern w:val="0"/>
                <w:sz w:val="24"/>
                <w:szCs w:val="24"/>
                <w:highlight w:val="none"/>
                <w:vertAlign w:val="baseline"/>
                <w:lang w:val="en-US" w:eastAsia="zh-CN" w:bidi="ar"/>
              </w:rPr>
              <w:t>陇县国有化标准砂石厂综合利用，运距5km，本项目不设弃土场</w:t>
            </w:r>
            <w:r>
              <w:rPr>
                <w:rFonts w:hint="default" w:ascii="Times New Roman" w:hAnsi="Times New Roman" w:eastAsia="宋体" w:cs="Times New Roman"/>
                <w:color w:val="auto"/>
                <w:kern w:val="0"/>
                <w:sz w:val="24"/>
                <w:szCs w:val="24"/>
                <w:highlight w:val="none"/>
                <w:vertAlign w:val="baseline"/>
                <w:lang w:val="en-US" w:eastAsia="zh-CN" w:bidi="ar"/>
              </w:rPr>
              <w:t>。</w:t>
            </w:r>
          </w:p>
          <w:p w14:paraId="7B0C7D3B">
            <w:pPr>
              <w:pStyle w:val="27"/>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7、工程占地</w:t>
            </w:r>
          </w:p>
          <w:p w14:paraId="0CE58B2F">
            <w:pPr>
              <w:keepNext w:val="0"/>
              <w:keepLines w:val="0"/>
              <w:pageBreakBefore w:val="0"/>
              <w:widowControl w:val="0"/>
              <w:kinsoku/>
              <w:wordWrap/>
              <w:topLinePunct w:val="0"/>
              <w:autoSpaceDE/>
              <w:autoSpaceDN/>
              <w:bidi w:val="0"/>
              <w:adjustRightInd/>
              <w:snapToGrid/>
              <w:spacing w:line="362" w:lineRule="auto"/>
              <w:ind w:left="23" w:firstLine="467"/>
              <w:textAlignment w:val="auto"/>
              <w:rPr>
                <w:rFonts w:hint="eastAsia" w:ascii="Times New Roman" w:hAnsi="Times New Roman" w:eastAsia="宋体" w:cs="Times New Roman"/>
                <w:b w:val="0"/>
                <w:bCs w:val="0"/>
                <w:color w:val="auto"/>
                <w:sz w:val="24"/>
                <w:szCs w:val="24"/>
                <w:highlight w:val="none"/>
                <w:lang w:val="en-US" w:eastAsia="zh-CN"/>
              </w:rPr>
            </w:pPr>
            <w:r>
              <w:rPr>
                <w:rFonts w:ascii="Times New Roman" w:hAnsi="Times New Roman" w:eastAsia="宋体" w:cs="宋体"/>
                <w:sz w:val="24"/>
                <w:szCs w:val="24"/>
              </w:rPr>
              <w:t>本工程占地分为永久占地和临时占地，永久占地包括新建人工湿地、管道等占地，</w:t>
            </w:r>
            <w:r>
              <w:rPr>
                <w:rFonts w:ascii="Times New Roman" w:hAnsi="Times New Roman" w:eastAsia="宋体" w:cs="宋体"/>
                <w:spacing w:val="-5"/>
                <w:sz w:val="24"/>
                <w:szCs w:val="24"/>
              </w:rPr>
              <w:t>临时占地包括施工临建、临时堆料场等占地。工程建设占地总面积</w:t>
            </w:r>
            <w:r>
              <w:rPr>
                <w:rFonts w:ascii="Times New Roman" w:hAnsi="Times New Roman" w:eastAsia="宋体" w:cs="宋体"/>
                <w:spacing w:val="-43"/>
                <w:sz w:val="24"/>
                <w:szCs w:val="24"/>
              </w:rPr>
              <w:t xml:space="preserve"> </w:t>
            </w:r>
            <w:r>
              <w:rPr>
                <w:rFonts w:ascii="Times New Roman" w:hAnsi="Times New Roman" w:eastAsia="宋体" w:cs="Times New Roman"/>
                <w:spacing w:val="-5"/>
                <w:sz w:val="24"/>
                <w:szCs w:val="24"/>
              </w:rPr>
              <w:t>3</w:t>
            </w:r>
            <w:r>
              <w:rPr>
                <w:rFonts w:hint="eastAsia" w:ascii="Times New Roman" w:hAnsi="Times New Roman" w:eastAsia="宋体" w:cs="Times New Roman"/>
                <w:spacing w:val="-5"/>
                <w:sz w:val="24"/>
                <w:szCs w:val="24"/>
                <w:lang w:val="en-US" w:eastAsia="zh-CN"/>
              </w:rPr>
              <w:t>6.57</w:t>
            </w:r>
            <w:r>
              <w:rPr>
                <w:rFonts w:ascii="Times New Roman" w:hAnsi="Times New Roman" w:eastAsia="宋体" w:cs="宋体"/>
                <w:spacing w:val="-5"/>
                <w:sz w:val="24"/>
                <w:szCs w:val="24"/>
              </w:rPr>
              <w:t>亩，</w:t>
            </w:r>
            <w:r>
              <w:rPr>
                <w:rFonts w:ascii="Times New Roman" w:hAnsi="Times New Roman" w:eastAsia="宋体" w:cs="宋体"/>
                <w:spacing w:val="-1"/>
                <w:sz w:val="24"/>
                <w:szCs w:val="24"/>
              </w:rPr>
              <w:t>其中永久占地</w:t>
            </w:r>
            <w:r>
              <w:rPr>
                <w:rFonts w:ascii="Times New Roman" w:hAnsi="Times New Roman" w:eastAsia="宋体" w:cs="宋体"/>
                <w:spacing w:val="-45"/>
                <w:sz w:val="24"/>
                <w:szCs w:val="24"/>
              </w:rPr>
              <w:t xml:space="preserve"> </w:t>
            </w:r>
            <w:r>
              <w:rPr>
                <w:rFonts w:hint="eastAsia" w:ascii="Times New Roman" w:hAnsi="Times New Roman" w:eastAsia="宋体" w:cs="Times New Roman"/>
                <w:spacing w:val="-1"/>
                <w:sz w:val="24"/>
                <w:szCs w:val="24"/>
                <w:lang w:val="en-US" w:eastAsia="zh-CN"/>
              </w:rPr>
              <w:t>30</w:t>
            </w:r>
            <w:r>
              <w:rPr>
                <w:rFonts w:ascii="Times New Roman" w:hAnsi="Times New Roman" w:eastAsia="宋体" w:cs="Times New Roman"/>
                <w:spacing w:val="-1"/>
                <w:sz w:val="24"/>
                <w:szCs w:val="24"/>
              </w:rPr>
              <w:t>.95</w:t>
            </w:r>
            <w:r>
              <w:rPr>
                <w:rFonts w:ascii="Times New Roman" w:hAnsi="Times New Roman" w:eastAsia="宋体" w:cs="宋体"/>
                <w:spacing w:val="-1"/>
                <w:sz w:val="24"/>
                <w:szCs w:val="24"/>
              </w:rPr>
              <w:t>亩，临时占地</w:t>
            </w:r>
            <w:r>
              <w:rPr>
                <w:rFonts w:ascii="Times New Roman" w:hAnsi="Times New Roman" w:eastAsia="宋体" w:cs="宋体"/>
                <w:spacing w:val="-50"/>
                <w:sz w:val="24"/>
                <w:szCs w:val="24"/>
              </w:rPr>
              <w:t xml:space="preserve"> </w:t>
            </w:r>
            <w:r>
              <w:rPr>
                <w:rFonts w:hint="eastAsia" w:ascii="Times New Roman" w:hAnsi="Times New Roman" w:eastAsia="宋体" w:cs="Times New Roman"/>
                <w:spacing w:val="-1"/>
                <w:sz w:val="24"/>
                <w:szCs w:val="24"/>
                <w:lang w:val="en-US" w:eastAsia="zh-CN"/>
              </w:rPr>
              <w:t>5.62</w:t>
            </w:r>
            <w:r>
              <w:rPr>
                <w:rFonts w:ascii="Times New Roman" w:hAnsi="Times New Roman" w:eastAsia="宋体" w:cs="宋体"/>
                <w:spacing w:val="-1"/>
                <w:sz w:val="24"/>
                <w:szCs w:val="24"/>
              </w:rPr>
              <w:t>亩。</w:t>
            </w:r>
          </w:p>
          <w:p w14:paraId="67BE2855">
            <w:pPr>
              <w:keepNext w:val="0"/>
              <w:keepLines w:val="0"/>
              <w:pageBreakBefore w:val="0"/>
              <w:widowControl w:val="0"/>
              <w:kinsoku/>
              <w:wordWrap/>
              <w:overflowPunct w:val="0"/>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olor w:val="auto"/>
                <w:lang w:val="en-US" w:eastAsia="zh-CN"/>
              </w:rPr>
            </w:pPr>
            <w:r>
              <w:rPr>
                <w:rFonts w:hint="eastAsia" w:ascii="Times New Roman" w:hAnsi="Times New Roman" w:eastAsia="宋体" w:cs="Times New Roman"/>
                <w:b w:val="0"/>
                <w:bCs w:val="0"/>
                <w:color w:val="auto"/>
                <w:sz w:val="24"/>
                <w:szCs w:val="24"/>
                <w:highlight w:val="none"/>
                <w:lang w:val="en-US" w:eastAsia="zh-CN"/>
              </w:rPr>
              <w:t>根据陇县自然资源局出具的《关于陇县千河南岸新城污水处理厂人工湿地水质净化工程用地情况说明的函》</w:t>
            </w:r>
            <w:r>
              <w:rPr>
                <w:rFonts w:hint="eastAsia" w:ascii="Times New Roman" w:hAnsi="Times New Roman" w:eastAsia="宋体" w:cs="Times New Roman"/>
                <w:color w:val="auto"/>
                <w:kern w:val="0"/>
                <w:sz w:val="24"/>
                <w:szCs w:val="24"/>
                <w:highlight w:val="none"/>
                <w:lang w:val="en-US" w:eastAsia="zh-CN" w:bidi="ar"/>
              </w:rPr>
              <w:t>（附件4），</w:t>
            </w:r>
            <w:r>
              <w:rPr>
                <w:rFonts w:hint="eastAsia" w:ascii="Times New Roman" w:hAnsi="Times New Roman" w:eastAsia="宋体" w:cs="Times New Roman"/>
                <w:b w:val="0"/>
                <w:bCs w:val="0"/>
                <w:color w:val="auto"/>
                <w:sz w:val="24"/>
                <w:szCs w:val="24"/>
                <w:highlight w:val="none"/>
                <w:lang w:val="en-US" w:eastAsia="zh-CN"/>
              </w:rPr>
              <w:t>陇县污水处理厂人工湿地占地26.33亩，占地类型为园地、其他林地、其他草地；陇县千河南岸新城污水处理厂人工湿地占地10.24亩，地类为天然牧草地、公用设施用地、公路用地、乔木林地。项目不涉及永久基本农田和生态保护红线。</w:t>
            </w:r>
          </w:p>
        </w:tc>
      </w:tr>
      <w:tr w14:paraId="301021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73" w:hRule="atLeast"/>
          <w:jc w:val="center"/>
        </w:trPr>
        <w:tc>
          <w:tcPr>
            <w:tcW w:w="400" w:type="pct"/>
            <w:noWrap w:val="0"/>
            <w:vAlign w:val="center"/>
          </w:tcPr>
          <w:p w14:paraId="57A9A1B5">
            <w:pPr>
              <w:pStyle w:val="15"/>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rPr>
                <w:rFonts w:hint="default" w:ascii="Times New Roman" w:hAnsi="Times New Roman" w:eastAsia="宋体" w:cs="宋体"/>
                <w:color w:val="auto"/>
                <w:szCs w:val="24"/>
                <w:lang w:val="en-US" w:eastAsia="zh-CN"/>
              </w:rPr>
            </w:pPr>
            <w:r>
              <w:rPr>
                <w:rFonts w:hint="eastAsia" w:ascii="Times New Roman" w:hAnsi="Times New Roman" w:eastAsia="宋体" w:cs="宋体"/>
                <w:color w:val="auto"/>
                <w:szCs w:val="24"/>
                <w:lang w:val="en-US" w:eastAsia="zh-CN"/>
              </w:rPr>
              <w:t>总平面及现场布置</w:t>
            </w:r>
          </w:p>
        </w:tc>
        <w:tc>
          <w:tcPr>
            <w:tcW w:w="4599" w:type="pct"/>
            <w:noWrap w:val="0"/>
            <w:vAlign w:val="top"/>
          </w:tcPr>
          <w:p w14:paraId="48EAB226">
            <w:pPr>
              <w:pStyle w:val="27"/>
              <w:keepNext w:val="0"/>
              <w:keepLines w:val="0"/>
              <w:pageBreakBefore w:val="0"/>
              <w:widowControl w:val="0"/>
              <w:numPr>
                <w:ilvl w:val="0"/>
                <w:numId w:val="6"/>
              </w:numPr>
              <w:kinsoku/>
              <w:wordWrap/>
              <w:overflowPunct/>
              <w:topLinePunct w:val="0"/>
              <w:autoSpaceDE/>
              <w:autoSpaceDN/>
              <w:bidi w:val="0"/>
              <w:adjustRightInd/>
              <w:snapToGrid/>
              <w:spacing w:line="360" w:lineRule="auto"/>
              <w:ind w:left="148" w:leftChars="0" w:firstLine="482" w:firstLineChars="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工程布局情况</w:t>
            </w:r>
          </w:p>
          <w:p w14:paraId="42449373">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（1）</w:t>
            </w:r>
            <w:r>
              <w:rPr>
                <w:rFonts w:hint="eastAsia" w:ascii="Times New Roman" w:hAnsi="Times New Roman" w:eastAsia="宋体" w:cs="Times New Roman"/>
                <w:color w:val="auto"/>
                <w:kern w:val="0"/>
                <w:sz w:val="24"/>
                <w:szCs w:val="24"/>
                <w:highlight w:val="none"/>
                <w:lang w:val="en-US" w:eastAsia="zh-CN" w:bidi="ar"/>
              </w:rPr>
              <w:t>陇县污水处理厂人工湿地</w:t>
            </w:r>
          </w:p>
          <w:p w14:paraId="3465DD22">
            <w:pPr>
              <w:keepNext w:val="0"/>
              <w:keepLines w:val="0"/>
              <w:pageBreakBefore w:val="0"/>
              <w:widowControl w:val="0"/>
              <w:kinsoku/>
              <w:wordWrap/>
              <w:overflowPunct/>
              <w:topLinePunct w:val="0"/>
              <w:autoSpaceDE/>
              <w:autoSpaceDN/>
              <w:bidi w:val="0"/>
              <w:adjustRightInd/>
              <w:snapToGrid/>
              <w:spacing w:line="360" w:lineRule="auto"/>
              <w:ind w:left="6" w:firstLine="482"/>
              <w:jc w:val="both"/>
              <w:textAlignment w:val="auto"/>
              <w:rPr>
                <w:rFonts w:hint="default" w:ascii="Times New Roman" w:hAnsi="Times New Roman" w:eastAsia="宋体" w:cs="宋体"/>
                <w:sz w:val="24"/>
                <w:szCs w:val="24"/>
                <w:lang w:val="en-US"/>
              </w:rPr>
            </w:pPr>
            <w:r>
              <w:rPr>
                <w:rFonts w:ascii="Times New Roman" w:hAnsi="Times New Roman" w:eastAsia="宋体" w:cs="宋体"/>
                <w:spacing w:val="1"/>
                <w:sz w:val="24"/>
                <w:szCs w:val="24"/>
              </w:rPr>
              <w:t>采用水平潜流人工湿地工艺，人工湿地总面积</w:t>
            </w:r>
            <w:r>
              <w:rPr>
                <w:rFonts w:ascii="Times New Roman" w:hAnsi="Times New Roman" w:eastAsia="宋体" w:cs="宋体"/>
                <w:spacing w:val="-49"/>
                <w:sz w:val="24"/>
                <w:szCs w:val="24"/>
              </w:rPr>
              <w:t xml:space="preserve"> </w:t>
            </w:r>
            <w:r>
              <w:rPr>
                <w:rFonts w:ascii="Times New Roman" w:hAnsi="Times New Roman" w:eastAsia="宋体" w:cs="Times New Roman"/>
                <w:spacing w:val="1"/>
                <w:sz w:val="24"/>
                <w:szCs w:val="24"/>
              </w:rPr>
              <w:t>7947m</w:t>
            </w:r>
            <w:r>
              <w:rPr>
                <w:rFonts w:ascii="Times New Roman" w:hAnsi="Times New Roman" w:eastAsia="宋体" w:cs="Times New Roman"/>
                <w:spacing w:val="1"/>
                <w:position w:val="8"/>
                <w:sz w:val="15"/>
                <w:szCs w:val="15"/>
              </w:rPr>
              <w:t xml:space="preserve">2 </w:t>
            </w:r>
            <w:r>
              <w:rPr>
                <w:rFonts w:ascii="Times New Roman" w:hAnsi="Times New Roman" w:eastAsia="宋体" w:cs="宋体"/>
                <w:spacing w:val="1"/>
                <w:sz w:val="24"/>
                <w:szCs w:val="24"/>
              </w:rPr>
              <w:t>，</w:t>
            </w:r>
            <w:r>
              <w:rPr>
                <w:rFonts w:hint="eastAsia" w:ascii="Times New Roman" w:hAnsi="Times New Roman" w:eastAsia="宋体" w:cs="宋体"/>
                <w:spacing w:val="1"/>
                <w:sz w:val="24"/>
                <w:szCs w:val="24"/>
                <w:lang w:val="en-US" w:eastAsia="zh-CN"/>
              </w:rPr>
              <w:t>由西北至</w:t>
            </w:r>
            <w:r>
              <w:rPr>
                <w:rFonts w:ascii="Times New Roman" w:hAnsi="Times New Roman" w:eastAsia="宋体" w:cs="宋体"/>
                <w:spacing w:val="1"/>
                <w:sz w:val="24"/>
                <w:szCs w:val="24"/>
              </w:rPr>
              <w:t>东南</w:t>
            </w:r>
            <w:r>
              <w:rPr>
                <w:rFonts w:hint="eastAsia" w:ascii="Times New Roman" w:hAnsi="Times New Roman" w:eastAsia="宋体" w:cs="宋体"/>
                <w:spacing w:val="1"/>
                <w:sz w:val="24"/>
                <w:szCs w:val="24"/>
                <w:lang w:val="en-US" w:eastAsia="zh-CN"/>
              </w:rPr>
              <w:t>共布设</w:t>
            </w:r>
            <w:r>
              <w:rPr>
                <w:rFonts w:hint="eastAsia" w:ascii="Times New Roman" w:hAnsi="Times New Roman" w:eastAsia="宋体" w:cs="宋体"/>
                <w:spacing w:val="-41"/>
                <w:sz w:val="24"/>
                <w:szCs w:val="24"/>
                <w:lang w:val="en-US" w:eastAsia="zh-CN"/>
              </w:rPr>
              <w:t>8</w:t>
            </w:r>
            <w:r>
              <w:rPr>
                <w:rFonts w:ascii="Times New Roman" w:hAnsi="Times New Roman" w:eastAsia="宋体" w:cs="宋体"/>
                <w:sz w:val="24"/>
                <w:szCs w:val="24"/>
              </w:rPr>
              <w:t>个湿地单元，</w:t>
            </w:r>
            <w:r>
              <w:rPr>
                <w:rFonts w:hint="eastAsia" w:ascii="Times New Roman" w:hAnsi="Times New Roman" w:eastAsia="宋体" w:cs="宋体"/>
                <w:sz w:val="24"/>
                <w:szCs w:val="24"/>
                <w:lang w:val="en-US" w:eastAsia="zh-CN"/>
              </w:rPr>
              <w:t>人工湿地进水口位于东北侧，陇县污水处理厂的尾水由管道自检查井引入人工湿地进水口，人工湿地布水渠位于湿地北侧，经人工湿地处理后的水由南侧的集水渠收集，通过排水管道接至南侧原污水处理厂排水管，从现有排水管及排放口排入千河。人工湿地进水及出水位置便于污水处理厂尾水的接入和处理后水的排放，人工湿地内水流均匀，平面布置合理。</w:t>
            </w:r>
          </w:p>
          <w:p w14:paraId="7A77300D">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w:t>
            </w:r>
            <w:r>
              <w:rPr>
                <w:rFonts w:ascii="Times New Roman" w:hAnsi="Times New Roman" w:eastAsia="宋体" w:cs="宋体"/>
                <w:spacing w:val="-2"/>
                <w:sz w:val="24"/>
                <w:szCs w:val="24"/>
              </w:rPr>
              <w:t>陇县千河南岸新城污水处理厂</w:t>
            </w:r>
          </w:p>
          <w:p w14:paraId="07F1F239">
            <w:pPr>
              <w:keepNext w:val="0"/>
              <w:keepLines w:val="0"/>
              <w:pageBreakBefore w:val="0"/>
              <w:widowControl w:val="0"/>
              <w:kinsoku/>
              <w:wordWrap/>
              <w:overflowPunct/>
              <w:topLinePunct w:val="0"/>
              <w:autoSpaceDE/>
              <w:autoSpaceDN/>
              <w:bidi w:val="0"/>
              <w:adjustRightInd/>
              <w:snapToGrid/>
              <w:spacing w:line="360" w:lineRule="auto"/>
              <w:ind w:left="10" w:firstLine="478"/>
              <w:textAlignment w:val="auto"/>
              <w:rPr>
                <w:rFonts w:ascii="Times New Roman" w:hAnsi="Times New Roman" w:eastAsia="宋体" w:cs="宋体"/>
                <w:spacing w:val="1"/>
                <w:sz w:val="24"/>
                <w:szCs w:val="24"/>
              </w:rPr>
            </w:pPr>
            <w:r>
              <w:rPr>
                <w:rFonts w:ascii="Times New Roman" w:hAnsi="Times New Roman" w:eastAsia="宋体" w:cs="宋体"/>
                <w:spacing w:val="1"/>
                <w:sz w:val="24"/>
                <w:szCs w:val="24"/>
              </w:rPr>
              <w:t>采用水平潜流人工湿地工艺，人工湿地总面积</w:t>
            </w:r>
            <w:r>
              <w:rPr>
                <w:rFonts w:ascii="Times New Roman" w:hAnsi="Times New Roman" w:eastAsia="宋体" w:cs="宋体"/>
                <w:spacing w:val="-47"/>
                <w:sz w:val="24"/>
                <w:szCs w:val="24"/>
              </w:rPr>
              <w:t xml:space="preserve"> </w:t>
            </w:r>
            <w:r>
              <w:rPr>
                <w:rFonts w:ascii="Times New Roman" w:hAnsi="Times New Roman" w:eastAsia="宋体" w:cs="Times New Roman"/>
                <w:spacing w:val="1"/>
                <w:sz w:val="24"/>
                <w:szCs w:val="24"/>
              </w:rPr>
              <w:t>6136m</w:t>
            </w:r>
            <w:r>
              <w:rPr>
                <w:rFonts w:ascii="Times New Roman" w:hAnsi="Times New Roman" w:eastAsia="宋体" w:cs="Times New Roman"/>
                <w:spacing w:val="1"/>
                <w:position w:val="7"/>
                <w:sz w:val="15"/>
                <w:szCs w:val="15"/>
              </w:rPr>
              <w:t xml:space="preserve">2 </w:t>
            </w:r>
            <w:r>
              <w:rPr>
                <w:rFonts w:ascii="Times New Roman" w:hAnsi="Times New Roman" w:eastAsia="宋体" w:cs="宋体"/>
                <w:spacing w:val="1"/>
                <w:sz w:val="24"/>
                <w:szCs w:val="24"/>
              </w:rPr>
              <w:t>，</w:t>
            </w:r>
            <w:r>
              <w:rPr>
                <w:rFonts w:hint="eastAsia" w:ascii="Times New Roman" w:hAnsi="Times New Roman" w:eastAsia="宋体" w:cs="宋体"/>
                <w:spacing w:val="1"/>
                <w:sz w:val="24"/>
                <w:szCs w:val="24"/>
                <w:lang w:val="en-US" w:eastAsia="zh-CN"/>
              </w:rPr>
              <w:t>由北向</w:t>
            </w:r>
            <w:r>
              <w:rPr>
                <w:rFonts w:ascii="Times New Roman" w:hAnsi="Times New Roman" w:eastAsia="宋体" w:cs="宋体"/>
                <w:spacing w:val="1"/>
                <w:sz w:val="24"/>
                <w:szCs w:val="24"/>
              </w:rPr>
              <w:t>南</w:t>
            </w:r>
            <w:r>
              <w:rPr>
                <w:rFonts w:hint="eastAsia" w:ascii="Times New Roman" w:hAnsi="Times New Roman" w:eastAsia="宋体" w:cs="宋体"/>
                <w:spacing w:val="1"/>
                <w:sz w:val="24"/>
                <w:szCs w:val="24"/>
                <w:lang w:val="en-US" w:eastAsia="zh-CN"/>
              </w:rPr>
              <w:t>共布设</w:t>
            </w:r>
            <w:r>
              <w:rPr>
                <w:rFonts w:hint="eastAsia" w:ascii="Times New Roman" w:hAnsi="Times New Roman" w:eastAsia="宋体" w:cs="宋体"/>
                <w:spacing w:val="-41"/>
                <w:sz w:val="24"/>
                <w:szCs w:val="24"/>
                <w:lang w:val="en-US" w:eastAsia="zh-CN"/>
              </w:rPr>
              <w:t>6</w:t>
            </w:r>
            <w:r>
              <w:rPr>
                <w:rFonts w:ascii="Times New Roman" w:hAnsi="Times New Roman" w:eastAsia="宋体" w:cs="宋体"/>
                <w:sz w:val="24"/>
                <w:szCs w:val="24"/>
              </w:rPr>
              <w:t>个湿地单元，</w:t>
            </w:r>
            <w:r>
              <w:rPr>
                <w:rFonts w:hint="eastAsia" w:ascii="Times New Roman" w:hAnsi="Times New Roman" w:eastAsia="宋体" w:cs="宋体"/>
                <w:sz w:val="24"/>
                <w:szCs w:val="24"/>
                <w:lang w:val="en-US" w:eastAsia="zh-CN"/>
              </w:rPr>
              <w:t>人工湿地进水口位于东南侧，陇县千河南岸新城污水处理厂的尾水由管道自检查井引入人工湿地进水口，人工湿地布水渠位于湿地东侧，经人工湿地处理后的水由西侧的集水渠收集，通过排水管道接至西南侧原污水处理厂排水管，从现有排水管及排放口排入大杜阳河。人工湿地进水及出水位置便于污水处理厂尾水的接入和处理后水的排放，人工湿地内水流均匀，平面布置合理。</w:t>
            </w:r>
          </w:p>
          <w:p w14:paraId="575D5056">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本工程总平面布置详见附图2，陇县污水处理厂平面布置见附图2.1，陇县千河南岸新城污水处理厂人工湿地平面布置见附图2.2。</w:t>
            </w:r>
          </w:p>
          <w:p w14:paraId="6E519D9A">
            <w:pPr>
              <w:pStyle w:val="27"/>
              <w:keepNext w:val="0"/>
              <w:keepLines w:val="0"/>
              <w:pageBreakBefore w:val="0"/>
              <w:widowControl w:val="0"/>
              <w:numPr>
                <w:ilvl w:val="0"/>
                <w:numId w:val="6"/>
              </w:numPr>
              <w:kinsoku/>
              <w:wordWrap/>
              <w:overflowPunct/>
              <w:topLinePunct w:val="0"/>
              <w:autoSpaceDE/>
              <w:autoSpaceDN/>
              <w:bidi w:val="0"/>
              <w:adjustRightInd/>
              <w:snapToGrid/>
              <w:spacing w:line="360" w:lineRule="auto"/>
              <w:ind w:left="148" w:leftChars="0" w:firstLine="482" w:firstLineChars="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施工布置情况</w:t>
            </w:r>
          </w:p>
          <w:p w14:paraId="0A9BDF7C">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本工程施工工区</w:t>
            </w:r>
            <w:r>
              <w:rPr>
                <w:rFonts w:hint="eastAsia" w:ascii="Times New Roman" w:hAnsi="Times New Roman" w:eastAsia="宋体" w:cs="Times New Roman"/>
                <w:color w:val="auto"/>
                <w:kern w:val="0"/>
                <w:sz w:val="24"/>
                <w:szCs w:val="24"/>
                <w:highlight w:val="none"/>
                <w:lang w:val="en-US" w:eastAsia="zh-CN" w:bidi="ar"/>
              </w:rPr>
              <w:t>根据两座人工湿地的位置</w:t>
            </w:r>
            <w:r>
              <w:rPr>
                <w:rFonts w:hint="default" w:ascii="Times New Roman" w:hAnsi="Times New Roman" w:eastAsia="宋体" w:cs="Times New Roman"/>
                <w:color w:val="auto"/>
                <w:kern w:val="0"/>
                <w:sz w:val="24"/>
                <w:szCs w:val="24"/>
                <w:highlight w:val="none"/>
                <w:lang w:val="en-US" w:eastAsia="zh-CN" w:bidi="ar"/>
              </w:rPr>
              <w:t>分两个</w:t>
            </w:r>
            <w:r>
              <w:rPr>
                <w:rFonts w:hint="eastAsia" w:ascii="Times New Roman" w:hAnsi="Times New Roman" w:eastAsia="宋体" w:cs="Times New Roman"/>
                <w:color w:val="auto"/>
                <w:kern w:val="0"/>
                <w:sz w:val="24"/>
                <w:szCs w:val="24"/>
                <w:highlight w:val="none"/>
                <w:lang w:val="en-US" w:eastAsia="zh-CN" w:bidi="ar"/>
              </w:rPr>
              <w:t>点就近</w:t>
            </w:r>
            <w:r>
              <w:rPr>
                <w:rFonts w:hint="default" w:ascii="Times New Roman" w:hAnsi="Times New Roman" w:eastAsia="宋体" w:cs="Times New Roman"/>
                <w:color w:val="auto"/>
                <w:kern w:val="0"/>
                <w:sz w:val="24"/>
                <w:szCs w:val="24"/>
                <w:highlight w:val="none"/>
                <w:lang w:val="en-US" w:eastAsia="zh-CN" w:bidi="ar"/>
              </w:rPr>
              <w:t>布置，</w:t>
            </w:r>
            <w:r>
              <w:rPr>
                <w:rFonts w:hint="eastAsia" w:ascii="Times New Roman" w:hAnsi="Times New Roman" w:eastAsia="宋体" w:cs="Times New Roman"/>
                <w:color w:val="auto"/>
                <w:kern w:val="0"/>
                <w:sz w:val="24"/>
                <w:szCs w:val="24"/>
                <w:highlight w:val="none"/>
                <w:lang w:val="en-US" w:eastAsia="zh-CN" w:bidi="ar"/>
              </w:rPr>
              <w:t>陇县污水处理厂人工湿地的施工工区布置在人工湿地选址北侧的空地</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陇县千河南岸新城污水处理厂人工湿地的施工工区设置在人工湿地</w:t>
            </w:r>
            <w:r>
              <w:rPr>
                <w:rFonts w:hint="default" w:ascii="Times New Roman" w:hAnsi="Times New Roman" w:eastAsia="宋体" w:cs="Times New Roman"/>
                <w:color w:val="auto"/>
                <w:kern w:val="0"/>
                <w:sz w:val="24"/>
                <w:szCs w:val="24"/>
                <w:highlight w:val="none"/>
                <w:lang w:val="en-US" w:eastAsia="zh-CN" w:bidi="ar"/>
              </w:rPr>
              <w:t>以</w:t>
            </w:r>
            <w:r>
              <w:rPr>
                <w:rFonts w:hint="eastAsia" w:ascii="Times New Roman" w:hAnsi="Times New Roman" w:eastAsia="宋体" w:cs="Times New Roman"/>
                <w:color w:val="auto"/>
                <w:kern w:val="0"/>
                <w:sz w:val="24"/>
                <w:szCs w:val="24"/>
                <w:highlight w:val="none"/>
                <w:lang w:val="en-US" w:eastAsia="zh-CN" w:bidi="ar"/>
              </w:rPr>
              <w:t>北</w:t>
            </w:r>
            <w:r>
              <w:rPr>
                <w:rFonts w:hint="default" w:ascii="Times New Roman" w:hAnsi="Times New Roman" w:eastAsia="宋体" w:cs="Times New Roman"/>
                <w:color w:val="auto"/>
                <w:kern w:val="0"/>
                <w:sz w:val="24"/>
                <w:szCs w:val="24"/>
                <w:highlight w:val="none"/>
                <w:lang w:val="en-US" w:eastAsia="zh-CN" w:bidi="ar"/>
              </w:rPr>
              <w:t>的空地上。</w:t>
            </w:r>
          </w:p>
          <w:p w14:paraId="634E8132">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（1）</w:t>
            </w:r>
            <w:r>
              <w:rPr>
                <w:rFonts w:hint="eastAsia" w:ascii="Times New Roman" w:hAnsi="Times New Roman" w:eastAsia="宋体" w:cs="Times New Roman"/>
                <w:color w:val="auto"/>
                <w:kern w:val="0"/>
                <w:sz w:val="24"/>
                <w:szCs w:val="24"/>
                <w:highlight w:val="none"/>
                <w:lang w:val="en-US" w:eastAsia="zh-CN" w:bidi="ar"/>
              </w:rPr>
              <w:t>施工交通条件</w:t>
            </w:r>
          </w:p>
          <w:p w14:paraId="56738979">
            <w:pPr>
              <w:keepNext w:val="0"/>
              <w:keepLines w:val="0"/>
              <w:pageBreakBefore w:val="0"/>
              <w:widowControl w:val="0"/>
              <w:suppressLineNumbers w:val="0"/>
              <w:kinsoku/>
              <w:wordWrap/>
              <w:overflowPunct/>
              <w:topLinePunct w:val="0"/>
              <w:autoSpaceDE/>
              <w:autoSpaceDN/>
              <w:bidi w:val="0"/>
              <w:adjustRightInd/>
              <w:snapToGrid/>
              <w:spacing w:line="360" w:lineRule="auto"/>
              <w:ind w:firstLine="476"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宋体"/>
                <w:spacing w:val="-1"/>
                <w:sz w:val="24"/>
                <w:szCs w:val="24"/>
                <w:lang w:val="en-US" w:eastAsia="zh-CN"/>
              </w:rPr>
              <w:t>项目选址</w:t>
            </w:r>
            <w:r>
              <w:rPr>
                <w:rFonts w:ascii="Times New Roman" w:hAnsi="Times New Roman" w:eastAsia="宋体" w:cs="宋体"/>
                <w:spacing w:val="-1"/>
                <w:sz w:val="24"/>
                <w:szCs w:val="24"/>
              </w:rPr>
              <w:t>紧邻宝平路、</w:t>
            </w:r>
            <w:r>
              <w:rPr>
                <w:rFonts w:ascii="Times New Roman" w:hAnsi="Times New Roman" w:eastAsia="宋体" w:cs="Times New Roman"/>
                <w:spacing w:val="-1"/>
                <w:sz w:val="24"/>
                <w:szCs w:val="24"/>
              </w:rPr>
              <w:t>344</w:t>
            </w:r>
            <w:r>
              <w:rPr>
                <w:rFonts w:ascii="Times New Roman" w:hAnsi="Times New Roman" w:eastAsia="宋体" w:cs="宋体"/>
                <w:spacing w:val="-1"/>
                <w:sz w:val="24"/>
                <w:szCs w:val="24"/>
              </w:rPr>
              <w:t>国道（东灵线）、</w:t>
            </w:r>
            <w:r>
              <w:rPr>
                <w:rFonts w:ascii="Times New Roman" w:hAnsi="Times New Roman" w:eastAsia="宋体" w:cs="Times New Roman"/>
                <w:spacing w:val="-1"/>
                <w:sz w:val="24"/>
                <w:szCs w:val="24"/>
              </w:rPr>
              <w:t>G85</w:t>
            </w:r>
            <w:r>
              <w:rPr>
                <w:rFonts w:ascii="Times New Roman" w:hAnsi="Times New Roman" w:eastAsia="宋体" w:cs="宋体"/>
                <w:spacing w:val="-1"/>
                <w:sz w:val="24"/>
                <w:szCs w:val="24"/>
              </w:rPr>
              <w:t>银昆高速，对外</w:t>
            </w:r>
            <w:r>
              <w:rPr>
                <w:rFonts w:ascii="Times New Roman" w:hAnsi="Times New Roman" w:eastAsia="宋体" w:cs="宋体"/>
                <w:spacing w:val="-2"/>
                <w:sz w:val="24"/>
                <w:szCs w:val="24"/>
              </w:rPr>
              <w:t>交通便利，建设条件优越</w:t>
            </w:r>
            <w:r>
              <w:rPr>
                <w:rFonts w:hint="eastAsia" w:ascii="Times New Roman" w:hAnsi="Times New Roman" w:eastAsia="宋体" w:cs="宋体"/>
                <w:spacing w:val="-2"/>
                <w:sz w:val="24"/>
                <w:szCs w:val="24"/>
                <w:lang w:eastAsia="zh-CN"/>
              </w:rPr>
              <w:t>，</w:t>
            </w:r>
            <w:r>
              <w:rPr>
                <w:rFonts w:hint="default" w:ascii="Times New Roman" w:hAnsi="Times New Roman" w:eastAsia="宋体" w:cs="Times New Roman"/>
                <w:color w:val="auto"/>
                <w:kern w:val="0"/>
                <w:sz w:val="24"/>
                <w:szCs w:val="24"/>
                <w:highlight w:val="none"/>
                <w:lang w:val="en-US" w:eastAsia="zh-CN" w:bidi="ar"/>
              </w:rPr>
              <w:t>对外交通主要依靠</w:t>
            </w:r>
            <w:r>
              <w:rPr>
                <w:rFonts w:hint="eastAsia" w:ascii="Times New Roman" w:hAnsi="Times New Roman" w:eastAsia="宋体" w:cs="Times New Roman"/>
                <w:color w:val="auto"/>
                <w:kern w:val="0"/>
                <w:sz w:val="24"/>
                <w:szCs w:val="24"/>
                <w:highlight w:val="none"/>
                <w:lang w:val="en-US" w:eastAsia="zh-CN" w:bidi="ar"/>
              </w:rPr>
              <w:t>宝平路、344国道、G85银昆高速</w:t>
            </w:r>
            <w:r>
              <w:rPr>
                <w:rFonts w:hint="default" w:ascii="Times New Roman" w:hAnsi="Times New Roman" w:eastAsia="宋体" w:cs="Times New Roman"/>
                <w:color w:val="auto"/>
                <w:kern w:val="0"/>
                <w:sz w:val="24"/>
                <w:szCs w:val="24"/>
                <w:highlight w:val="none"/>
                <w:lang w:val="en-US" w:eastAsia="zh-CN" w:bidi="ar"/>
              </w:rPr>
              <w:t>和现有的乡村道路。</w:t>
            </w:r>
          </w:p>
          <w:p w14:paraId="09C3B307">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（2）水、电等能源供应</w:t>
            </w:r>
          </w:p>
          <w:p w14:paraId="269C2A46">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本工程施工用水主要为施工设备冲洗用水，可采用小型水泵从河道中直接抽取，生活用水依托周边居民用水；施工用电主要为机械设备用电，利用当地电网供电；施工机械用油依托工程周边现有加油站进行加油，施工现场不设汽、柴油贮存设施。</w:t>
            </w:r>
          </w:p>
          <w:p w14:paraId="4170F4B0">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（3）工程建材</w:t>
            </w:r>
          </w:p>
          <w:p w14:paraId="1FECEA26">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1）混凝土骨料及块石：本工程施工过程使用的混凝土骨料及块石在陇县城关镇某砂石厂购买，距离工程区运距2~6km，综合运距5km，现场不设搅拌设施。</w:t>
            </w:r>
          </w:p>
          <w:p w14:paraId="54F08BAF">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2）填筑土料：主体工程所需的回填料全部利用工程开挖料；人工湿地内沸石、卵石及种植土填料从附近区域外购。临时工程所需的土石料均利用工程开挖土石料。</w:t>
            </w:r>
          </w:p>
          <w:p w14:paraId="11810177">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3）水泥：水泥在千阳县草碧镇某水泥厂购买，水泥厂位于千阳县草碧镇，水泥厂年产量440万吨，至各工区运距22~28km，综合运距25km。</w:t>
            </w:r>
          </w:p>
          <w:p w14:paraId="6057FFDD">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olor w:val="auto"/>
                <w:lang w:val="en-US" w:eastAsia="zh-CN"/>
              </w:rPr>
            </w:pPr>
            <w:r>
              <w:rPr>
                <w:rFonts w:hint="eastAsia" w:ascii="Times New Roman" w:hAnsi="Times New Roman" w:eastAsia="宋体" w:cs="Times New Roman"/>
                <w:color w:val="auto"/>
                <w:kern w:val="0"/>
                <w:sz w:val="24"/>
                <w:szCs w:val="24"/>
                <w:highlight w:val="none"/>
                <w:lang w:val="en-US" w:eastAsia="zh-CN" w:bidi="ar"/>
              </w:rPr>
              <w:t>4）钢材、木材、汽油、柴油、管道：钢材、木材、汽油、柴油、管道等均在陇县城区购买，距离工程区运距2~8km，综合运距5km。</w:t>
            </w:r>
          </w:p>
        </w:tc>
      </w:tr>
      <w:tr w14:paraId="244708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96" w:hRule="atLeast"/>
          <w:jc w:val="center"/>
        </w:trPr>
        <w:tc>
          <w:tcPr>
            <w:tcW w:w="400" w:type="pct"/>
            <w:noWrap w:val="0"/>
            <w:vAlign w:val="center"/>
          </w:tcPr>
          <w:p w14:paraId="15AD4690">
            <w:pPr>
              <w:pStyle w:val="1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宋体"/>
                <w:color w:val="auto"/>
                <w:szCs w:val="24"/>
                <w:lang w:val="en-US" w:eastAsia="zh-CN"/>
              </w:rPr>
            </w:pPr>
            <w:r>
              <w:rPr>
                <w:rFonts w:hint="eastAsia" w:ascii="Times New Roman" w:hAnsi="Times New Roman" w:eastAsia="宋体" w:cs="宋体"/>
                <w:color w:val="auto"/>
                <w:szCs w:val="24"/>
                <w:lang w:val="en-US" w:eastAsia="zh-CN"/>
              </w:rPr>
              <w:t>施工方案</w:t>
            </w:r>
          </w:p>
        </w:tc>
        <w:tc>
          <w:tcPr>
            <w:tcW w:w="4599" w:type="pct"/>
            <w:noWrap w:val="0"/>
            <w:vAlign w:val="top"/>
          </w:tcPr>
          <w:p w14:paraId="491476D1">
            <w:pPr>
              <w:keepNext w:val="0"/>
              <w:keepLines w:val="0"/>
              <w:pageBreakBefore w:val="0"/>
              <w:widowControl w:val="0"/>
              <w:kinsoku/>
              <w:wordWrap/>
              <w:overflowPunct/>
              <w:topLinePunct w:val="0"/>
              <w:autoSpaceDE/>
              <w:autoSpaceDN/>
              <w:bidi w:val="0"/>
              <w:adjustRightInd/>
              <w:snapToGrid/>
              <w:spacing w:before="157" w:beforeLines="50" w:line="360" w:lineRule="auto"/>
              <w:ind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1、施工期工艺</w:t>
            </w:r>
          </w:p>
          <w:p w14:paraId="3A05162C">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本</w:t>
            </w:r>
            <w:r>
              <w:rPr>
                <w:rFonts w:hint="eastAsia" w:ascii="Times New Roman" w:hAnsi="Times New Roman" w:eastAsia="宋体" w:cs="Times New Roman"/>
                <w:color w:val="auto"/>
                <w:sz w:val="24"/>
                <w:szCs w:val="24"/>
                <w:lang w:val="en-US" w:eastAsia="zh-CN"/>
              </w:rPr>
              <w:t>工程</w:t>
            </w:r>
            <w:r>
              <w:rPr>
                <w:rFonts w:hint="default" w:ascii="Times New Roman" w:hAnsi="Times New Roman" w:eastAsia="宋体" w:cs="Times New Roman"/>
                <w:color w:val="auto"/>
                <w:sz w:val="24"/>
                <w:szCs w:val="24"/>
              </w:rPr>
              <w:t>为</w:t>
            </w:r>
            <w:r>
              <w:rPr>
                <w:rFonts w:hint="eastAsia" w:ascii="Times New Roman" w:hAnsi="Times New Roman" w:eastAsia="宋体" w:cs="Times New Roman"/>
                <w:color w:val="auto"/>
                <w:sz w:val="24"/>
                <w:szCs w:val="24"/>
                <w:lang w:val="en-US" w:eastAsia="zh-CN"/>
              </w:rPr>
              <w:t>污水处理厂人工湿地建设工程</w:t>
            </w:r>
            <w:r>
              <w:rPr>
                <w:rFonts w:hint="default" w:ascii="Times New Roman" w:hAnsi="Times New Roman" w:eastAsia="宋体" w:cs="Times New Roman"/>
                <w:color w:val="auto"/>
                <w:sz w:val="24"/>
                <w:szCs w:val="24"/>
              </w:rPr>
              <w:t>，不属于工业污染类项目，其环境影响主要表现在施工期。工程施工期间将产生噪声、扬尘、固体废弃物、</w:t>
            </w:r>
            <w:r>
              <w:rPr>
                <w:rFonts w:hint="eastAsia" w:ascii="Times New Roman" w:hAnsi="Times New Roman" w:eastAsia="宋体" w:cs="Times New Roman"/>
                <w:color w:val="auto"/>
                <w:sz w:val="24"/>
                <w:szCs w:val="24"/>
                <w:lang w:eastAsia="zh-CN"/>
              </w:rPr>
              <w:t>废</w:t>
            </w:r>
            <w:r>
              <w:rPr>
                <w:rFonts w:hint="default" w:ascii="Times New Roman" w:hAnsi="Times New Roman" w:eastAsia="宋体" w:cs="Times New Roman"/>
                <w:color w:val="auto"/>
                <w:sz w:val="24"/>
                <w:szCs w:val="24"/>
              </w:rPr>
              <w:t>水等污染物；建成运营期间，无污染物产生，工程运营期将主要发挥</w:t>
            </w:r>
            <w:r>
              <w:rPr>
                <w:rFonts w:hint="eastAsia" w:ascii="Times New Roman" w:hAnsi="Times New Roman" w:eastAsia="宋体" w:cs="Times New Roman"/>
                <w:color w:val="auto"/>
                <w:sz w:val="24"/>
                <w:szCs w:val="24"/>
                <w:lang w:val="en-US" w:eastAsia="zh-CN"/>
              </w:rPr>
              <w:t>水质净化</w:t>
            </w:r>
            <w:r>
              <w:rPr>
                <w:rFonts w:hint="default" w:ascii="Times New Roman" w:hAnsi="Times New Roman" w:eastAsia="宋体" w:cs="Times New Roman"/>
                <w:color w:val="auto"/>
                <w:sz w:val="24"/>
                <w:szCs w:val="24"/>
              </w:rPr>
              <w:t>功能，</w:t>
            </w:r>
            <w:r>
              <w:rPr>
                <w:rFonts w:hint="eastAsia" w:ascii="Times New Roman" w:hAnsi="Times New Roman" w:eastAsia="宋体" w:cs="Times New Roman"/>
                <w:color w:val="auto"/>
                <w:sz w:val="24"/>
                <w:szCs w:val="24"/>
                <w:lang w:val="en-US" w:eastAsia="zh-CN"/>
              </w:rPr>
              <w:t>减少</w:t>
            </w:r>
            <w:r>
              <w:rPr>
                <w:rFonts w:hint="eastAsia" w:ascii="Times New Roman" w:hAnsi="Times New Roman" w:eastAsia="宋体" w:cs="Times New Roman"/>
                <w:color w:val="auto"/>
                <w:sz w:val="24"/>
                <w:szCs w:val="24"/>
                <w:lang w:eastAsia="zh-CN"/>
              </w:rPr>
              <w:t>了</w:t>
            </w:r>
            <w:r>
              <w:rPr>
                <w:rFonts w:hint="eastAsia" w:ascii="Times New Roman" w:hAnsi="Times New Roman" w:eastAsia="宋体" w:cs="Times New Roman"/>
                <w:color w:val="auto"/>
                <w:sz w:val="24"/>
                <w:szCs w:val="24"/>
                <w:lang w:val="en-US" w:eastAsia="zh-CN"/>
              </w:rPr>
              <w:t>排入千河的污染物，为环境带来一定的正效益</w:t>
            </w:r>
            <w:r>
              <w:rPr>
                <w:rFonts w:hint="default" w:ascii="Times New Roman" w:hAnsi="Times New Roman" w:eastAsia="宋体" w:cs="Times New Roman"/>
                <w:color w:val="auto"/>
                <w:sz w:val="24"/>
                <w:szCs w:val="24"/>
              </w:rPr>
              <w:t>。因此，本次仅分析施工工艺及施工期产污情况。</w:t>
            </w:r>
          </w:p>
          <w:p w14:paraId="7F54FCEB">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本项目施工期本着先深后浅</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先预埋管道工程后上池体结构的原则进行。</w:t>
            </w:r>
            <w:r>
              <w:rPr>
                <w:rFonts w:hint="eastAsia" w:ascii="Times New Roman" w:hAnsi="Times New Roman" w:eastAsia="宋体" w:cs="Times New Roman"/>
                <w:color w:val="auto"/>
                <w:sz w:val="24"/>
                <w:szCs w:val="24"/>
                <w:lang w:val="en-US" w:eastAsia="zh-CN"/>
              </w:rPr>
              <w:t>施工工艺流程简述如下。</w:t>
            </w:r>
          </w:p>
          <w:p w14:paraId="1A029218">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Chars="0"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施工准备</w:t>
            </w:r>
          </w:p>
          <w:p w14:paraId="065FF006">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根据设计方案落实施工道路、施工工区、施工供水电、施工机械等条件。并在施工现场设置醒目禁行标志，禁止车辆及行人通行，严禁非施工人员进入施工现场。</w:t>
            </w:r>
          </w:p>
          <w:p w14:paraId="2E87B473">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土方开挖</w:t>
            </w:r>
          </w:p>
          <w:p w14:paraId="25023BE9">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both"/>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在主体工程施工前，先进行表层土、种植土、淤泥及树根等清除，清除范围按堤身填筑区内</w:t>
            </w:r>
            <w:r>
              <w:rPr>
                <w:rFonts w:hint="eastAsia" w:ascii="Times New Roman" w:hAnsi="Times New Roman" w:eastAsia="宋体" w:cs="Times New Roman"/>
                <w:color w:val="auto"/>
                <w:sz w:val="24"/>
                <w:szCs w:val="24"/>
                <w:lang w:val="en-US" w:eastAsia="zh-CN"/>
              </w:rPr>
              <w:t>至基坑开挖区线外扩各</w:t>
            </w:r>
            <w:r>
              <w:rPr>
                <w:rFonts w:hint="default" w:ascii="Times New Roman" w:hAnsi="Times New Roman" w:eastAsia="宋体" w:cs="Times New Roman"/>
                <w:color w:val="auto"/>
                <w:sz w:val="24"/>
                <w:szCs w:val="24"/>
                <w:lang w:val="en-US" w:eastAsia="zh-CN"/>
              </w:rPr>
              <w:t>1m</w:t>
            </w:r>
            <w:r>
              <w:rPr>
                <w:rFonts w:hint="eastAsia" w:ascii="Times New Roman" w:hAnsi="Times New Roman" w:eastAsia="宋体" w:cs="Times New Roman"/>
                <w:color w:val="auto"/>
                <w:sz w:val="24"/>
                <w:szCs w:val="24"/>
                <w:lang w:val="en-US" w:eastAsia="zh-CN"/>
              </w:rPr>
              <w:t>，表土清除以露出新鲜基面并符合设计要求为准，清除物不得用于回填，全部运至选定弃料场。开挖主要包括人工湿地开挖、挡墙基础部位及护坡开挖等。开挖采用</w:t>
            </w:r>
            <w:r>
              <w:rPr>
                <w:rFonts w:hint="default" w:ascii="Times New Roman" w:hAnsi="Times New Roman" w:eastAsia="宋体" w:cs="Times New Roman"/>
                <w:color w:val="auto"/>
                <w:sz w:val="24"/>
                <w:szCs w:val="24"/>
                <w:lang w:val="en-US" w:eastAsia="zh-CN"/>
              </w:rPr>
              <w:t>1m</w:t>
            </w:r>
            <w:r>
              <w:rPr>
                <w:rFonts w:hint="default"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挖掘机挖装，</w:t>
            </w:r>
            <w:r>
              <w:rPr>
                <w:rFonts w:hint="default" w:ascii="Times New Roman" w:hAnsi="Times New Roman" w:eastAsia="宋体" w:cs="Times New Roman"/>
                <w:color w:val="auto"/>
                <w:sz w:val="24"/>
                <w:szCs w:val="24"/>
                <w:lang w:val="en-US" w:eastAsia="zh-CN"/>
              </w:rPr>
              <w:t>8t</w:t>
            </w:r>
            <w:r>
              <w:rPr>
                <w:rFonts w:hint="eastAsia" w:ascii="Times New Roman" w:hAnsi="Times New Roman" w:eastAsia="宋体" w:cs="Times New Roman"/>
                <w:color w:val="auto"/>
                <w:sz w:val="24"/>
                <w:szCs w:val="24"/>
                <w:lang w:val="en-US" w:eastAsia="zh-CN"/>
              </w:rPr>
              <w:t>自卸汽车运输，开挖的弃料运至选定的弃料场。</w:t>
            </w:r>
          </w:p>
          <w:p w14:paraId="571BF67D">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素土垫层</w:t>
            </w:r>
          </w:p>
          <w:p w14:paraId="06F13714">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机械开挖后</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经过人工配合修边整平并验槽后</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即可进行换土回填。回填时采用-打夯机配合施工。土方回填要求分层夯填</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至少碾压三遍。</w:t>
            </w:r>
          </w:p>
          <w:p w14:paraId="49CE06A2">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混凝土浇筑</w:t>
            </w:r>
            <w:r>
              <w:rPr>
                <w:rFonts w:hint="default" w:ascii="Times New Roman" w:hAnsi="Times New Roman" w:eastAsia="宋体" w:cs="Times New Roman"/>
                <w:color w:val="auto"/>
                <w:sz w:val="24"/>
                <w:szCs w:val="24"/>
              </w:rPr>
              <w:t>工程</w:t>
            </w:r>
          </w:p>
          <w:p w14:paraId="398D3F88">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本工程混凝土浇筑包括</w:t>
            </w:r>
            <w:r>
              <w:rPr>
                <w:rFonts w:hint="eastAsia" w:ascii="Times New Roman" w:hAnsi="Times New Roman" w:eastAsia="宋体" w:cs="Times New Roman"/>
                <w:color w:val="auto"/>
                <w:sz w:val="24"/>
                <w:szCs w:val="24"/>
                <w:lang w:val="en-US" w:eastAsia="zh-CN"/>
              </w:rPr>
              <w:t>人工湿地池体</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护岸</w:t>
            </w:r>
            <w:r>
              <w:rPr>
                <w:rFonts w:hint="default" w:ascii="Times New Roman" w:hAnsi="Times New Roman" w:eastAsia="宋体" w:cs="Times New Roman"/>
                <w:color w:val="auto"/>
                <w:sz w:val="24"/>
                <w:szCs w:val="24"/>
                <w:lang w:val="en-US" w:eastAsia="zh-CN"/>
              </w:rPr>
              <w:t>、路面等。</w:t>
            </w:r>
            <w:r>
              <w:rPr>
                <w:rFonts w:hint="eastAsia" w:ascii="Times New Roman" w:hAnsi="Times New Roman" w:eastAsia="宋体" w:cs="Times New Roman"/>
                <w:color w:val="auto"/>
                <w:sz w:val="24"/>
                <w:szCs w:val="24"/>
                <w:lang w:val="en-US" w:eastAsia="zh-CN"/>
              </w:rPr>
              <w:t>本工程混凝土用量主要集中在人工湿地池体和挡墙，用量较大，拟采用商品混凝土施工，由</w:t>
            </w:r>
            <w:r>
              <w:rPr>
                <w:rFonts w:hint="default" w:ascii="Times New Roman" w:hAnsi="Times New Roman" w:eastAsia="宋体" w:cs="Times New Roman"/>
                <w:color w:val="auto"/>
                <w:sz w:val="24"/>
                <w:szCs w:val="24"/>
                <w:lang w:val="en-US" w:eastAsia="zh-CN"/>
              </w:rPr>
              <w:t>8m</w:t>
            </w:r>
            <w:r>
              <w:rPr>
                <w:rFonts w:hint="default"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罐车直接运</w:t>
            </w:r>
            <w:r>
              <w:rPr>
                <w:rFonts w:hint="default" w:ascii="Times New Roman" w:hAnsi="Times New Roman" w:eastAsia="宋体" w:cs="Times New Roman"/>
                <w:color w:val="auto"/>
                <w:sz w:val="24"/>
                <w:szCs w:val="24"/>
                <w:lang w:val="en-US" w:eastAsia="zh-CN"/>
              </w:rPr>
              <w:t>输至施工区混凝土浇筑现场。垫层采用转溜槽入仓，砼路沿石、排水沟、路面采用直接入仓，人</w:t>
            </w:r>
            <w:r>
              <w:rPr>
                <w:rFonts w:hint="eastAsia" w:ascii="Times New Roman" w:hAnsi="Times New Roman" w:eastAsia="宋体" w:cs="Times New Roman"/>
                <w:color w:val="auto"/>
                <w:sz w:val="24"/>
                <w:szCs w:val="24"/>
                <w:lang w:val="en-US" w:eastAsia="zh-CN"/>
              </w:rPr>
              <w:t xml:space="preserve">工架立模板，人工平仓，插入式振捣器捣实。浇筑混凝土时，严禁在仓内加水。如发现混凝土和易性较差时，必须采取加强振捣等措施，以保证混凝土质量。不合格的混凝土严禁入仓；已入仓的不合格的混凝土必须清除。混凝土浇筑期间，如表面泌水较多，应及时研究减少泌水的措施。仓内的泌水必须及时排除。严禁在模板上开孔赶水，带走灰浆。 </w:t>
            </w:r>
          </w:p>
          <w:p w14:paraId="00B8EFDF">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5</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土方填筑</w:t>
            </w:r>
          </w:p>
          <w:p w14:paraId="1F8317EC">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both"/>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土方填筑范围包括人工湿地</w:t>
            </w:r>
            <w:r>
              <w:rPr>
                <w:rFonts w:hint="eastAsia" w:ascii="Times New Roman" w:hAnsi="Times New Roman" w:eastAsia="宋体" w:cs="Times New Roman"/>
                <w:color w:val="auto"/>
                <w:sz w:val="24"/>
                <w:szCs w:val="24"/>
                <w:lang w:val="en-US" w:eastAsia="zh-CN"/>
              </w:rPr>
              <w:t>外侧</w:t>
            </w:r>
            <w:r>
              <w:rPr>
                <w:rFonts w:hint="default" w:ascii="Times New Roman" w:hAnsi="Times New Roman" w:eastAsia="宋体" w:cs="Times New Roman"/>
                <w:color w:val="auto"/>
                <w:sz w:val="24"/>
                <w:szCs w:val="24"/>
                <w:lang w:val="en-US" w:eastAsia="zh-CN"/>
              </w:rPr>
              <w:t>、填料区回填及临时设施基础填筑等。填筑材料优先选用工</w:t>
            </w:r>
            <w:r>
              <w:rPr>
                <w:rFonts w:hint="eastAsia" w:ascii="Times New Roman" w:hAnsi="Times New Roman" w:eastAsia="宋体" w:cs="Times New Roman"/>
                <w:color w:val="auto"/>
                <w:sz w:val="24"/>
                <w:szCs w:val="24"/>
                <w:lang w:val="en-US" w:eastAsia="zh-CN"/>
              </w:rPr>
              <w:t>程开挖料，填筑施工采用分层填筑、分层压实工艺，每层虚铺厚度控制在</w:t>
            </w:r>
            <w:r>
              <w:rPr>
                <w:rFonts w:hint="default" w:ascii="Times New Roman" w:hAnsi="Times New Roman" w:eastAsia="宋体" w:cs="Times New Roman"/>
                <w:color w:val="auto"/>
                <w:sz w:val="24"/>
                <w:szCs w:val="24"/>
                <w:lang w:val="en-US" w:eastAsia="zh-CN"/>
              </w:rPr>
              <w:t>30-50cm</w:t>
            </w:r>
            <w:r>
              <w:rPr>
                <w:rFonts w:hint="eastAsia" w:ascii="Times New Roman" w:hAnsi="Times New Roman" w:eastAsia="宋体" w:cs="Times New Roman"/>
                <w:color w:val="auto"/>
                <w:sz w:val="24"/>
                <w:szCs w:val="24"/>
                <w:lang w:val="en-US" w:eastAsia="zh-CN"/>
              </w:rPr>
              <w:t>（根据压实机械类型调整），选用</w:t>
            </w:r>
            <w:r>
              <w:rPr>
                <w:rFonts w:hint="default" w:ascii="Times New Roman" w:hAnsi="Times New Roman" w:eastAsia="宋体" w:cs="Times New Roman"/>
                <w:color w:val="auto"/>
                <w:sz w:val="24"/>
                <w:szCs w:val="24"/>
                <w:lang w:val="en-US" w:eastAsia="zh-CN"/>
              </w:rPr>
              <w:t>20t</w:t>
            </w:r>
            <w:r>
              <w:rPr>
                <w:rFonts w:hint="eastAsia" w:ascii="Times New Roman" w:hAnsi="Times New Roman" w:eastAsia="宋体" w:cs="Times New Roman"/>
                <w:color w:val="auto"/>
                <w:sz w:val="24"/>
                <w:szCs w:val="24"/>
                <w:lang w:val="en-US" w:eastAsia="zh-CN"/>
              </w:rPr>
              <w:t>振动压路机进行碾压，碾压方向平行于堤轴线，碾压遍数不少于</w:t>
            </w:r>
            <w:r>
              <w:rPr>
                <w:rFonts w:hint="default" w:ascii="Times New Roman" w:hAnsi="Times New Roman" w:eastAsia="宋体" w:cs="Times New Roman"/>
                <w:color w:val="auto"/>
                <w:sz w:val="24"/>
                <w:szCs w:val="24"/>
                <w:lang w:val="en-US" w:eastAsia="zh-CN"/>
              </w:rPr>
              <w:t>6</w:t>
            </w:r>
            <w:r>
              <w:rPr>
                <w:rFonts w:hint="eastAsia" w:ascii="Times New Roman" w:hAnsi="Times New Roman" w:eastAsia="宋体" w:cs="Times New Roman"/>
                <w:color w:val="auto"/>
                <w:sz w:val="24"/>
                <w:szCs w:val="24"/>
                <w:lang w:val="en-US" w:eastAsia="zh-CN"/>
              </w:rPr>
              <w:t>遍，相邻碾压带重叠宽度不小于</w:t>
            </w:r>
            <w:r>
              <w:rPr>
                <w:rFonts w:hint="default" w:ascii="Times New Roman" w:hAnsi="Times New Roman" w:eastAsia="宋体" w:cs="Times New Roman"/>
                <w:color w:val="auto"/>
                <w:sz w:val="24"/>
                <w:szCs w:val="24"/>
                <w:lang w:val="en-US" w:eastAsia="zh-CN"/>
              </w:rPr>
              <w:t>10cm</w:t>
            </w:r>
            <w:r>
              <w:rPr>
                <w:rFonts w:hint="eastAsia" w:ascii="Times New Roman" w:hAnsi="Times New Roman" w:eastAsia="宋体" w:cs="Times New Roman"/>
                <w:color w:val="auto"/>
                <w:sz w:val="24"/>
                <w:szCs w:val="24"/>
                <w:lang w:val="en-US" w:eastAsia="zh-CN"/>
              </w:rPr>
              <w:t>。施工顺序遵循″从低到高、分层分段″原则，分段填筑时，相邻段接缝处需做成斜坡搭接，搭接长度不小于</w:t>
            </w:r>
            <w:r>
              <w:rPr>
                <w:rFonts w:hint="default" w:ascii="Times New Roman" w:hAnsi="Times New Roman" w:eastAsia="宋体" w:cs="Times New Roman"/>
                <w:color w:val="auto"/>
                <w:sz w:val="24"/>
                <w:szCs w:val="24"/>
                <w:lang w:val="en-US" w:eastAsia="zh-CN"/>
              </w:rPr>
              <w:t>2m</w:t>
            </w:r>
            <w:r>
              <w:rPr>
                <w:rFonts w:hint="eastAsia" w:ascii="Times New Roman" w:hAnsi="Times New Roman" w:eastAsia="宋体" w:cs="Times New Roman"/>
                <w:color w:val="auto"/>
                <w:sz w:val="24"/>
                <w:szCs w:val="24"/>
                <w:lang w:val="en-US" w:eastAsia="zh-CN"/>
              </w:rPr>
              <w:t>。雨天施工时，需在填筑区设置临时排水坡度，及时排除表面积水，已填筑未压实的料层若被雨水浸泡，需晾晒至最优含水量后重新碾压。与混凝土挡墙衔接处，需在挡墙强度达到设计值</w:t>
            </w:r>
            <w:r>
              <w:rPr>
                <w:rFonts w:hint="default" w:ascii="Times New Roman" w:hAnsi="Times New Roman" w:eastAsia="宋体" w:cs="Times New Roman"/>
                <w:color w:val="auto"/>
                <w:sz w:val="24"/>
                <w:szCs w:val="24"/>
                <w:lang w:val="en-US" w:eastAsia="zh-CN"/>
              </w:rPr>
              <w:t>70%</w:t>
            </w:r>
            <w:r>
              <w:rPr>
                <w:rFonts w:hint="eastAsia" w:ascii="Times New Roman" w:hAnsi="Times New Roman" w:eastAsia="宋体" w:cs="Times New Roman"/>
                <w:color w:val="auto"/>
                <w:sz w:val="24"/>
                <w:szCs w:val="24"/>
                <w:lang w:val="en-US" w:eastAsia="zh-CN"/>
              </w:rPr>
              <w:t>后进行填筑，填筑时采用小型压实机械（如蛙式打夯机）分层夯实，确保衔接部位压实度达标。填筑过程中需做好现场记录，包括每层填筑厚度、碾压遍数、压实度检测结果等，存档备查。</w:t>
            </w:r>
          </w:p>
          <w:p w14:paraId="0A70A02D">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6</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集水配水安装</w:t>
            </w:r>
          </w:p>
          <w:p w14:paraId="1CE4A985">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设备、管道工程施工本着先预埋</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后设备</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再管道、阀门的工作程序。管子内部和管端应清洗干净</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清除杂物</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密封面和螺纹不应损坏</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相互连接的法兰端面或螺纹轴心线应平行、对中</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不应借法兰螺栓或管接头强行连接</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管路与泵连接后</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不应再在其上进行焊接和切割</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依据设计的流体类别和设计压力对管道进行分类</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列入施工资料文件</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作为检测依据</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设计未标明的管道走向</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做好前期调查工作</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在保证工艺需求的前提下</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力争做到布置整齐</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走向合理</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管道试压在设计要求下进行。</w:t>
            </w:r>
          </w:p>
          <w:p w14:paraId="5DF7BA57">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eastAsia="zh-CN"/>
              </w:rPr>
              <w:t>（</w:t>
            </w:r>
            <w:r>
              <w:rPr>
                <w:rFonts w:hint="eastAsia" w:ascii="Times New Roman" w:hAnsi="Times New Roman" w:eastAsia="宋体" w:cs="宋体"/>
                <w:color w:val="auto"/>
                <w:sz w:val="24"/>
                <w:szCs w:val="24"/>
                <w:lang w:val="en-US" w:eastAsia="zh-CN"/>
              </w:rPr>
              <w:t>7</w:t>
            </w:r>
            <w:r>
              <w:rPr>
                <w:rFonts w:hint="eastAsia" w:ascii="Times New Roman" w:hAnsi="Times New Roman" w:eastAsia="宋体" w:cs="宋体"/>
                <w:color w:val="auto"/>
                <w:sz w:val="24"/>
                <w:szCs w:val="24"/>
                <w:lang w:eastAsia="zh-CN"/>
              </w:rPr>
              <w:t>）</w:t>
            </w:r>
            <w:r>
              <w:rPr>
                <w:rFonts w:hint="eastAsia" w:ascii="Times New Roman" w:hAnsi="Times New Roman" w:eastAsia="宋体" w:cs="宋体"/>
                <w:color w:val="auto"/>
                <w:sz w:val="24"/>
                <w:szCs w:val="24"/>
                <w:lang w:val="en-US" w:eastAsia="zh-CN"/>
              </w:rPr>
              <w:t>湿地基质充填</w:t>
            </w:r>
          </w:p>
          <w:p w14:paraId="4E606A55">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both"/>
              <w:textAlignment w:val="auto"/>
              <w:rPr>
                <w:rFonts w:hint="eastAsia" w:ascii="Times New Roman" w:hAnsi="Times New Roman" w:eastAsia="宋体" w:cs="宋体"/>
                <w:color w:val="auto"/>
                <w:sz w:val="24"/>
                <w:szCs w:val="24"/>
                <w:lang w:eastAsia="zh-CN"/>
              </w:rPr>
            </w:pPr>
            <w:r>
              <w:rPr>
                <w:rFonts w:hint="eastAsia" w:ascii="Times New Roman" w:hAnsi="Times New Roman" w:eastAsia="宋体" w:cs="宋体"/>
                <w:color w:val="auto"/>
                <w:sz w:val="24"/>
                <w:szCs w:val="24"/>
                <w:lang w:eastAsia="zh-CN"/>
              </w:rPr>
              <w:t>基质填充种类和粒径严格按照设计方案要求，完成单层完整敷设后，结合配水管和布水管工艺安装要求进行后续各层填料敷设，各层填料填充完成后及时进行填充密度及孔隙度检测，保证满足设计要求，填充时禁止车辆直接驶入湿地工程现场倾倒，采用分批分次人工输送、分块填充的方式进行，同时注意保护布水装置和配水系统。</w:t>
            </w:r>
          </w:p>
          <w:p w14:paraId="789C1547">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sz w:val="24"/>
                <w:szCs w:val="24"/>
              </w:rPr>
            </w:pPr>
            <w:r>
              <w:rPr>
                <w:rFonts w:hint="eastAsia" w:ascii="Times New Roman" w:hAnsi="Times New Roman" w:eastAsia="宋体" w:cs="宋体"/>
                <w:color w:val="auto"/>
                <w:sz w:val="24"/>
                <w:szCs w:val="24"/>
                <w:lang w:eastAsia="zh-CN"/>
              </w:rPr>
              <w:t>（</w:t>
            </w:r>
            <w:r>
              <w:rPr>
                <w:rFonts w:hint="eastAsia" w:ascii="Times New Roman" w:hAnsi="Times New Roman" w:eastAsia="宋体" w:cs="宋体"/>
                <w:color w:val="auto"/>
                <w:sz w:val="24"/>
                <w:szCs w:val="24"/>
                <w:lang w:val="en-US" w:eastAsia="zh-CN"/>
              </w:rPr>
              <w:t>8</w:t>
            </w:r>
            <w:r>
              <w:rPr>
                <w:rFonts w:hint="eastAsia" w:ascii="Times New Roman" w:hAnsi="Times New Roman" w:eastAsia="宋体" w:cs="宋体"/>
                <w:color w:val="auto"/>
                <w:sz w:val="24"/>
                <w:szCs w:val="24"/>
                <w:lang w:eastAsia="zh-CN"/>
              </w:rPr>
              <w:t>）</w:t>
            </w:r>
            <w:r>
              <w:rPr>
                <w:rFonts w:hint="default" w:ascii="Times New Roman" w:hAnsi="Times New Roman" w:eastAsia="宋体" w:cs="Times New Roman"/>
                <w:color w:val="auto"/>
                <w:sz w:val="24"/>
                <w:szCs w:val="24"/>
              </w:rPr>
              <w:t>植物种植</w:t>
            </w:r>
          </w:p>
          <w:p w14:paraId="42CF6FB1">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按照植物种植方案</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对人工湿地分别种植挺水植物、浮水植物以及沉水植物。植物种植结合要求采取不同的种子种植或幼苗移植方式种植时间选择在基质填充完成后的春季进行挺水植物种植密度结合现场情况进行种植浮水和沉水植物种植密度结合现场情况进行种植。</w:t>
            </w:r>
          </w:p>
          <w:p w14:paraId="798D36F5">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本项目主体工程施工阶段工艺流程图见图2-12。</w:t>
            </w:r>
          </w:p>
          <w:p w14:paraId="1726351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color w:val="auto"/>
                <w:sz w:val="24"/>
                <w:szCs w:val="24"/>
                <w:lang w:eastAsia="zh-CN"/>
              </w:rPr>
            </w:pPr>
            <w:r>
              <w:rPr>
                <w:rFonts w:ascii="Times New Roman" w:hAnsi="Times New Roman" w:eastAsia="宋体"/>
                <w:color w:val="auto"/>
                <w:sz w:val="21"/>
              </w:rPr>
              <mc:AlternateContent>
                <mc:Choice Requires="wps">
                  <w:drawing>
                    <wp:anchor distT="0" distB="0" distL="114300" distR="114300" simplePos="0" relativeHeight="251673600" behindDoc="0" locked="0" layoutInCell="1" allowOverlap="1">
                      <wp:simplePos x="0" y="0"/>
                      <wp:positionH relativeFrom="column">
                        <wp:posOffset>6350</wp:posOffset>
                      </wp:positionH>
                      <wp:positionV relativeFrom="paragraph">
                        <wp:posOffset>192405</wp:posOffset>
                      </wp:positionV>
                      <wp:extent cx="861695" cy="37401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861695" cy="3740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E4FD40">
                                  <w:pPr>
                                    <w:rPr>
                                      <w:rFonts w:hint="eastAsia"/>
                                      <w:sz w:val="15"/>
                                      <w:szCs w:val="15"/>
                                      <w:lang w:val="en-US" w:eastAsia="zh-CN"/>
                                    </w:rPr>
                                  </w:pPr>
                                  <w:r>
                                    <w:rPr>
                                      <w:rFonts w:hint="eastAsia"/>
                                      <w:sz w:val="15"/>
                                      <w:szCs w:val="15"/>
                                      <w:lang w:val="en-US" w:eastAsia="zh-CN"/>
                                    </w:rPr>
                                    <w:t>粉尘、噪声、</w:t>
                                  </w:r>
                                </w:p>
                                <w:p w14:paraId="34B84591">
                                  <w:pPr>
                                    <w:rPr>
                                      <w:rFonts w:hint="default" w:eastAsia="宋体"/>
                                      <w:sz w:val="15"/>
                                      <w:szCs w:val="15"/>
                                      <w:lang w:val="en-US" w:eastAsia="zh-CN"/>
                                    </w:rPr>
                                  </w:pPr>
                                  <w:r>
                                    <w:rPr>
                                      <w:rFonts w:hint="eastAsia"/>
                                      <w:sz w:val="15"/>
                                      <w:szCs w:val="15"/>
                                      <w:lang w:val="en-US" w:eastAsia="zh-CN"/>
                                    </w:rPr>
                                    <w:t>固废、生态破坏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5pt;margin-top:15.15pt;height:29.45pt;width:67.85pt;z-index:251673600;mso-width-relative:page;mso-height-relative:page;" filled="f" stroked="f" coordsize="21600,21600" o:gfxdata="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yMUEpNgAAAAHAQAADwAAAAAAAAABACAAAAAiAAAAZHJz&#10;L2Rvd25yZXYueG1sUEsBAhQAFAAAAAgAh07iQJjXhPU9AgAAZwQAAA4AAAAAAAAAAQAgAAAAJwEA&#10;AGRycy9lMm9Eb2MueG1sUEsFBgAAAAAGAAYAWQEAANYFAAAAAA==&#10;">
                      <v:fill on="f" focussize="0,0"/>
                      <v:stroke on="f" weight="0.5pt"/>
                      <v:imagedata o:title=""/>
                      <o:lock v:ext="edit" aspectratio="f"/>
                      <v:textbox>
                        <w:txbxContent>
                          <w:p w14:paraId="0CE4FD40">
                            <w:pPr>
                              <w:rPr>
                                <w:rFonts w:hint="eastAsia"/>
                                <w:sz w:val="15"/>
                                <w:szCs w:val="15"/>
                                <w:lang w:val="en-US" w:eastAsia="zh-CN"/>
                              </w:rPr>
                            </w:pPr>
                            <w:r>
                              <w:rPr>
                                <w:rFonts w:hint="eastAsia"/>
                                <w:sz w:val="15"/>
                                <w:szCs w:val="15"/>
                                <w:lang w:val="en-US" w:eastAsia="zh-CN"/>
                              </w:rPr>
                              <w:t>粉尘、噪声、</w:t>
                            </w:r>
                          </w:p>
                          <w:p w14:paraId="34B84591">
                            <w:pPr>
                              <w:rPr>
                                <w:rFonts w:hint="default" w:eastAsia="宋体"/>
                                <w:sz w:val="15"/>
                                <w:szCs w:val="15"/>
                                <w:lang w:val="en-US" w:eastAsia="zh-CN"/>
                              </w:rPr>
                            </w:pPr>
                            <w:r>
                              <w:rPr>
                                <w:rFonts w:hint="eastAsia"/>
                                <w:sz w:val="15"/>
                                <w:szCs w:val="15"/>
                                <w:lang w:val="en-US" w:eastAsia="zh-CN"/>
                              </w:rPr>
                              <w:t>固废、生态破坏</w:t>
                            </w:r>
                          </w:p>
                        </w:txbxContent>
                      </v:textbox>
                    </v:shape>
                  </w:pict>
                </mc:Fallback>
              </mc:AlternateContent>
            </w:r>
            <w:r>
              <w:rPr>
                <w:rFonts w:ascii="Times New Roman" w:hAnsi="Times New Roman" w:eastAsia="宋体"/>
                <w:color w:val="auto"/>
                <w:sz w:val="21"/>
              </w:rPr>
              <mc:AlternateContent>
                <mc:Choice Requires="wps">
                  <w:drawing>
                    <wp:anchor distT="0" distB="0" distL="114300" distR="114300" simplePos="0" relativeHeight="251681792" behindDoc="0" locked="0" layoutInCell="1" allowOverlap="1">
                      <wp:simplePos x="0" y="0"/>
                      <wp:positionH relativeFrom="column">
                        <wp:posOffset>4154170</wp:posOffset>
                      </wp:positionH>
                      <wp:positionV relativeFrom="paragraph">
                        <wp:posOffset>748665</wp:posOffset>
                      </wp:positionV>
                      <wp:extent cx="941705" cy="276225"/>
                      <wp:effectExtent l="4445" t="5080" r="6350" b="4445"/>
                      <wp:wrapNone/>
                      <wp:docPr id="59" name="文本框 59"/>
                      <wp:cNvGraphicFramePr/>
                      <a:graphic xmlns:a="http://schemas.openxmlformats.org/drawingml/2006/main">
                        <a:graphicData uri="http://schemas.microsoft.com/office/word/2010/wordprocessingShape">
                          <wps:wsp>
                            <wps:cNvSpPr txBox="1"/>
                            <wps:spPr>
                              <a:xfrm>
                                <a:off x="0" y="0"/>
                                <a:ext cx="941705"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6F63A19">
                                  <w:pPr>
                                    <w:rPr>
                                      <w:rFonts w:hint="default" w:eastAsia="宋体"/>
                                      <w:sz w:val="24"/>
                                      <w:szCs w:val="24"/>
                                      <w:lang w:val="en-US" w:eastAsia="zh-CN"/>
                                    </w:rPr>
                                  </w:pPr>
                                  <w:r>
                                    <w:rPr>
                                      <w:rFonts w:hint="eastAsia"/>
                                      <w:sz w:val="21"/>
                                      <w:szCs w:val="21"/>
                                      <w:lang w:val="en-US" w:eastAsia="zh-CN"/>
                                    </w:rPr>
                                    <w:t>混凝土浇筑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1pt;margin-top:58.95pt;height:21.75pt;width:74.15pt;z-index:251681792;mso-width-relative:page;mso-height-relative:page;" fillcolor="#FFFFFF [3201]" filled="t" stroked="t" coordsize="21600,21600" o:gfxdata="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7G6x39gA&#10;AAALAQAADwAAAAAAAAABACAAAAAiAAAAZHJzL2Rvd25yZXYueG1sUEsBAhQAFAAAAAgAh07iQD4A&#10;sZ1YAgAAuAQAAA4AAAAAAAAAAQAgAAAAJwEAAGRycy9lMm9Eb2MueG1sUEsFBgAAAAAGAAYAWQEA&#10;APEFAAAAAA==&#10;">
                      <v:fill on="t" focussize="0,0"/>
                      <v:stroke weight="0.5pt" color="#000000 [3204]" joinstyle="round"/>
                      <v:imagedata o:title=""/>
                      <o:lock v:ext="edit" aspectratio="f"/>
                      <v:textbox>
                        <w:txbxContent>
                          <w:p w14:paraId="06F63A19">
                            <w:pPr>
                              <w:rPr>
                                <w:rFonts w:hint="default" w:eastAsia="宋体"/>
                                <w:sz w:val="24"/>
                                <w:szCs w:val="24"/>
                                <w:lang w:val="en-US" w:eastAsia="zh-CN"/>
                              </w:rPr>
                            </w:pPr>
                            <w:r>
                              <w:rPr>
                                <w:rFonts w:hint="eastAsia"/>
                                <w:sz w:val="21"/>
                                <w:szCs w:val="21"/>
                                <w:lang w:val="en-US" w:eastAsia="zh-CN"/>
                              </w:rPr>
                              <w:t>混凝土浇筑</w:t>
                            </w:r>
                          </w:p>
                        </w:txbxContent>
                      </v:textbox>
                    </v:shape>
                  </w:pict>
                </mc:Fallback>
              </mc:AlternateContent>
            </w:r>
            <w:r>
              <w:rPr>
                <w:rFonts w:ascii="Times New Roman" w:hAnsi="Times New Roman" w:eastAsia="宋体"/>
                <w:color w:val="auto"/>
                <w:sz w:val="21"/>
              </w:rPr>
              <mc:AlternateContent>
                <mc:Choice Requires="wps">
                  <w:drawing>
                    <wp:anchor distT="0" distB="0" distL="114300" distR="114300" simplePos="0" relativeHeight="251669504" behindDoc="0" locked="0" layoutInCell="1" allowOverlap="1">
                      <wp:simplePos x="0" y="0"/>
                      <wp:positionH relativeFrom="column">
                        <wp:posOffset>45720</wp:posOffset>
                      </wp:positionH>
                      <wp:positionV relativeFrom="paragraph">
                        <wp:posOffset>735965</wp:posOffset>
                      </wp:positionV>
                      <wp:extent cx="823595" cy="269240"/>
                      <wp:effectExtent l="4445" t="4445" r="10160" b="12065"/>
                      <wp:wrapNone/>
                      <wp:docPr id="15" name="文本框 15"/>
                      <wp:cNvGraphicFramePr/>
                      <a:graphic xmlns:a="http://schemas.openxmlformats.org/drawingml/2006/main">
                        <a:graphicData uri="http://schemas.microsoft.com/office/word/2010/wordprocessingShape">
                          <wps:wsp>
                            <wps:cNvSpPr txBox="1"/>
                            <wps:spPr>
                              <a:xfrm>
                                <a:off x="3130550" y="2952750"/>
                                <a:ext cx="823595" cy="2692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D0DC6BC">
                                  <w:pPr>
                                    <w:rPr>
                                      <w:rFonts w:hint="default" w:eastAsia="宋体"/>
                                      <w:sz w:val="21"/>
                                      <w:szCs w:val="21"/>
                                      <w:lang w:val="en-US" w:eastAsia="zh-CN"/>
                                    </w:rPr>
                                  </w:pPr>
                                  <w:r>
                                    <w:rPr>
                                      <w:rFonts w:hint="eastAsia"/>
                                      <w:sz w:val="21"/>
                                      <w:szCs w:val="21"/>
                                      <w:lang w:val="en-US" w:eastAsia="zh-CN"/>
                                    </w:rPr>
                                    <w:t>施工准备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57.95pt;height:21.2pt;width:64.85pt;z-index:251669504;mso-width-relative:page;mso-height-relative:page;" fillcolor="#FFFFFF [3201]" filled="t" stroked="t" coordsize="21600,21600" o:gfxdata="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wKMVo1QAAAAkBAAAPAAAAAAAAAAEAIAAAACIAAABkcnMvZG93bnJldi54bWxQSwECFAAUAAAA&#10;CACHTuJAPMasrGMCAADEBAAADgAAAAAAAAABACAAAAAkAQAAZHJzL2Uyb0RvYy54bWxQSwUGAAAA&#10;AAYABgBZAQAA+QUAAAAA&#10;">
                      <v:fill on="t" focussize="0,0"/>
                      <v:stroke weight="0.5pt" color="#000000 [3204]" joinstyle="round"/>
                      <v:imagedata o:title=""/>
                      <o:lock v:ext="edit" aspectratio="f"/>
                      <v:textbox>
                        <w:txbxContent>
                          <w:p w14:paraId="3D0DC6BC">
                            <w:pPr>
                              <w:rPr>
                                <w:rFonts w:hint="default" w:eastAsia="宋体"/>
                                <w:sz w:val="21"/>
                                <w:szCs w:val="21"/>
                                <w:lang w:val="en-US" w:eastAsia="zh-CN"/>
                              </w:rPr>
                            </w:pPr>
                            <w:r>
                              <w:rPr>
                                <w:rFonts w:hint="eastAsia"/>
                                <w:sz w:val="21"/>
                                <w:szCs w:val="21"/>
                                <w:lang w:val="en-US" w:eastAsia="zh-CN"/>
                              </w:rPr>
                              <w:t>施工准备</w:t>
                            </w:r>
                          </w:p>
                        </w:txbxContent>
                      </v:textbox>
                    </v:shape>
                  </w:pict>
                </mc:Fallback>
              </mc:AlternateContent>
            </w:r>
            <w:r>
              <w:rPr>
                <w:rFonts w:ascii="Times New Roman" w:hAnsi="Times New Roman" w:eastAsia="宋体"/>
                <w:color w:val="auto"/>
                <w:sz w:val="21"/>
              </w:rPr>
              <mc:AlternateContent>
                <mc:Choice Requires="wps">
                  <w:drawing>
                    <wp:anchor distT="0" distB="0" distL="114300" distR="114300" simplePos="0" relativeHeight="251697152" behindDoc="0" locked="0" layoutInCell="1" allowOverlap="1">
                      <wp:simplePos x="0" y="0"/>
                      <wp:positionH relativeFrom="column">
                        <wp:posOffset>225425</wp:posOffset>
                      </wp:positionH>
                      <wp:positionV relativeFrom="paragraph">
                        <wp:posOffset>1373505</wp:posOffset>
                      </wp:positionV>
                      <wp:extent cx="1132205" cy="276225"/>
                      <wp:effectExtent l="4445" t="4445" r="6350" b="5080"/>
                      <wp:wrapNone/>
                      <wp:docPr id="74" name="文本框 74"/>
                      <wp:cNvGraphicFramePr/>
                      <a:graphic xmlns:a="http://schemas.openxmlformats.org/drawingml/2006/main">
                        <a:graphicData uri="http://schemas.microsoft.com/office/word/2010/wordprocessingShape">
                          <wps:wsp>
                            <wps:cNvSpPr txBox="1"/>
                            <wps:spPr>
                              <a:xfrm>
                                <a:off x="0" y="0"/>
                                <a:ext cx="1132205"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FE3B653">
                                  <w:pPr>
                                    <w:jc w:val="center"/>
                                    <w:rPr>
                                      <w:rFonts w:hint="default" w:eastAsia="宋体"/>
                                      <w:sz w:val="24"/>
                                      <w:szCs w:val="24"/>
                                      <w:lang w:val="en-US" w:eastAsia="zh-CN"/>
                                    </w:rPr>
                                  </w:pPr>
                                  <w:r>
                                    <w:rPr>
                                      <w:rFonts w:hint="eastAsia"/>
                                      <w:sz w:val="21"/>
                                      <w:szCs w:val="21"/>
                                      <w:lang w:val="en-US" w:eastAsia="zh-CN"/>
                                    </w:rPr>
                                    <w:t>植物种植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5pt;margin-top:108.15pt;height:21.75pt;width:89.15pt;z-index:251697152;mso-width-relative:page;mso-height-relative:page;" fillcolor="#FFFFFF [3201]" filled="t" stroked="t" coordsize="21600,21600" o:gfxdata="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S4i77X&#10;AAAACgEAAA8AAAAAAAAAAQAgAAAAIgAAAGRycy9kb3ducmV2LnhtbFBLAQIUABQAAAAIAIdO4kB/&#10;F3HUWgIAALkEAAAOAAAAAAAAAAEAIAAAACYBAABkcnMvZTJvRG9jLnhtbFBLBQYAAAAABgAGAFkB&#10;AADyBQAAAAA=&#10;">
                      <v:fill on="t" focussize="0,0"/>
                      <v:stroke weight="0.5pt" color="#000000 [3204]" joinstyle="round"/>
                      <v:imagedata o:title=""/>
                      <o:lock v:ext="edit" aspectratio="f"/>
                      <v:textbox>
                        <w:txbxContent>
                          <w:p w14:paraId="2FE3B653">
                            <w:pPr>
                              <w:jc w:val="center"/>
                              <w:rPr>
                                <w:rFonts w:hint="default" w:eastAsia="宋体"/>
                                <w:sz w:val="24"/>
                                <w:szCs w:val="24"/>
                                <w:lang w:val="en-US" w:eastAsia="zh-CN"/>
                              </w:rPr>
                            </w:pPr>
                            <w:r>
                              <w:rPr>
                                <w:rFonts w:hint="eastAsia"/>
                                <w:sz w:val="21"/>
                                <w:szCs w:val="21"/>
                                <w:lang w:val="en-US" w:eastAsia="zh-CN"/>
                              </w:rPr>
                              <w:t>植物种植</w:t>
                            </w:r>
                          </w:p>
                        </w:txbxContent>
                      </v:textbox>
                    </v:shape>
                  </w:pict>
                </mc:Fallback>
              </mc:AlternateContent>
            </w:r>
            <w:r>
              <w:rPr>
                <w:rFonts w:ascii="Times New Roman" w:hAnsi="Times New Roman" w:eastAsia="宋体"/>
                <w:color w:val="auto"/>
                <w:sz w:val="21"/>
              </w:rPr>
              <mc:AlternateContent>
                <mc:Choice Requires="wps">
                  <w:drawing>
                    <wp:anchor distT="0" distB="0" distL="114300" distR="114300" simplePos="0" relativeHeight="251703296" behindDoc="0" locked="0" layoutInCell="1" allowOverlap="1">
                      <wp:simplePos x="0" y="0"/>
                      <wp:positionH relativeFrom="column">
                        <wp:posOffset>1591310</wp:posOffset>
                      </wp:positionH>
                      <wp:positionV relativeFrom="paragraph">
                        <wp:posOffset>1830705</wp:posOffset>
                      </wp:positionV>
                      <wp:extent cx="964565" cy="25527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964565" cy="2552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421049">
                                  <w:pPr>
                                    <w:jc w:val="center"/>
                                    <w:rPr>
                                      <w:rFonts w:hint="default" w:eastAsia="宋体"/>
                                      <w:sz w:val="15"/>
                                      <w:szCs w:val="15"/>
                                      <w:lang w:val="en-US" w:eastAsia="zh-CN"/>
                                    </w:rPr>
                                  </w:pPr>
                                  <w:r>
                                    <w:rPr>
                                      <w:rFonts w:hint="eastAsia"/>
                                      <w:sz w:val="15"/>
                                      <w:szCs w:val="15"/>
                                      <w:lang w:val="en-US" w:eastAsia="zh-CN"/>
                                    </w:rPr>
                                    <w:t>废气、噪声、固废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3pt;margin-top:144.15pt;height:20.1pt;width:75.95pt;z-index:251703296;mso-width-relative:page;mso-height-relative:page;" filled="f" stroked="f" coordsize="21600,21600" o:gfxdata="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ZzCYncAAAACwEAAA8AAAAAAAAAAQAgAAAAIgAA&#10;AGRycy9kb3ducmV2LnhtbFBLAQIUABQAAAAIAIdO4kDf/LF0PQIAAGcEAAAOAAAAAAAAAAEAIAAA&#10;ACsBAABkcnMvZTJvRG9jLnhtbFBLBQYAAAAABgAGAFkBAADaBQAAAAA=&#10;">
                      <v:fill on="f" focussize="0,0"/>
                      <v:stroke on="f" weight="0.5pt"/>
                      <v:imagedata o:title=""/>
                      <o:lock v:ext="edit" aspectratio="f"/>
                      <v:textbox>
                        <w:txbxContent>
                          <w:p w14:paraId="6C421049">
                            <w:pPr>
                              <w:jc w:val="center"/>
                              <w:rPr>
                                <w:rFonts w:hint="default" w:eastAsia="宋体"/>
                                <w:sz w:val="15"/>
                                <w:szCs w:val="15"/>
                                <w:lang w:val="en-US" w:eastAsia="zh-CN"/>
                              </w:rPr>
                            </w:pPr>
                            <w:r>
                              <w:rPr>
                                <w:rFonts w:hint="eastAsia"/>
                                <w:sz w:val="15"/>
                                <w:szCs w:val="15"/>
                                <w:lang w:val="en-US" w:eastAsia="zh-CN"/>
                              </w:rPr>
                              <w:t>废气、噪声、固废</w:t>
                            </w:r>
                          </w:p>
                        </w:txbxContent>
                      </v:textbox>
                    </v:shape>
                  </w:pict>
                </mc:Fallback>
              </mc:AlternateContent>
            </w:r>
            <w:r>
              <w:rPr>
                <w:rFonts w:ascii="Times New Roman" w:hAnsi="Times New Roman" w:eastAsia="宋体"/>
                <w:color w:val="auto"/>
                <w:sz w:val="21"/>
              </w:rPr>
              <mc:AlternateContent>
                <mc:Choice Requires="wps">
                  <w:drawing>
                    <wp:anchor distT="0" distB="0" distL="114300" distR="114300" simplePos="0" relativeHeight="251702272" behindDoc="0" locked="0" layoutInCell="1" allowOverlap="1">
                      <wp:simplePos x="0" y="0"/>
                      <wp:positionH relativeFrom="column">
                        <wp:posOffset>2066290</wp:posOffset>
                      </wp:positionH>
                      <wp:positionV relativeFrom="paragraph">
                        <wp:posOffset>1634490</wp:posOffset>
                      </wp:positionV>
                      <wp:extent cx="5080" cy="210820"/>
                      <wp:effectExtent l="36195" t="0" r="34925" b="17780"/>
                      <wp:wrapNone/>
                      <wp:docPr id="79" name="直接箭头连接符 79"/>
                      <wp:cNvGraphicFramePr/>
                      <a:graphic xmlns:a="http://schemas.openxmlformats.org/drawingml/2006/main">
                        <a:graphicData uri="http://schemas.microsoft.com/office/word/2010/wordprocessingShape">
                          <wps:wsp>
                            <wps:cNvCnPr/>
                            <wps:spPr>
                              <a:xfrm flipH="1">
                                <a:off x="0" y="0"/>
                                <a:ext cx="5080" cy="210820"/>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62.7pt;margin-top:128.7pt;height:16.6pt;width:0.4pt;z-index:251702272;mso-width-relative:page;mso-height-relative:page;" filled="f" stroked="t" coordsize="21600,21600" o:gfxdata="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i00UNwAAAALAQAADwAAAAAAAAABACAAAAAi&#10;AAAAZHJzL2Rvd25yZXYueG1sUEsBAhQAFAAAAAgAh07iQCjTpsQGAgAA2wMAAA4AAAAAAAAAAQAg&#10;AAAAKwEAAGRycy9lMm9Eb2MueG1sUEsFBgAAAAAGAAYAWQEAAKMFAAAAAA==&#10;">
                      <v:fill on="f" focussize="0,0"/>
                      <v:stroke weight="1pt" color="#000000 [3213]" joinstyle="round" dashstyle="3 1" endarrow="block"/>
                      <v:imagedata o:title=""/>
                      <o:lock v:ext="edit" aspectratio="f"/>
                    </v:shape>
                  </w:pict>
                </mc:Fallback>
              </mc:AlternateContent>
            </w:r>
            <w:r>
              <w:rPr>
                <w:rFonts w:ascii="Times New Roman" w:hAnsi="Times New Roman" w:eastAsia="宋体"/>
                <w:color w:val="auto"/>
                <w:sz w:val="21"/>
              </w:rPr>
              <mc:AlternateContent>
                <mc:Choice Requires="wps">
                  <w:drawing>
                    <wp:anchor distT="0" distB="0" distL="114300" distR="114300" simplePos="0" relativeHeight="251701248" behindDoc="0" locked="0" layoutInCell="1" allowOverlap="1">
                      <wp:simplePos x="0" y="0"/>
                      <wp:positionH relativeFrom="column">
                        <wp:posOffset>2907665</wp:posOffset>
                      </wp:positionH>
                      <wp:positionV relativeFrom="paragraph">
                        <wp:posOffset>1813560</wp:posOffset>
                      </wp:positionV>
                      <wp:extent cx="964565" cy="25527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964565" cy="2552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B5AEA4">
                                  <w:pPr>
                                    <w:jc w:val="center"/>
                                    <w:rPr>
                                      <w:rFonts w:hint="default" w:eastAsia="宋体"/>
                                      <w:sz w:val="15"/>
                                      <w:szCs w:val="15"/>
                                      <w:lang w:val="en-US" w:eastAsia="zh-CN"/>
                                    </w:rPr>
                                  </w:pPr>
                                  <w:r>
                                    <w:rPr>
                                      <w:rFonts w:hint="eastAsia"/>
                                      <w:sz w:val="15"/>
                                      <w:szCs w:val="15"/>
                                      <w:lang w:val="en-US" w:eastAsia="zh-CN"/>
                                    </w:rPr>
                                    <w:t>噪声、固废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8.95pt;margin-top:142.8pt;height:20.1pt;width:75.95pt;z-index:251701248;mso-width-relative:page;mso-height-relative:page;" filled="f" stroked="f" coordsize="21600,21600" o:gfxdata="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YM0CfcAAAACwEAAA8AAAAAAAAAAQAgAAAAIgAA&#10;AGRycy9kb3ducmV2LnhtbFBLAQIUABQAAAAIAIdO4kBMuLrYPQIAAGcEAAAOAAAAAAAAAAEAIAAA&#10;ACsBAABkcnMvZTJvRG9jLnhtbFBLBQYAAAAABgAGAFkBAADaBQAAAAA=&#10;">
                      <v:fill on="f" focussize="0,0"/>
                      <v:stroke on="f" weight="0.5pt"/>
                      <v:imagedata o:title=""/>
                      <o:lock v:ext="edit" aspectratio="f"/>
                      <v:textbox>
                        <w:txbxContent>
                          <w:p w14:paraId="34B5AEA4">
                            <w:pPr>
                              <w:jc w:val="center"/>
                              <w:rPr>
                                <w:rFonts w:hint="default" w:eastAsia="宋体"/>
                                <w:sz w:val="15"/>
                                <w:szCs w:val="15"/>
                                <w:lang w:val="en-US" w:eastAsia="zh-CN"/>
                              </w:rPr>
                            </w:pPr>
                            <w:r>
                              <w:rPr>
                                <w:rFonts w:hint="eastAsia"/>
                                <w:sz w:val="15"/>
                                <w:szCs w:val="15"/>
                                <w:lang w:val="en-US" w:eastAsia="zh-CN"/>
                              </w:rPr>
                              <w:t>噪声、固废</w:t>
                            </w:r>
                          </w:p>
                        </w:txbxContent>
                      </v:textbox>
                    </v:shape>
                  </w:pict>
                </mc:Fallback>
              </mc:AlternateContent>
            </w:r>
            <w:r>
              <w:rPr>
                <w:rFonts w:ascii="Times New Roman" w:hAnsi="Times New Roman" w:eastAsia="宋体"/>
                <w:color w:val="auto"/>
                <w:sz w:val="21"/>
              </w:rPr>
              <mc:AlternateContent>
                <mc:Choice Requires="wps">
                  <w:drawing>
                    <wp:anchor distT="0" distB="0" distL="114300" distR="114300" simplePos="0" relativeHeight="251700224" behindDoc="0" locked="0" layoutInCell="1" allowOverlap="1">
                      <wp:simplePos x="0" y="0"/>
                      <wp:positionH relativeFrom="column">
                        <wp:posOffset>3414395</wp:posOffset>
                      </wp:positionH>
                      <wp:positionV relativeFrom="paragraph">
                        <wp:posOffset>1617345</wp:posOffset>
                      </wp:positionV>
                      <wp:extent cx="5080" cy="210820"/>
                      <wp:effectExtent l="36195" t="0" r="34925" b="17780"/>
                      <wp:wrapNone/>
                      <wp:docPr id="77" name="直接箭头连接符 77"/>
                      <wp:cNvGraphicFramePr/>
                      <a:graphic xmlns:a="http://schemas.openxmlformats.org/drawingml/2006/main">
                        <a:graphicData uri="http://schemas.microsoft.com/office/word/2010/wordprocessingShape">
                          <wps:wsp>
                            <wps:cNvCnPr/>
                            <wps:spPr>
                              <a:xfrm flipH="1">
                                <a:off x="0" y="0"/>
                                <a:ext cx="5080" cy="210820"/>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68.85pt;margin-top:127.35pt;height:16.6pt;width:0.4pt;z-index:251700224;mso-width-relative:page;mso-height-relative:page;" filled="f" stroked="t" coordsize="21600,21600" o:gfxdata="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nbhOh3AAAAAsBAAAPAAAAAAAAAAEAIAAAACIA&#10;AABkcnMvZG93bnJldi54bWxQSwECFAAUAAAACACHTuJA7fvOJQUCAADbAwAADgAAAAAAAAABACAA&#10;AAArAQAAZHJzL2Uyb0RvYy54bWxQSwUGAAAAAAYABgBZAQAAogUAAAAA&#10;">
                      <v:fill on="f" focussize="0,0"/>
                      <v:stroke weight="1pt" color="#000000 [3213]" joinstyle="round" dashstyle="3 1" endarrow="block"/>
                      <v:imagedata o:title=""/>
                      <o:lock v:ext="edit" aspectratio="f"/>
                    </v:shape>
                  </w:pict>
                </mc:Fallback>
              </mc:AlternateContent>
            </w:r>
            <w:r>
              <w:rPr>
                <w:rFonts w:ascii="Times New Roman" w:hAnsi="Times New Roman" w:eastAsia="宋体"/>
                <w:color w:val="auto"/>
                <w:sz w:val="21"/>
              </w:rPr>
              <mc:AlternateContent>
                <mc:Choice Requires="wps">
                  <w:drawing>
                    <wp:anchor distT="0" distB="0" distL="114300" distR="114300" simplePos="0" relativeHeight="251699200" behindDoc="0" locked="0" layoutInCell="1" allowOverlap="1">
                      <wp:simplePos x="0" y="0"/>
                      <wp:positionH relativeFrom="column">
                        <wp:posOffset>4152265</wp:posOffset>
                      </wp:positionH>
                      <wp:positionV relativeFrom="paragraph">
                        <wp:posOffset>1796415</wp:posOffset>
                      </wp:positionV>
                      <wp:extent cx="964565" cy="25527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964565" cy="2552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D6A656">
                                  <w:pPr>
                                    <w:jc w:val="center"/>
                                    <w:rPr>
                                      <w:rFonts w:hint="default" w:eastAsia="宋体"/>
                                      <w:sz w:val="15"/>
                                      <w:szCs w:val="15"/>
                                      <w:lang w:val="en-US" w:eastAsia="zh-CN"/>
                                    </w:rPr>
                                  </w:pPr>
                                  <w:r>
                                    <w:rPr>
                                      <w:rFonts w:hint="eastAsia"/>
                                      <w:sz w:val="15"/>
                                      <w:szCs w:val="15"/>
                                      <w:lang w:val="en-US" w:eastAsia="zh-CN"/>
                                    </w:rPr>
                                    <w:t>废气、噪声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6.95pt;margin-top:141.45pt;height:20.1pt;width:75.95pt;z-index:251699200;mso-width-relative:page;mso-height-relative:page;" filled="f" stroked="f" coordsize="21600,21600" o:gfxdata="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s1fWQ3AAAAAsBAAAPAAAAAAAAAAEAIAAAACIA&#10;AABkcnMvZG93bnJldi54bWxQSwECFAAUAAAACACHTuJAh1J97D4CAABnBAAADgAAAAAAAAABACAA&#10;AAArAQAAZHJzL2Uyb0RvYy54bWxQSwUGAAAAAAYABgBZAQAA2wUAAAAA&#10;">
                      <v:fill on="f" focussize="0,0"/>
                      <v:stroke on="f" weight="0.5pt"/>
                      <v:imagedata o:title=""/>
                      <o:lock v:ext="edit" aspectratio="f"/>
                      <v:textbox>
                        <w:txbxContent>
                          <w:p w14:paraId="3CD6A656">
                            <w:pPr>
                              <w:jc w:val="center"/>
                              <w:rPr>
                                <w:rFonts w:hint="default" w:eastAsia="宋体"/>
                                <w:sz w:val="15"/>
                                <w:szCs w:val="15"/>
                                <w:lang w:val="en-US" w:eastAsia="zh-CN"/>
                              </w:rPr>
                            </w:pPr>
                            <w:r>
                              <w:rPr>
                                <w:rFonts w:hint="eastAsia"/>
                                <w:sz w:val="15"/>
                                <w:szCs w:val="15"/>
                                <w:lang w:val="en-US" w:eastAsia="zh-CN"/>
                              </w:rPr>
                              <w:t>废气、噪声</w:t>
                            </w:r>
                          </w:p>
                        </w:txbxContent>
                      </v:textbox>
                    </v:shape>
                  </w:pict>
                </mc:Fallback>
              </mc:AlternateContent>
            </w:r>
            <w:r>
              <w:rPr>
                <w:rFonts w:ascii="Times New Roman" w:hAnsi="Times New Roman" w:eastAsia="宋体"/>
                <w:color w:val="auto"/>
                <w:sz w:val="21"/>
              </w:rPr>
              <mc:AlternateContent>
                <mc:Choice Requires="wps">
                  <w:drawing>
                    <wp:anchor distT="0" distB="0" distL="114300" distR="114300" simplePos="0" relativeHeight="251698176" behindDoc="0" locked="0" layoutInCell="1" allowOverlap="1">
                      <wp:simplePos x="0" y="0"/>
                      <wp:positionH relativeFrom="column">
                        <wp:posOffset>4572000</wp:posOffset>
                      </wp:positionH>
                      <wp:positionV relativeFrom="paragraph">
                        <wp:posOffset>1591945</wp:posOffset>
                      </wp:positionV>
                      <wp:extent cx="5080" cy="210820"/>
                      <wp:effectExtent l="36195" t="0" r="34925" b="17780"/>
                      <wp:wrapNone/>
                      <wp:docPr id="75" name="直接箭头连接符 75"/>
                      <wp:cNvGraphicFramePr/>
                      <a:graphic xmlns:a="http://schemas.openxmlformats.org/drawingml/2006/main">
                        <a:graphicData uri="http://schemas.microsoft.com/office/word/2010/wordprocessingShape">
                          <wps:wsp>
                            <wps:cNvCnPr/>
                            <wps:spPr>
                              <a:xfrm flipH="1">
                                <a:off x="0" y="0"/>
                                <a:ext cx="5080" cy="210820"/>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60pt;margin-top:125.35pt;height:16.6pt;width:0.4pt;z-index:251698176;mso-width-relative:page;mso-height-relative:page;" filled="f" stroked="t" coordsize="21600,21600" o:gfxdata="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Uok6jaAAAACwEAAA8AAAAAAAAAAQAgAAAAIgAA&#10;AGRycy9kb3ducmV2LnhtbFBLAQIUABQAAAAIAIdO4kAa9bYFBgIAANsDAAAOAAAAAAAAAAEAIAAA&#10;ACkBAABkcnMvZTJvRG9jLnhtbFBLBQYAAAAABgAGAFkBAAChBQAAAAA=&#10;">
                      <v:fill on="f" focussize="0,0"/>
                      <v:stroke weight="1pt" color="#000000 [3213]" joinstyle="round" dashstyle="3 1" endarrow="block"/>
                      <v:imagedata o:title=""/>
                      <o:lock v:ext="edit" aspectratio="f"/>
                    </v:shape>
                  </w:pict>
                </mc:Fallback>
              </mc:AlternateContent>
            </w:r>
            <w:r>
              <w:rPr>
                <w:rFonts w:ascii="Times New Roman" w:hAnsi="Times New Roman" w:eastAsia="宋体"/>
                <w:color w:val="auto"/>
                <w:sz w:val="21"/>
              </w:rPr>
              <mc:AlternateContent>
                <mc:Choice Requires="wps">
                  <w:drawing>
                    <wp:anchor distT="0" distB="0" distL="114300" distR="114300" simplePos="0" relativeHeight="251695104" behindDoc="0" locked="0" layoutInCell="1" allowOverlap="1">
                      <wp:simplePos x="0" y="0"/>
                      <wp:positionH relativeFrom="column">
                        <wp:posOffset>1585595</wp:posOffset>
                      </wp:positionH>
                      <wp:positionV relativeFrom="paragraph">
                        <wp:posOffset>1355725</wp:posOffset>
                      </wp:positionV>
                      <wp:extent cx="1021080" cy="276225"/>
                      <wp:effectExtent l="4445" t="4445" r="22225" b="5080"/>
                      <wp:wrapNone/>
                      <wp:docPr id="72" name="文本框 72"/>
                      <wp:cNvGraphicFramePr/>
                      <a:graphic xmlns:a="http://schemas.openxmlformats.org/drawingml/2006/main">
                        <a:graphicData uri="http://schemas.microsoft.com/office/word/2010/wordprocessingShape">
                          <wps:wsp>
                            <wps:cNvSpPr txBox="1"/>
                            <wps:spPr>
                              <a:xfrm>
                                <a:off x="0" y="0"/>
                                <a:ext cx="1021080"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B8F17F8">
                                  <w:pPr>
                                    <w:jc w:val="center"/>
                                    <w:rPr>
                                      <w:rFonts w:hint="default" w:eastAsia="宋体"/>
                                      <w:sz w:val="24"/>
                                      <w:szCs w:val="24"/>
                                      <w:lang w:val="en-US" w:eastAsia="zh-CN"/>
                                    </w:rPr>
                                  </w:pPr>
                                  <w:r>
                                    <w:rPr>
                                      <w:rFonts w:hint="eastAsia"/>
                                      <w:sz w:val="21"/>
                                      <w:szCs w:val="21"/>
                                      <w:lang w:val="en-US" w:eastAsia="zh-CN"/>
                                    </w:rPr>
                                    <w:t>湿地基质充填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85pt;margin-top:106.75pt;height:21.75pt;width:80.4pt;z-index:251695104;mso-width-relative:page;mso-height-relative:page;" fillcolor="#FFFFFF [3201]" filled="t" stroked="t" coordsize="21600,21600" o:gfxdata="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ENsFnY&#10;AAAACwEAAA8AAAAAAAAAAQAgAAAAIgAAAGRycy9kb3ducmV2LnhtbFBLAQIUABQAAAAIAIdO4kCZ&#10;ZtM6WQIAALkEAAAOAAAAAAAAAAEAIAAAACcBAABkcnMvZTJvRG9jLnhtbFBLBQYAAAAABgAGAFkB&#10;AADyBQAAAAA=&#10;">
                      <v:fill on="t" focussize="0,0"/>
                      <v:stroke weight="0.5pt" color="#000000 [3204]" joinstyle="round"/>
                      <v:imagedata o:title=""/>
                      <o:lock v:ext="edit" aspectratio="f"/>
                      <v:textbox>
                        <w:txbxContent>
                          <w:p w14:paraId="5B8F17F8">
                            <w:pPr>
                              <w:jc w:val="center"/>
                              <w:rPr>
                                <w:rFonts w:hint="default" w:eastAsia="宋体"/>
                                <w:sz w:val="24"/>
                                <w:szCs w:val="24"/>
                                <w:lang w:val="en-US" w:eastAsia="zh-CN"/>
                              </w:rPr>
                            </w:pPr>
                            <w:r>
                              <w:rPr>
                                <w:rFonts w:hint="eastAsia"/>
                                <w:sz w:val="21"/>
                                <w:szCs w:val="21"/>
                                <w:lang w:val="en-US" w:eastAsia="zh-CN"/>
                              </w:rPr>
                              <w:t>湿地基质充填</w:t>
                            </w:r>
                          </w:p>
                        </w:txbxContent>
                      </v:textbox>
                    </v:shape>
                  </w:pict>
                </mc:Fallback>
              </mc:AlternateContent>
            </w:r>
            <w:r>
              <w:rPr>
                <w:rFonts w:ascii="Times New Roman" w:hAnsi="Times New Roman" w:eastAsia="宋体"/>
                <w:color w:val="auto"/>
                <w:sz w:val="21"/>
              </w:rPr>
              <mc:AlternateContent>
                <mc:Choice Requires="wps">
                  <w:drawing>
                    <wp:anchor distT="0" distB="0" distL="114300" distR="114300" simplePos="0" relativeHeight="251696128" behindDoc="0" locked="0" layoutInCell="1" allowOverlap="1">
                      <wp:simplePos x="0" y="0"/>
                      <wp:positionH relativeFrom="column">
                        <wp:posOffset>1357630</wp:posOffset>
                      </wp:positionH>
                      <wp:positionV relativeFrom="paragraph">
                        <wp:posOffset>1503045</wp:posOffset>
                      </wp:positionV>
                      <wp:extent cx="235585" cy="10160"/>
                      <wp:effectExtent l="0" t="31115" r="12065" b="34925"/>
                      <wp:wrapNone/>
                      <wp:docPr id="73" name="直接箭头连接符 73"/>
                      <wp:cNvGraphicFramePr/>
                      <a:graphic xmlns:a="http://schemas.openxmlformats.org/drawingml/2006/main">
                        <a:graphicData uri="http://schemas.microsoft.com/office/word/2010/wordprocessingShape">
                          <wps:wsp>
                            <wps:cNvCnPr/>
                            <wps:spPr>
                              <a:xfrm flipH="1">
                                <a:off x="0" y="0"/>
                                <a:ext cx="235585" cy="10160"/>
                              </a:xfrm>
                              <a:prstGeom prst="straightConnector1">
                                <a:avLst/>
                              </a:prstGeom>
                              <a:ln w="635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06.9pt;margin-top:118.35pt;height:0.8pt;width:18.55pt;z-index:251696128;mso-width-relative:page;mso-height-relative:page;" filled="f" stroked="t" coordsize="21600,21600" o:gfxdata="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0UoNgAAAALAQAADwAAAAAAAAABACAAAAAiAAAA&#10;ZHJzL2Rvd25yZXYueG1sUEsBAhQAFAAAAAgAh07iQK0QiekHAgAA2QMAAA4AAAAAAAAAAQAgAAAA&#10;JwEAAGRycy9lMm9Eb2MueG1sUEsFBgAAAAAGAAYAWQEAAKAFAAAAAA==&#10;">
                      <v:fill on="f" focussize="0,0"/>
                      <v:stroke weight="0.5pt" color="#000000 [3213]" joinstyle="round" endarrow="block"/>
                      <v:imagedata o:title=""/>
                      <o:lock v:ext="edit" aspectratio="f"/>
                    </v:shape>
                  </w:pict>
                </mc:Fallback>
              </mc:AlternateContent>
            </w:r>
            <w:r>
              <w:rPr>
                <w:rFonts w:ascii="Times New Roman" w:hAnsi="Times New Roman" w:eastAsia="宋体"/>
                <w:color w:val="auto"/>
                <w:sz w:val="21"/>
              </w:rPr>
              <mc:AlternateContent>
                <mc:Choice Requires="wps">
                  <w:drawing>
                    <wp:anchor distT="0" distB="0" distL="114300" distR="114300" simplePos="0" relativeHeight="251694080" behindDoc="0" locked="0" layoutInCell="1" allowOverlap="1">
                      <wp:simplePos x="0" y="0"/>
                      <wp:positionH relativeFrom="column">
                        <wp:posOffset>2599055</wp:posOffset>
                      </wp:positionH>
                      <wp:positionV relativeFrom="paragraph">
                        <wp:posOffset>1493520</wp:posOffset>
                      </wp:positionV>
                      <wp:extent cx="235585" cy="10160"/>
                      <wp:effectExtent l="0" t="31115" r="12065" b="34925"/>
                      <wp:wrapNone/>
                      <wp:docPr id="71" name="直接箭头连接符 71"/>
                      <wp:cNvGraphicFramePr/>
                      <a:graphic xmlns:a="http://schemas.openxmlformats.org/drawingml/2006/main">
                        <a:graphicData uri="http://schemas.microsoft.com/office/word/2010/wordprocessingShape">
                          <wps:wsp>
                            <wps:cNvCnPr/>
                            <wps:spPr>
                              <a:xfrm flipH="1">
                                <a:off x="0" y="0"/>
                                <a:ext cx="235585" cy="10160"/>
                              </a:xfrm>
                              <a:prstGeom prst="straightConnector1">
                                <a:avLst/>
                              </a:prstGeom>
                              <a:ln w="635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04.65pt;margin-top:117.6pt;height:0.8pt;width:18.55pt;z-index:251694080;mso-width-relative:page;mso-height-relative:page;" filled="f" stroked="t" coordsize="21600,21600" o:gfxdata="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4NjftkAAAALAQAADwAAAAAAAAABACAAAAAiAAAA&#10;ZHJzL2Rvd25yZXYueG1sUEsBAhQAFAAAAAgAh07iQDMmc9UGAgAA2QMAAA4AAAAAAAAAAQAgAAAA&#10;KAEAAGRycy9lMm9Eb2MueG1sUEsFBgAAAAAGAAYAWQEAAKAFAAAAAA==&#10;">
                      <v:fill on="f" focussize="0,0"/>
                      <v:stroke weight="0.5pt" color="#000000 [3213]" joinstyle="round" endarrow="block"/>
                      <v:imagedata o:title=""/>
                      <o:lock v:ext="edit" aspectratio="f"/>
                    </v:shape>
                  </w:pict>
                </mc:Fallback>
              </mc:AlternateContent>
            </w:r>
            <w:r>
              <w:rPr>
                <w:rFonts w:ascii="Times New Roman" w:hAnsi="Times New Roman" w:eastAsia="宋体"/>
                <w:color w:val="auto"/>
                <w:sz w:val="21"/>
              </w:rPr>
              <mc:AlternateContent>
                <mc:Choice Requires="wps">
                  <w:drawing>
                    <wp:anchor distT="0" distB="0" distL="114300" distR="114300" simplePos="0" relativeHeight="251693056" behindDoc="0" locked="0" layoutInCell="1" allowOverlap="1">
                      <wp:simplePos x="0" y="0"/>
                      <wp:positionH relativeFrom="column">
                        <wp:posOffset>2830195</wp:posOffset>
                      </wp:positionH>
                      <wp:positionV relativeFrom="paragraph">
                        <wp:posOffset>1339850</wp:posOffset>
                      </wp:positionV>
                      <wp:extent cx="1108710" cy="276225"/>
                      <wp:effectExtent l="4445" t="5080" r="10795" b="4445"/>
                      <wp:wrapNone/>
                      <wp:docPr id="70" name="文本框 70"/>
                      <wp:cNvGraphicFramePr/>
                      <a:graphic xmlns:a="http://schemas.openxmlformats.org/drawingml/2006/main">
                        <a:graphicData uri="http://schemas.microsoft.com/office/word/2010/wordprocessingShape">
                          <wps:wsp>
                            <wps:cNvSpPr txBox="1"/>
                            <wps:spPr>
                              <a:xfrm>
                                <a:off x="0" y="0"/>
                                <a:ext cx="1108710"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EF75F3F">
                                  <w:pPr>
                                    <w:jc w:val="center"/>
                                    <w:rPr>
                                      <w:rFonts w:hint="default" w:eastAsia="宋体"/>
                                      <w:sz w:val="24"/>
                                      <w:szCs w:val="24"/>
                                      <w:lang w:val="en-US" w:eastAsia="zh-CN"/>
                                    </w:rPr>
                                  </w:pPr>
                                  <w:r>
                                    <w:rPr>
                                      <w:rFonts w:hint="eastAsia"/>
                                      <w:sz w:val="21"/>
                                      <w:szCs w:val="21"/>
                                      <w:lang w:val="en-US" w:eastAsia="zh-CN"/>
                                    </w:rPr>
                                    <w:t>集、配水管安装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2.85pt;margin-top:105.5pt;height:21.75pt;width:87.3pt;z-index:251693056;mso-width-relative:page;mso-height-relative:page;" fillcolor="#FFFFFF [3201]" filled="t" stroked="t" coordsize="21600,21600" o:gfxdata="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FxkPrNcA&#10;AAALAQAADwAAAAAAAAABACAAAAAiAAAAZHJzL2Rvd25yZXYueG1sUEsBAhQAFAAAAAgAh07iQGAw&#10;hjxZAgAAuQQAAA4AAAAAAAAAAQAgAAAAJgEAAGRycy9lMm9Eb2MueG1sUEsFBgAAAAAGAAYAWQEA&#10;APEFAAAAAA==&#10;">
                      <v:fill on="t" focussize="0,0"/>
                      <v:stroke weight="0.5pt" color="#000000 [3204]" joinstyle="round"/>
                      <v:imagedata o:title=""/>
                      <o:lock v:ext="edit" aspectratio="f"/>
                      <v:textbox>
                        <w:txbxContent>
                          <w:p w14:paraId="4EF75F3F">
                            <w:pPr>
                              <w:jc w:val="center"/>
                              <w:rPr>
                                <w:rFonts w:hint="default" w:eastAsia="宋体"/>
                                <w:sz w:val="24"/>
                                <w:szCs w:val="24"/>
                                <w:lang w:val="en-US" w:eastAsia="zh-CN"/>
                              </w:rPr>
                            </w:pPr>
                            <w:r>
                              <w:rPr>
                                <w:rFonts w:hint="eastAsia"/>
                                <w:sz w:val="21"/>
                                <w:szCs w:val="21"/>
                                <w:lang w:val="en-US" w:eastAsia="zh-CN"/>
                              </w:rPr>
                              <w:t>集、配水管安装</w:t>
                            </w:r>
                          </w:p>
                        </w:txbxContent>
                      </v:textbox>
                    </v:shape>
                  </w:pict>
                </mc:Fallback>
              </mc:AlternateContent>
            </w:r>
            <w:r>
              <w:rPr>
                <w:rFonts w:ascii="Times New Roman" w:hAnsi="Times New Roman" w:eastAsia="宋体"/>
                <w:color w:val="auto"/>
                <w:sz w:val="21"/>
              </w:rPr>
              <mc:AlternateContent>
                <mc:Choice Requires="wps">
                  <w:drawing>
                    <wp:anchor distT="0" distB="0" distL="114300" distR="114300" simplePos="0" relativeHeight="251692032" behindDoc="0" locked="0" layoutInCell="1" allowOverlap="1">
                      <wp:simplePos x="0" y="0"/>
                      <wp:positionH relativeFrom="column">
                        <wp:posOffset>3938905</wp:posOffset>
                      </wp:positionH>
                      <wp:positionV relativeFrom="paragraph">
                        <wp:posOffset>1468120</wp:posOffset>
                      </wp:positionV>
                      <wp:extent cx="235585" cy="10160"/>
                      <wp:effectExtent l="0" t="31115" r="12065" b="34925"/>
                      <wp:wrapNone/>
                      <wp:docPr id="69" name="直接箭头连接符 69"/>
                      <wp:cNvGraphicFramePr/>
                      <a:graphic xmlns:a="http://schemas.openxmlformats.org/drawingml/2006/main">
                        <a:graphicData uri="http://schemas.microsoft.com/office/word/2010/wordprocessingShape">
                          <wps:wsp>
                            <wps:cNvCnPr>
                              <a:endCxn id="70" idx="3"/>
                            </wps:cNvCnPr>
                            <wps:spPr>
                              <a:xfrm flipH="1">
                                <a:off x="0" y="0"/>
                                <a:ext cx="235585" cy="10160"/>
                              </a:xfrm>
                              <a:prstGeom prst="straightConnector1">
                                <a:avLst/>
                              </a:prstGeom>
                              <a:ln w="635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10.15pt;margin-top:115.6pt;height:0.8pt;width:18.55pt;z-index:251692032;mso-width-relative:page;mso-height-relative:page;" filled="f" stroked="t" coordsize="21600,21600" o:gfxdata="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3o2cD2AAAAAsBAAAP&#10;AAAAAAAAAAEAIAAAACIAAABkcnMvZG93bnJldi54bWxQSwECFAAUAAAACACHTuJAvMUYMBgCAAAB&#10;BAAADgAAAAAAAAABACAAAAAnAQAAZHJzL2Uyb0RvYy54bWxQSwUGAAAAAAYABgBZAQAAsQUAAAAA&#10;">
                      <v:fill on="f" focussize="0,0"/>
                      <v:stroke weight="0.5pt" color="#000000 [3213]" joinstyle="round" endarrow="block"/>
                      <v:imagedata o:title=""/>
                      <o:lock v:ext="edit" aspectratio="f"/>
                    </v:shape>
                  </w:pict>
                </mc:Fallback>
              </mc:AlternateContent>
            </w:r>
            <w:r>
              <w:rPr>
                <w:rFonts w:ascii="Times New Roman" w:hAnsi="Times New Roman" w:eastAsia="宋体"/>
                <w:color w:val="auto"/>
                <w:sz w:val="21"/>
              </w:rPr>
              <mc:AlternateContent>
                <mc:Choice Requires="wps">
                  <w:drawing>
                    <wp:anchor distT="0" distB="0" distL="114300" distR="114300" simplePos="0" relativeHeight="251691008" behindDoc="0" locked="0" layoutInCell="1" allowOverlap="1">
                      <wp:simplePos x="0" y="0"/>
                      <wp:positionH relativeFrom="column">
                        <wp:posOffset>4155440</wp:posOffset>
                      </wp:positionH>
                      <wp:positionV relativeFrom="paragraph">
                        <wp:posOffset>1314450</wp:posOffset>
                      </wp:positionV>
                      <wp:extent cx="941705" cy="276225"/>
                      <wp:effectExtent l="4445" t="5080" r="6350" b="4445"/>
                      <wp:wrapNone/>
                      <wp:docPr id="68" name="文本框 68"/>
                      <wp:cNvGraphicFramePr/>
                      <a:graphic xmlns:a="http://schemas.openxmlformats.org/drawingml/2006/main">
                        <a:graphicData uri="http://schemas.microsoft.com/office/word/2010/wordprocessingShape">
                          <wps:wsp>
                            <wps:cNvSpPr txBox="1"/>
                            <wps:spPr>
                              <a:xfrm>
                                <a:off x="0" y="0"/>
                                <a:ext cx="941705"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93FE8B1">
                                  <w:pPr>
                                    <w:jc w:val="center"/>
                                    <w:rPr>
                                      <w:rFonts w:hint="default" w:eastAsia="宋体"/>
                                      <w:sz w:val="24"/>
                                      <w:szCs w:val="24"/>
                                      <w:lang w:val="en-US" w:eastAsia="zh-CN"/>
                                    </w:rPr>
                                  </w:pPr>
                                  <w:r>
                                    <w:rPr>
                                      <w:rFonts w:hint="eastAsia"/>
                                      <w:sz w:val="21"/>
                                      <w:szCs w:val="21"/>
                                      <w:lang w:val="en-US" w:eastAsia="zh-CN"/>
                                    </w:rPr>
                                    <w:t>土方回填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2pt;margin-top:103.5pt;height:21.75pt;width:74.15pt;z-index:251691008;mso-width-relative:page;mso-height-relative:page;" fillcolor="#FFFFFF [3201]" filled="t" stroked="t" coordsize="21600,21600" o:gfxdata="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AF6ez9gA&#10;AAALAQAADwAAAAAAAAABACAAAAAiAAAAZHJzL2Rvd25yZXYueG1sUEsBAhQAFAAAAAgAh07iQFCm&#10;h7lYAgAAuAQAAA4AAAAAAAAAAQAgAAAAJwEAAGRycy9lMm9Eb2MueG1sUEsFBgAAAAAGAAYAWQEA&#10;APEFAAAAAA==&#10;">
                      <v:fill on="t" focussize="0,0"/>
                      <v:stroke weight="0.5pt" color="#000000 [3204]" joinstyle="round"/>
                      <v:imagedata o:title=""/>
                      <o:lock v:ext="edit" aspectratio="f"/>
                      <v:textbox>
                        <w:txbxContent>
                          <w:p w14:paraId="693FE8B1">
                            <w:pPr>
                              <w:jc w:val="center"/>
                              <w:rPr>
                                <w:rFonts w:hint="default" w:eastAsia="宋体"/>
                                <w:sz w:val="24"/>
                                <w:szCs w:val="24"/>
                                <w:lang w:val="en-US" w:eastAsia="zh-CN"/>
                              </w:rPr>
                            </w:pPr>
                            <w:r>
                              <w:rPr>
                                <w:rFonts w:hint="eastAsia"/>
                                <w:sz w:val="21"/>
                                <w:szCs w:val="21"/>
                                <w:lang w:val="en-US" w:eastAsia="zh-CN"/>
                              </w:rPr>
                              <w:t>土方回填</w:t>
                            </w:r>
                          </w:p>
                        </w:txbxContent>
                      </v:textbox>
                    </v:shape>
                  </w:pict>
                </mc:Fallback>
              </mc:AlternateContent>
            </w:r>
            <w:r>
              <w:rPr>
                <w:rFonts w:ascii="Times New Roman" w:hAnsi="Times New Roman" w:eastAsia="宋体"/>
                <w:color w:val="auto"/>
                <w:sz w:val="21"/>
              </w:rPr>
              <mc:AlternateContent>
                <mc:Choice Requires="wps">
                  <w:drawing>
                    <wp:anchor distT="0" distB="0" distL="114300" distR="114300" simplePos="0" relativeHeight="251689984" behindDoc="0" locked="0" layoutInCell="1" allowOverlap="1">
                      <wp:simplePos x="0" y="0"/>
                      <wp:positionH relativeFrom="column">
                        <wp:posOffset>4118610</wp:posOffset>
                      </wp:positionH>
                      <wp:positionV relativeFrom="paragraph">
                        <wp:posOffset>294640</wp:posOffset>
                      </wp:positionV>
                      <wp:extent cx="964565" cy="25527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964565" cy="2552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F53AAE">
                                  <w:pPr>
                                    <w:jc w:val="center"/>
                                    <w:rPr>
                                      <w:rFonts w:hint="default" w:eastAsia="宋体"/>
                                      <w:sz w:val="15"/>
                                      <w:szCs w:val="15"/>
                                      <w:lang w:val="en-US" w:eastAsia="zh-CN"/>
                                    </w:rPr>
                                  </w:pPr>
                                  <w:r>
                                    <w:rPr>
                                      <w:rFonts w:hint="eastAsia"/>
                                      <w:sz w:val="15"/>
                                      <w:szCs w:val="15"/>
                                      <w:lang w:val="en-US" w:eastAsia="zh-CN"/>
                                    </w:rPr>
                                    <w:t>废气、废水、噪声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4.3pt;margin-top:23.2pt;height:20.1pt;width:75.95pt;z-index:251689984;mso-width-relative:page;mso-height-relative:page;" filled="f" stroked="f" coordsize="21600,21600" o:gfxdata="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&#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6/dxM2gAAAAkBAAAPAAAAAAAAAAEAIAAAACIAAABk&#10;cnMvZG93bnJldi54bWxQSwECFAAUAAAACACHTuJASFbojz0CAABnBAAADgAAAAAAAAABACAAAAAp&#10;AQAAZHJzL2Uyb0RvYy54bWxQSwUGAAAAAAYABgBZAQAA2AUAAAAA&#10;">
                      <v:fill on="f" focussize="0,0"/>
                      <v:stroke on="f" weight="0.5pt"/>
                      <v:imagedata o:title=""/>
                      <o:lock v:ext="edit" aspectratio="f"/>
                      <v:textbox>
                        <w:txbxContent>
                          <w:p w14:paraId="02F53AAE">
                            <w:pPr>
                              <w:jc w:val="center"/>
                              <w:rPr>
                                <w:rFonts w:hint="default" w:eastAsia="宋体"/>
                                <w:sz w:val="15"/>
                                <w:szCs w:val="15"/>
                                <w:lang w:val="en-US" w:eastAsia="zh-CN"/>
                              </w:rPr>
                            </w:pPr>
                            <w:r>
                              <w:rPr>
                                <w:rFonts w:hint="eastAsia"/>
                                <w:sz w:val="15"/>
                                <w:szCs w:val="15"/>
                                <w:lang w:val="en-US" w:eastAsia="zh-CN"/>
                              </w:rPr>
                              <w:t>废气、废水、噪声</w:t>
                            </w:r>
                          </w:p>
                        </w:txbxContent>
                      </v:textbox>
                    </v:shape>
                  </w:pict>
                </mc:Fallback>
              </mc:AlternateContent>
            </w:r>
            <w:r>
              <w:rPr>
                <w:rFonts w:ascii="Times New Roman" w:hAnsi="Times New Roman" w:eastAsia="宋体"/>
                <w:color w:val="auto"/>
                <w:sz w:val="21"/>
              </w:rPr>
              <mc:AlternateContent>
                <mc:Choice Requires="wps">
                  <w:drawing>
                    <wp:anchor distT="0" distB="0" distL="114300" distR="114300" simplePos="0" relativeHeight="251675648" behindDoc="0" locked="0" layoutInCell="1" allowOverlap="1">
                      <wp:simplePos x="0" y="0"/>
                      <wp:positionH relativeFrom="column">
                        <wp:posOffset>4574540</wp:posOffset>
                      </wp:positionH>
                      <wp:positionV relativeFrom="paragraph">
                        <wp:posOffset>1017905</wp:posOffset>
                      </wp:positionV>
                      <wp:extent cx="3810" cy="302895"/>
                      <wp:effectExtent l="35560" t="0" r="36830" b="1905"/>
                      <wp:wrapNone/>
                      <wp:docPr id="42" name="直接箭头连接符 42"/>
                      <wp:cNvGraphicFramePr/>
                      <a:graphic xmlns:a="http://schemas.openxmlformats.org/drawingml/2006/main">
                        <a:graphicData uri="http://schemas.microsoft.com/office/word/2010/wordprocessingShape">
                          <wps:wsp>
                            <wps:cNvCnPr/>
                            <wps:spPr>
                              <a:xfrm>
                                <a:off x="0" y="0"/>
                                <a:ext cx="3810" cy="302895"/>
                              </a:xfrm>
                              <a:prstGeom prst="straightConnector1">
                                <a:avLst/>
                              </a:prstGeom>
                              <a:ln w="635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60.2pt;margin-top:80.15pt;height:23.85pt;width:0.3pt;z-index:251675648;mso-width-relative:page;mso-height-relative:page;" filled="f" stroked="t" coordsize="21600,21600" o:gfxdata="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KcBZ72QAAAAsBAAAPAAAAAAAAAAEAIAAAACIAAABkcnMvZG93bnJl&#10;di54bWxQSwECFAAUAAAACACHTuJAt+hnB/wBAADOAwAADgAAAAAAAAABACAAAAAoAQAAZHJzL2Uy&#10;b0RvYy54bWxQSwUGAAAAAAYABgBZAQAAlgUAAAAA&#10;">
                      <v:fill on="f" focussize="0,0"/>
                      <v:stroke weight="0.5pt" color="#000000 [3213]" joinstyle="round" endarrow="block"/>
                      <v:imagedata o:title=""/>
                      <o:lock v:ext="edit" aspectratio="f"/>
                    </v:shape>
                  </w:pict>
                </mc:Fallback>
              </mc:AlternateContent>
            </w:r>
            <w:r>
              <w:rPr>
                <w:rFonts w:ascii="Times New Roman" w:hAnsi="Times New Roman" w:eastAsia="宋体"/>
                <w:color w:val="auto"/>
                <w:sz w:val="21"/>
              </w:rPr>
              <mc:AlternateContent>
                <mc:Choice Requires="wps">
                  <w:drawing>
                    <wp:anchor distT="0" distB="0" distL="114300" distR="114300" simplePos="0" relativeHeight="251688960" behindDoc="0" locked="0" layoutInCell="1" allowOverlap="1">
                      <wp:simplePos x="0" y="0"/>
                      <wp:positionH relativeFrom="column">
                        <wp:posOffset>3162300</wp:posOffset>
                      </wp:positionH>
                      <wp:positionV relativeFrom="paragraph">
                        <wp:posOffset>309880</wp:posOffset>
                      </wp:positionV>
                      <wp:extent cx="727075" cy="25527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727075" cy="2552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AE1405">
                                  <w:pPr>
                                    <w:rPr>
                                      <w:rFonts w:hint="default" w:eastAsia="宋体"/>
                                      <w:sz w:val="15"/>
                                      <w:szCs w:val="15"/>
                                      <w:lang w:val="en-US" w:eastAsia="zh-CN"/>
                                    </w:rPr>
                                  </w:pPr>
                                  <w:r>
                                    <w:rPr>
                                      <w:rFonts w:hint="eastAsia"/>
                                      <w:sz w:val="15"/>
                                      <w:szCs w:val="15"/>
                                      <w:lang w:val="en-US" w:eastAsia="zh-CN"/>
                                    </w:rPr>
                                    <w:t>粉尘、噪声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pt;margin-top:24.4pt;height:20.1pt;width:57.25pt;z-index:251688960;mso-width-relative:page;mso-height-relative:page;" filled="f" stroked="f" coordsize="21600,21600" o:gfxdata="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ib2Fh2gAAAAkBAAAPAAAAAAAAAAEAIAAAACIAAABkcnMv&#10;ZG93bnJldi54bWxQSwECFAAUAAAACACHTuJAJNd+NzoCAABnBAAADgAAAAAAAAABACAAAAApAQAA&#10;ZHJzL2Uyb0RvYy54bWxQSwUGAAAAAAYABgBZAQAA1QUAAAAA&#10;">
                      <v:fill on="f" focussize="0,0"/>
                      <v:stroke on="f" weight="0.5pt"/>
                      <v:imagedata o:title=""/>
                      <o:lock v:ext="edit" aspectratio="f"/>
                      <v:textbox>
                        <w:txbxContent>
                          <w:p w14:paraId="56AE1405">
                            <w:pPr>
                              <w:rPr>
                                <w:rFonts w:hint="default" w:eastAsia="宋体"/>
                                <w:sz w:val="15"/>
                                <w:szCs w:val="15"/>
                                <w:lang w:val="en-US" w:eastAsia="zh-CN"/>
                              </w:rPr>
                            </w:pPr>
                            <w:r>
                              <w:rPr>
                                <w:rFonts w:hint="eastAsia"/>
                                <w:sz w:val="15"/>
                                <w:szCs w:val="15"/>
                                <w:lang w:val="en-US" w:eastAsia="zh-CN"/>
                              </w:rPr>
                              <w:t>粉尘、噪声</w:t>
                            </w:r>
                          </w:p>
                        </w:txbxContent>
                      </v:textbox>
                    </v:shape>
                  </w:pict>
                </mc:Fallback>
              </mc:AlternateContent>
            </w:r>
            <w:r>
              <w:rPr>
                <w:rFonts w:ascii="Times New Roman" w:hAnsi="Times New Roman" w:eastAsia="宋体"/>
                <w:color w:val="auto"/>
                <w:sz w:val="21"/>
              </w:rPr>
              <mc:AlternateContent>
                <mc:Choice Requires="wps">
                  <w:drawing>
                    <wp:anchor distT="0" distB="0" distL="114300" distR="114300" simplePos="0" relativeHeight="251687936" behindDoc="0" locked="0" layoutInCell="1" allowOverlap="1">
                      <wp:simplePos x="0" y="0"/>
                      <wp:positionH relativeFrom="column">
                        <wp:posOffset>2113280</wp:posOffset>
                      </wp:positionH>
                      <wp:positionV relativeFrom="paragraph">
                        <wp:posOffset>179705</wp:posOffset>
                      </wp:positionV>
                      <wp:extent cx="861695" cy="374015"/>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861695" cy="3740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241072">
                                  <w:pPr>
                                    <w:rPr>
                                      <w:rFonts w:hint="eastAsia"/>
                                      <w:sz w:val="15"/>
                                      <w:szCs w:val="15"/>
                                      <w:lang w:val="en-US" w:eastAsia="zh-CN"/>
                                    </w:rPr>
                                  </w:pPr>
                                  <w:r>
                                    <w:rPr>
                                      <w:rFonts w:hint="eastAsia"/>
                                      <w:sz w:val="15"/>
                                      <w:szCs w:val="15"/>
                                      <w:lang w:val="en-US" w:eastAsia="zh-CN"/>
                                    </w:rPr>
                                    <w:t>粉尘、噪声、</w:t>
                                  </w:r>
                                </w:p>
                                <w:p w14:paraId="08FA0C1D">
                                  <w:pPr>
                                    <w:rPr>
                                      <w:rFonts w:hint="default" w:eastAsia="宋体"/>
                                      <w:sz w:val="15"/>
                                      <w:szCs w:val="15"/>
                                      <w:lang w:val="en-US" w:eastAsia="zh-CN"/>
                                    </w:rPr>
                                  </w:pPr>
                                  <w:r>
                                    <w:rPr>
                                      <w:rFonts w:hint="eastAsia"/>
                                      <w:sz w:val="15"/>
                                      <w:szCs w:val="15"/>
                                      <w:lang w:val="en-US" w:eastAsia="zh-CN"/>
                                    </w:rPr>
                                    <w:t>固废、水土流失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6.4pt;margin-top:14.15pt;height:29.45pt;width:67.85pt;z-index:251687936;mso-width-relative:page;mso-height-relative:page;" filled="f" stroked="f" coordsize="21600,21600" o:gfxdata="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&#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8JnZ/2gAAAAkBAAAPAAAAAAAAAAEAIAAAACIAAABk&#10;cnMvZG93bnJldi54bWxQSwECFAAUAAAACACHTuJANc8s3D0CAABnBAAADgAAAAAAAAABACAAAAAp&#10;AQAAZHJzL2Uyb0RvYy54bWxQSwUGAAAAAAYABgBZAQAA2AUAAAAA&#10;">
                      <v:fill on="f" focussize="0,0"/>
                      <v:stroke on="f" weight="0.5pt"/>
                      <v:imagedata o:title=""/>
                      <o:lock v:ext="edit" aspectratio="f"/>
                      <v:textbox>
                        <w:txbxContent>
                          <w:p w14:paraId="63241072">
                            <w:pPr>
                              <w:rPr>
                                <w:rFonts w:hint="eastAsia"/>
                                <w:sz w:val="15"/>
                                <w:szCs w:val="15"/>
                                <w:lang w:val="en-US" w:eastAsia="zh-CN"/>
                              </w:rPr>
                            </w:pPr>
                            <w:r>
                              <w:rPr>
                                <w:rFonts w:hint="eastAsia"/>
                                <w:sz w:val="15"/>
                                <w:szCs w:val="15"/>
                                <w:lang w:val="en-US" w:eastAsia="zh-CN"/>
                              </w:rPr>
                              <w:t>粉尘、噪声、</w:t>
                            </w:r>
                          </w:p>
                          <w:p w14:paraId="08FA0C1D">
                            <w:pPr>
                              <w:rPr>
                                <w:rFonts w:hint="default" w:eastAsia="宋体"/>
                                <w:sz w:val="15"/>
                                <w:szCs w:val="15"/>
                                <w:lang w:val="en-US" w:eastAsia="zh-CN"/>
                              </w:rPr>
                            </w:pPr>
                            <w:r>
                              <w:rPr>
                                <w:rFonts w:hint="eastAsia"/>
                                <w:sz w:val="15"/>
                                <w:szCs w:val="15"/>
                                <w:lang w:val="en-US" w:eastAsia="zh-CN"/>
                              </w:rPr>
                              <w:t>固废、水土流失</w:t>
                            </w:r>
                          </w:p>
                        </w:txbxContent>
                      </v:textbox>
                    </v:shape>
                  </w:pict>
                </mc:Fallback>
              </mc:AlternateContent>
            </w:r>
            <w:r>
              <w:rPr>
                <w:rFonts w:ascii="Times New Roman" w:hAnsi="Times New Roman" w:eastAsia="宋体"/>
                <w:color w:val="auto"/>
                <w:sz w:val="21"/>
              </w:rPr>
              <mc:AlternateContent>
                <mc:Choice Requires="wps">
                  <w:drawing>
                    <wp:anchor distT="0" distB="0" distL="114300" distR="114300" simplePos="0" relativeHeight="251686912" behindDoc="0" locked="0" layoutInCell="1" allowOverlap="1">
                      <wp:simplePos x="0" y="0"/>
                      <wp:positionH relativeFrom="column">
                        <wp:posOffset>1087755</wp:posOffset>
                      </wp:positionH>
                      <wp:positionV relativeFrom="paragraph">
                        <wp:posOffset>178435</wp:posOffset>
                      </wp:positionV>
                      <wp:extent cx="861695" cy="374015"/>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861695" cy="3740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69DD88">
                                  <w:pPr>
                                    <w:rPr>
                                      <w:rFonts w:hint="eastAsia"/>
                                      <w:sz w:val="15"/>
                                      <w:szCs w:val="15"/>
                                      <w:lang w:val="en-US" w:eastAsia="zh-CN"/>
                                    </w:rPr>
                                  </w:pPr>
                                  <w:r>
                                    <w:rPr>
                                      <w:rFonts w:hint="eastAsia"/>
                                      <w:sz w:val="15"/>
                                      <w:szCs w:val="15"/>
                                      <w:lang w:val="en-US" w:eastAsia="zh-CN"/>
                                    </w:rPr>
                                    <w:t>粉尘、噪声、</w:t>
                                  </w:r>
                                </w:p>
                                <w:p w14:paraId="78A5CB2F">
                                  <w:pPr>
                                    <w:rPr>
                                      <w:rFonts w:hint="default" w:eastAsia="宋体"/>
                                      <w:sz w:val="15"/>
                                      <w:szCs w:val="15"/>
                                      <w:lang w:val="en-US" w:eastAsia="zh-CN"/>
                                    </w:rPr>
                                  </w:pPr>
                                  <w:r>
                                    <w:rPr>
                                      <w:rFonts w:hint="eastAsia"/>
                                      <w:sz w:val="15"/>
                                      <w:szCs w:val="15"/>
                                      <w:lang w:val="en-US" w:eastAsia="zh-CN"/>
                                    </w:rPr>
                                    <w:t>固废、水土流失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65pt;margin-top:14.05pt;height:29.45pt;width:67.85pt;z-index:251686912;mso-width-relative:page;mso-height-relative:page;" filled="f" stroked="f" coordsize="21600,21600" o:gfxdata="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3RBc5dkAAAAJAQAADwAAAAAAAAABACAAAAAiAAAAZHJz&#10;L2Rvd25yZXYueG1sUEsBAhQAFAAAAAgAh07iQG+w7zQ8AgAAZwQAAA4AAAAAAAAAAQAgAAAAKAEA&#10;AGRycy9lMm9Eb2MueG1sUEsFBgAAAAAGAAYAWQEAANYFAAAAAA==&#10;">
                      <v:fill on="f" focussize="0,0"/>
                      <v:stroke on="f" weight="0.5pt"/>
                      <v:imagedata o:title=""/>
                      <o:lock v:ext="edit" aspectratio="f"/>
                      <v:textbox>
                        <w:txbxContent>
                          <w:p w14:paraId="5769DD88">
                            <w:pPr>
                              <w:rPr>
                                <w:rFonts w:hint="eastAsia"/>
                                <w:sz w:val="15"/>
                                <w:szCs w:val="15"/>
                                <w:lang w:val="en-US" w:eastAsia="zh-CN"/>
                              </w:rPr>
                            </w:pPr>
                            <w:r>
                              <w:rPr>
                                <w:rFonts w:hint="eastAsia"/>
                                <w:sz w:val="15"/>
                                <w:szCs w:val="15"/>
                                <w:lang w:val="en-US" w:eastAsia="zh-CN"/>
                              </w:rPr>
                              <w:t>粉尘、噪声、</w:t>
                            </w:r>
                          </w:p>
                          <w:p w14:paraId="78A5CB2F">
                            <w:pPr>
                              <w:rPr>
                                <w:rFonts w:hint="default" w:eastAsia="宋体"/>
                                <w:sz w:val="15"/>
                                <w:szCs w:val="15"/>
                                <w:lang w:val="en-US" w:eastAsia="zh-CN"/>
                              </w:rPr>
                            </w:pPr>
                            <w:r>
                              <w:rPr>
                                <w:rFonts w:hint="eastAsia"/>
                                <w:sz w:val="15"/>
                                <w:szCs w:val="15"/>
                                <w:lang w:val="en-US" w:eastAsia="zh-CN"/>
                              </w:rPr>
                              <w:t>固废、水土流失</w:t>
                            </w:r>
                          </w:p>
                        </w:txbxContent>
                      </v:textbox>
                    </v:shape>
                  </w:pict>
                </mc:Fallback>
              </mc:AlternateContent>
            </w:r>
            <w:r>
              <w:rPr>
                <w:rFonts w:ascii="Times New Roman" w:hAnsi="Times New Roman" w:eastAsia="宋体"/>
                <w:color w:val="auto"/>
                <w:sz w:val="21"/>
              </w:rPr>
              <mc:AlternateContent>
                <mc:Choice Requires="wps">
                  <w:drawing>
                    <wp:anchor distT="0" distB="0" distL="114300" distR="114300" simplePos="0" relativeHeight="251685888" behindDoc="0" locked="0" layoutInCell="1" allowOverlap="1">
                      <wp:simplePos x="0" y="0"/>
                      <wp:positionH relativeFrom="column">
                        <wp:posOffset>4575175</wp:posOffset>
                      </wp:positionH>
                      <wp:positionV relativeFrom="paragraph">
                        <wp:posOffset>499110</wp:posOffset>
                      </wp:positionV>
                      <wp:extent cx="635" cy="241935"/>
                      <wp:effectExtent l="37465" t="0" r="38100" b="5715"/>
                      <wp:wrapNone/>
                      <wp:docPr id="63" name="直接箭头连接符 63"/>
                      <wp:cNvGraphicFramePr/>
                      <a:graphic xmlns:a="http://schemas.openxmlformats.org/drawingml/2006/main">
                        <a:graphicData uri="http://schemas.microsoft.com/office/word/2010/wordprocessingShape">
                          <wps:wsp>
                            <wps:cNvCnPr/>
                            <wps:spPr>
                              <a:xfrm flipV="1">
                                <a:off x="0" y="0"/>
                                <a:ext cx="635" cy="241935"/>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60.25pt;margin-top:39.3pt;height:19.05pt;width:0.05pt;z-index:251685888;mso-width-relative:page;mso-height-relative:page;" filled="f" stroked="t" coordsize="21600,21600" o:gfxdata="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qIlsr2QAAAAoBAAAPAAAAAAAAAAEAIAAAACIAAABk&#10;cnMvZG93bnJldi54bWxQSwECFAAUAAAACACHTuJAVrHnNgUCAADaAwAADgAAAAAAAAABACAAAAAo&#10;AQAAZHJzL2Uyb0RvYy54bWxQSwUGAAAAAAYABgBZAQAAnwUAAAAA&#10;">
                      <v:fill on="f" focussize="0,0"/>
                      <v:stroke weight="1pt" color="#000000 [3213]" joinstyle="round" dashstyle="3 1" endarrow="block"/>
                      <v:imagedata o:title=""/>
                      <o:lock v:ext="edit" aspectratio="f"/>
                    </v:shape>
                  </w:pict>
                </mc:Fallback>
              </mc:AlternateContent>
            </w:r>
            <w:r>
              <w:rPr>
                <w:rFonts w:ascii="Times New Roman" w:hAnsi="Times New Roman" w:eastAsia="宋体"/>
                <w:color w:val="auto"/>
                <w:sz w:val="21"/>
              </w:rPr>
              <mc:AlternateContent>
                <mc:Choice Requires="wps">
                  <w:drawing>
                    <wp:anchor distT="0" distB="0" distL="114300" distR="114300" simplePos="0" relativeHeight="251684864" behindDoc="0" locked="0" layoutInCell="1" allowOverlap="1">
                      <wp:simplePos x="0" y="0"/>
                      <wp:positionH relativeFrom="column">
                        <wp:posOffset>3533775</wp:posOffset>
                      </wp:positionH>
                      <wp:positionV relativeFrom="paragraph">
                        <wp:posOffset>505460</wp:posOffset>
                      </wp:positionV>
                      <wp:extent cx="635" cy="241935"/>
                      <wp:effectExtent l="37465" t="0" r="38100" b="5715"/>
                      <wp:wrapNone/>
                      <wp:docPr id="62" name="直接箭头连接符 62"/>
                      <wp:cNvGraphicFramePr/>
                      <a:graphic xmlns:a="http://schemas.openxmlformats.org/drawingml/2006/main">
                        <a:graphicData uri="http://schemas.microsoft.com/office/word/2010/wordprocessingShape">
                          <wps:wsp>
                            <wps:cNvCnPr/>
                            <wps:spPr>
                              <a:xfrm flipV="1">
                                <a:off x="0" y="0"/>
                                <a:ext cx="635" cy="241935"/>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78.25pt;margin-top:39.8pt;height:19.05pt;width:0.05pt;z-index:251684864;mso-width-relative:page;mso-height-relative:page;" filled="f" stroked="t" coordsize="21600,21600" o:gfxdata="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&#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T8gZ/ZAAAACgEAAA8AAAAAAAAAAQAgAAAAIgAAAGRy&#10;cy9kb3ducmV2LnhtbFBLAQIUABQAAAAIAIdO4kBMkJrQBAIAANoDAAAOAAAAAAAAAAEAIAAAACgB&#10;AABkcnMvZTJvRG9jLnhtbFBLBQYAAAAABgAGAFkBAACeBQAAAAA=&#10;">
                      <v:fill on="f" focussize="0,0"/>
                      <v:stroke weight="1pt" color="#000000 [3213]" joinstyle="round" dashstyle="3 1" endarrow="block"/>
                      <v:imagedata o:title=""/>
                      <o:lock v:ext="edit" aspectratio="f"/>
                    </v:shape>
                  </w:pict>
                </mc:Fallback>
              </mc:AlternateContent>
            </w:r>
            <w:r>
              <w:rPr>
                <w:rFonts w:ascii="Times New Roman" w:hAnsi="Times New Roman" w:eastAsia="宋体"/>
                <w:color w:val="auto"/>
                <w:sz w:val="21"/>
              </w:rPr>
              <mc:AlternateContent>
                <mc:Choice Requires="wps">
                  <w:drawing>
                    <wp:anchor distT="0" distB="0" distL="114300" distR="114300" simplePos="0" relativeHeight="251683840" behindDoc="0" locked="0" layoutInCell="1" allowOverlap="1">
                      <wp:simplePos x="0" y="0"/>
                      <wp:positionH relativeFrom="column">
                        <wp:posOffset>2540000</wp:posOffset>
                      </wp:positionH>
                      <wp:positionV relativeFrom="paragraph">
                        <wp:posOffset>519430</wp:posOffset>
                      </wp:positionV>
                      <wp:extent cx="635" cy="241935"/>
                      <wp:effectExtent l="37465" t="0" r="38100" b="5715"/>
                      <wp:wrapNone/>
                      <wp:docPr id="61" name="直接箭头连接符 61"/>
                      <wp:cNvGraphicFramePr/>
                      <a:graphic xmlns:a="http://schemas.openxmlformats.org/drawingml/2006/main">
                        <a:graphicData uri="http://schemas.microsoft.com/office/word/2010/wordprocessingShape">
                          <wps:wsp>
                            <wps:cNvCnPr/>
                            <wps:spPr>
                              <a:xfrm flipV="1">
                                <a:off x="0" y="0"/>
                                <a:ext cx="635" cy="241935"/>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00pt;margin-top:40.9pt;height:19.05pt;width:0.05pt;z-index:251683840;mso-width-relative:page;mso-height-relative:page;" filled="f" stroked="t" coordsize="21600,21600" o:gfxdata="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&#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NfvAHZAAAACgEAAA8AAAAAAAAAAQAgAAAAIgAAAGRy&#10;cy9kb3ducmV2LnhtbFBLAQIUABQAAAAIAIdO4kAj9WwhBAIAANoDAAAOAAAAAAAAAAEAIAAAACgB&#10;AABkcnMvZTJvRG9jLnhtbFBLBQYAAAAABgAGAFkBAACeBQAAAAA=&#10;">
                      <v:fill on="f" focussize="0,0"/>
                      <v:stroke weight="1pt" color="#000000 [3213]" joinstyle="round" dashstyle="3 1" endarrow="block"/>
                      <v:imagedata o:title=""/>
                      <o:lock v:ext="edit" aspectratio="f"/>
                    </v:shape>
                  </w:pict>
                </mc:Fallback>
              </mc:AlternateContent>
            </w:r>
            <w:r>
              <w:rPr>
                <w:rFonts w:ascii="Times New Roman" w:hAnsi="Times New Roman" w:eastAsia="宋体"/>
                <w:color w:val="auto"/>
                <w:sz w:val="21"/>
              </w:rPr>
              <mc:AlternateContent>
                <mc:Choice Requires="wps">
                  <w:drawing>
                    <wp:anchor distT="0" distB="0" distL="114300" distR="114300" simplePos="0" relativeHeight="251682816" behindDoc="0" locked="0" layoutInCell="1" allowOverlap="1">
                      <wp:simplePos x="0" y="0"/>
                      <wp:positionH relativeFrom="column">
                        <wp:posOffset>1491615</wp:posOffset>
                      </wp:positionH>
                      <wp:positionV relativeFrom="paragraph">
                        <wp:posOffset>494030</wp:posOffset>
                      </wp:positionV>
                      <wp:extent cx="635" cy="241935"/>
                      <wp:effectExtent l="37465" t="0" r="38100" b="5715"/>
                      <wp:wrapNone/>
                      <wp:docPr id="60" name="直接箭头连接符 60"/>
                      <wp:cNvGraphicFramePr/>
                      <a:graphic xmlns:a="http://schemas.openxmlformats.org/drawingml/2006/main">
                        <a:graphicData uri="http://schemas.microsoft.com/office/word/2010/wordprocessingShape">
                          <wps:wsp>
                            <wps:cNvCnPr/>
                            <wps:spPr>
                              <a:xfrm flipV="1">
                                <a:off x="0" y="0"/>
                                <a:ext cx="635" cy="241935"/>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17.45pt;margin-top:38.9pt;height:19.05pt;width:0.05pt;z-index:251682816;mso-width-relative:page;mso-height-relative:page;" filled="f" stroked="t" coordsize="21600,21600" o:gfxdata="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HZqmNsAAAAKAQAADwAAAAAAAAABACAAAAAiAAAA&#10;ZHJzL2Rvd25yZXYueG1sUEsBAhQAFAAAAAgAh07iQDnUEccEAgAA2gMAAA4AAAAAAAAAAQAgAAAA&#10;KgEAAGRycy9lMm9Eb2MueG1sUEsFBgAAAAAGAAYAWQEAAKAFAAAAAA==&#10;">
                      <v:fill on="f" focussize="0,0"/>
                      <v:stroke weight="1pt" color="#000000 [3213]" joinstyle="round" dashstyle="3 1" endarrow="block"/>
                      <v:imagedata o:title=""/>
                      <o:lock v:ext="edit" aspectratio="f"/>
                    </v:shape>
                  </w:pict>
                </mc:Fallback>
              </mc:AlternateContent>
            </w:r>
            <w:r>
              <w:rPr>
                <w:rFonts w:ascii="Times New Roman" w:hAnsi="Times New Roman" w:eastAsia="宋体"/>
                <w:color w:val="auto"/>
                <w:sz w:val="21"/>
              </w:rPr>
              <mc:AlternateContent>
                <mc:Choice Requires="wps">
                  <w:drawing>
                    <wp:anchor distT="0" distB="0" distL="114300" distR="114300" simplePos="0" relativeHeight="251670528" behindDoc="0" locked="0" layoutInCell="1" allowOverlap="1">
                      <wp:simplePos x="0" y="0"/>
                      <wp:positionH relativeFrom="column">
                        <wp:posOffset>418465</wp:posOffset>
                      </wp:positionH>
                      <wp:positionV relativeFrom="paragraph">
                        <wp:posOffset>492760</wp:posOffset>
                      </wp:positionV>
                      <wp:extent cx="635" cy="241935"/>
                      <wp:effectExtent l="37465" t="0" r="38100" b="5715"/>
                      <wp:wrapNone/>
                      <wp:docPr id="32" name="直接箭头连接符 32"/>
                      <wp:cNvGraphicFramePr/>
                      <a:graphic xmlns:a="http://schemas.openxmlformats.org/drawingml/2006/main">
                        <a:graphicData uri="http://schemas.microsoft.com/office/word/2010/wordprocessingShape">
                          <wps:wsp>
                            <wps:cNvCnPr/>
                            <wps:spPr>
                              <a:xfrm flipV="1">
                                <a:off x="3827780" y="3117215"/>
                                <a:ext cx="635" cy="241935"/>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2.95pt;margin-top:38.8pt;height:19.05pt;width:0.05pt;z-index:251670528;mso-width-relative:page;mso-height-relative:page;" filled="f" stroked="t" coordsize="21600,21600" o:gfxdata="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yW1KjYAAAACAEAAA8AAAAAAAAA&#10;AQAgAAAAIgAAAGRycy9kb3ducmV2LnhtbFBLAQIUABQAAAAIAIdO4kD73/DxEQIAAOYDAAAOAAAA&#10;AAAAAAEAIAAAACcBAABkcnMvZTJvRG9jLnhtbFBLBQYAAAAABgAGAFkBAACqBQAAAAA=&#10;">
                      <v:fill on="f" focussize="0,0"/>
                      <v:stroke weight="1pt" color="#000000 [3213]" joinstyle="round" dashstyle="3 1" endarrow="block"/>
                      <v:imagedata o:title=""/>
                      <o:lock v:ext="edit" aspectratio="f"/>
                    </v:shape>
                  </w:pict>
                </mc:Fallback>
              </mc:AlternateContent>
            </w:r>
            <w:r>
              <w:rPr>
                <w:rFonts w:ascii="Times New Roman" w:hAnsi="Times New Roman" w:eastAsia="宋体"/>
                <w:color w:val="auto"/>
                <w:sz w:val="21"/>
              </w:rPr>
              <mc:AlternateContent>
                <mc:Choice Requires="wps">
                  <w:drawing>
                    <wp:anchor distT="0" distB="0" distL="114300" distR="114300" simplePos="0" relativeHeight="251680768" behindDoc="0" locked="0" layoutInCell="1" allowOverlap="1">
                      <wp:simplePos x="0" y="0"/>
                      <wp:positionH relativeFrom="column">
                        <wp:posOffset>3958590</wp:posOffset>
                      </wp:positionH>
                      <wp:positionV relativeFrom="paragraph">
                        <wp:posOffset>895350</wp:posOffset>
                      </wp:positionV>
                      <wp:extent cx="193675" cy="0"/>
                      <wp:effectExtent l="0" t="38100" r="15875" b="38100"/>
                      <wp:wrapNone/>
                      <wp:docPr id="57" name="直接箭头连接符 57"/>
                      <wp:cNvGraphicFramePr/>
                      <a:graphic xmlns:a="http://schemas.openxmlformats.org/drawingml/2006/main">
                        <a:graphicData uri="http://schemas.microsoft.com/office/word/2010/wordprocessingShape">
                          <wps:wsp>
                            <wps:cNvCnPr/>
                            <wps:spPr>
                              <a:xfrm>
                                <a:off x="0" y="0"/>
                                <a:ext cx="193675" cy="0"/>
                              </a:xfrm>
                              <a:prstGeom prst="straightConnector1">
                                <a:avLst/>
                              </a:prstGeom>
                              <a:ln w="635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11.7pt;margin-top:70.5pt;height:0pt;width:15.25pt;z-index:251680768;mso-width-relative:page;mso-height-relative:page;" filled="f" stroked="t" coordsize="21600,21600" o:gfxdata="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9NdOn2AAAAAsBAAAPAAAAAAAAAAEAIAAAACIAAABkcnMvZG93bnJldi54&#10;bWxQSwECFAAUAAAACACHTuJAUgoEa/oBAADLAwAADgAAAAAAAAABACAAAAAnAQAAZHJzL2Uyb0Rv&#10;Yy54bWxQSwUGAAAAAAYABgBZAQAAkwUAAAAA&#10;">
                      <v:fill on="f" focussize="0,0"/>
                      <v:stroke weight="0.5pt" color="#000000 [3213]" joinstyle="round" endarrow="block"/>
                      <v:imagedata o:title=""/>
                      <o:lock v:ext="edit" aspectratio="f"/>
                    </v:shape>
                  </w:pict>
                </mc:Fallback>
              </mc:AlternateContent>
            </w:r>
            <w:r>
              <w:rPr>
                <w:rFonts w:ascii="Times New Roman" w:hAnsi="Times New Roman" w:eastAsia="宋体"/>
                <w:color w:val="auto"/>
                <w:sz w:val="21"/>
              </w:rPr>
              <mc:AlternateContent>
                <mc:Choice Requires="wps">
                  <w:drawing>
                    <wp:anchor distT="0" distB="0" distL="114300" distR="114300" simplePos="0" relativeHeight="251679744" behindDoc="0" locked="0" layoutInCell="1" allowOverlap="1">
                      <wp:simplePos x="0" y="0"/>
                      <wp:positionH relativeFrom="column">
                        <wp:posOffset>3115945</wp:posOffset>
                      </wp:positionH>
                      <wp:positionV relativeFrom="paragraph">
                        <wp:posOffset>744220</wp:posOffset>
                      </wp:positionV>
                      <wp:extent cx="840105" cy="276225"/>
                      <wp:effectExtent l="4445" t="4445" r="12700" b="5080"/>
                      <wp:wrapNone/>
                      <wp:docPr id="55" name="文本框 55"/>
                      <wp:cNvGraphicFramePr/>
                      <a:graphic xmlns:a="http://schemas.openxmlformats.org/drawingml/2006/main">
                        <a:graphicData uri="http://schemas.microsoft.com/office/word/2010/wordprocessingShape">
                          <wps:wsp>
                            <wps:cNvSpPr txBox="1"/>
                            <wps:spPr>
                              <a:xfrm>
                                <a:off x="0" y="0"/>
                                <a:ext cx="840105"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2A1AD4F">
                                  <w:pPr>
                                    <w:rPr>
                                      <w:rFonts w:hint="default" w:eastAsia="宋体"/>
                                      <w:sz w:val="21"/>
                                      <w:szCs w:val="21"/>
                                      <w:lang w:val="en-US" w:eastAsia="zh-CN"/>
                                    </w:rPr>
                                  </w:pPr>
                                  <w:r>
                                    <w:rPr>
                                      <w:rFonts w:hint="eastAsia"/>
                                      <w:sz w:val="21"/>
                                      <w:szCs w:val="21"/>
                                      <w:lang w:val="en-US" w:eastAsia="zh-CN"/>
                                    </w:rPr>
                                    <w:t>素土垫层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35pt;margin-top:58.6pt;height:21.75pt;width:66.15pt;z-index:251679744;mso-width-relative:page;mso-height-relative:page;" fillcolor="#FFFFFF [3201]" filled="t" stroked="t" coordsize="21600,21600" o:gfxdata="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TMH/y1gAA&#10;AAsBAAAPAAAAAAAAAAEAIAAAACIAAABkcnMvZG93bnJldi54bWxQSwECFAAUAAAACACHTuJAzbIm&#10;MFkCAAC4BAAADgAAAAAAAAABACAAAAAlAQAAZHJzL2Uyb0RvYy54bWxQSwUGAAAAAAYABgBZAQAA&#10;8AUAAAAA&#10;">
                      <v:fill on="t" focussize="0,0"/>
                      <v:stroke weight="0.5pt" color="#000000 [3204]" joinstyle="round"/>
                      <v:imagedata o:title=""/>
                      <o:lock v:ext="edit" aspectratio="f"/>
                      <v:textbox>
                        <w:txbxContent>
                          <w:p w14:paraId="22A1AD4F">
                            <w:pPr>
                              <w:rPr>
                                <w:rFonts w:hint="default" w:eastAsia="宋体"/>
                                <w:sz w:val="21"/>
                                <w:szCs w:val="21"/>
                                <w:lang w:val="en-US" w:eastAsia="zh-CN"/>
                              </w:rPr>
                            </w:pPr>
                            <w:r>
                              <w:rPr>
                                <w:rFonts w:hint="eastAsia"/>
                                <w:sz w:val="21"/>
                                <w:szCs w:val="21"/>
                                <w:lang w:val="en-US" w:eastAsia="zh-CN"/>
                              </w:rPr>
                              <w:t>素土垫层</w:t>
                            </w:r>
                          </w:p>
                        </w:txbxContent>
                      </v:textbox>
                    </v:shape>
                  </w:pict>
                </mc:Fallback>
              </mc:AlternateContent>
            </w:r>
            <w:r>
              <w:rPr>
                <w:rFonts w:ascii="Times New Roman" w:hAnsi="Times New Roman" w:eastAsia="宋体"/>
                <w:color w:val="auto"/>
                <w:sz w:val="21"/>
              </w:rPr>
              <mc:AlternateContent>
                <mc:Choice Requires="wps">
                  <w:drawing>
                    <wp:anchor distT="0" distB="0" distL="114300" distR="114300" simplePos="0" relativeHeight="251678720" behindDoc="0" locked="0" layoutInCell="1" allowOverlap="1">
                      <wp:simplePos x="0" y="0"/>
                      <wp:positionH relativeFrom="column">
                        <wp:posOffset>2941955</wp:posOffset>
                      </wp:positionH>
                      <wp:positionV relativeFrom="paragraph">
                        <wp:posOffset>892175</wp:posOffset>
                      </wp:positionV>
                      <wp:extent cx="193675" cy="0"/>
                      <wp:effectExtent l="0" t="38100" r="15875" b="38100"/>
                      <wp:wrapNone/>
                      <wp:docPr id="53" name="直接箭头连接符 53"/>
                      <wp:cNvGraphicFramePr/>
                      <a:graphic xmlns:a="http://schemas.openxmlformats.org/drawingml/2006/main">
                        <a:graphicData uri="http://schemas.microsoft.com/office/word/2010/wordprocessingShape">
                          <wps:wsp>
                            <wps:cNvCnPr/>
                            <wps:spPr>
                              <a:xfrm>
                                <a:off x="0" y="0"/>
                                <a:ext cx="193675" cy="0"/>
                              </a:xfrm>
                              <a:prstGeom prst="straightConnector1">
                                <a:avLst/>
                              </a:prstGeom>
                              <a:ln w="635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31.65pt;margin-top:70.25pt;height:0pt;width:15.25pt;z-index:251678720;mso-width-relative:page;mso-height-relative:page;" filled="f" stroked="t" coordsize="21600,21600" o:gfxdata="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yrpHd2AAAAAsBAAAPAAAAAAAAAAEAIAAAACIAAABkcnMvZG93bnJldi54&#10;bWxQSwECFAAUAAAACACHTuJAtYonJ/oBAADLAwAADgAAAAAAAAABACAAAAAnAQAAZHJzL2Uyb0Rv&#10;Yy54bWxQSwUGAAAAAAYABgBZAQAAkwUAAAAA&#10;">
                      <v:fill on="f" focussize="0,0"/>
                      <v:stroke weight="0.5pt" color="#000000 [3213]" joinstyle="round" endarrow="block"/>
                      <v:imagedata o:title=""/>
                      <o:lock v:ext="edit" aspectratio="f"/>
                    </v:shape>
                  </w:pict>
                </mc:Fallback>
              </mc:AlternateContent>
            </w:r>
            <w:r>
              <w:rPr>
                <w:rFonts w:ascii="Times New Roman" w:hAnsi="Times New Roman" w:eastAsia="宋体"/>
                <w:color w:val="auto"/>
                <w:sz w:val="21"/>
              </w:rPr>
              <mc:AlternateContent>
                <mc:Choice Requires="wps">
                  <w:drawing>
                    <wp:anchor distT="0" distB="0" distL="114300" distR="114300" simplePos="0" relativeHeight="251674624" behindDoc="0" locked="0" layoutInCell="1" allowOverlap="1">
                      <wp:simplePos x="0" y="0"/>
                      <wp:positionH relativeFrom="column">
                        <wp:posOffset>2099310</wp:posOffset>
                      </wp:positionH>
                      <wp:positionV relativeFrom="paragraph">
                        <wp:posOffset>755015</wp:posOffset>
                      </wp:positionV>
                      <wp:extent cx="840105" cy="276225"/>
                      <wp:effectExtent l="4445" t="4445" r="12700" b="5080"/>
                      <wp:wrapNone/>
                      <wp:docPr id="39" name="文本框 39"/>
                      <wp:cNvGraphicFramePr/>
                      <a:graphic xmlns:a="http://schemas.openxmlformats.org/drawingml/2006/main">
                        <a:graphicData uri="http://schemas.microsoft.com/office/word/2010/wordprocessingShape">
                          <wps:wsp>
                            <wps:cNvSpPr txBox="1"/>
                            <wps:spPr>
                              <a:xfrm>
                                <a:off x="0" y="0"/>
                                <a:ext cx="840105"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793862C">
                                  <w:pPr>
                                    <w:rPr>
                                      <w:rFonts w:hint="default" w:eastAsia="宋体"/>
                                      <w:sz w:val="24"/>
                                      <w:szCs w:val="24"/>
                                      <w:lang w:val="en-US" w:eastAsia="zh-CN"/>
                                    </w:rPr>
                                  </w:pPr>
                                  <w:r>
                                    <w:rPr>
                                      <w:rFonts w:hint="eastAsia"/>
                                      <w:sz w:val="21"/>
                                      <w:szCs w:val="21"/>
                                      <w:lang w:val="en-US" w:eastAsia="zh-CN"/>
                                    </w:rPr>
                                    <w:t>土方开挖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5.3pt;margin-top:59.45pt;height:21.75pt;width:66.15pt;z-index:251674624;mso-width-relative:page;mso-height-relative:page;" fillcolor="#FFFFFF [3201]" filled="t" stroked="t" coordsize="21600,21600" o:gfxdata="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wJ3YX1wAA&#10;AAsBAAAPAAAAAAAAAAEAIAAAACIAAABkcnMvZG93bnJldi54bWxQSwECFAAUAAAACACHTuJA7Pia&#10;xVgCAAC4BAAADgAAAAAAAAABACAAAAAmAQAAZHJzL2Uyb0RvYy54bWxQSwUGAAAAAAYABgBZAQAA&#10;8AUAAAAA&#10;">
                      <v:fill on="t" focussize="0,0"/>
                      <v:stroke weight="0.5pt" color="#000000 [3204]" joinstyle="round"/>
                      <v:imagedata o:title=""/>
                      <o:lock v:ext="edit" aspectratio="f"/>
                      <v:textbox>
                        <w:txbxContent>
                          <w:p w14:paraId="1793862C">
                            <w:pPr>
                              <w:rPr>
                                <w:rFonts w:hint="default" w:eastAsia="宋体"/>
                                <w:sz w:val="24"/>
                                <w:szCs w:val="24"/>
                                <w:lang w:val="en-US" w:eastAsia="zh-CN"/>
                              </w:rPr>
                            </w:pPr>
                            <w:r>
                              <w:rPr>
                                <w:rFonts w:hint="eastAsia"/>
                                <w:sz w:val="21"/>
                                <w:szCs w:val="21"/>
                                <w:lang w:val="en-US" w:eastAsia="zh-CN"/>
                              </w:rPr>
                              <w:t>土方开挖</w:t>
                            </w:r>
                          </w:p>
                        </w:txbxContent>
                      </v:textbox>
                    </v:shape>
                  </w:pict>
                </mc:Fallback>
              </mc:AlternateContent>
            </w:r>
            <w:r>
              <w:rPr>
                <w:rFonts w:ascii="Times New Roman" w:hAnsi="Times New Roman" w:eastAsia="宋体"/>
                <w:color w:val="auto"/>
                <w:sz w:val="21"/>
              </w:rPr>
              <mc:AlternateContent>
                <mc:Choice Requires="wps">
                  <w:drawing>
                    <wp:anchor distT="0" distB="0" distL="114300" distR="114300" simplePos="0" relativeHeight="251677696" behindDoc="0" locked="0" layoutInCell="1" allowOverlap="1">
                      <wp:simplePos x="0" y="0"/>
                      <wp:positionH relativeFrom="column">
                        <wp:posOffset>1905000</wp:posOffset>
                      </wp:positionH>
                      <wp:positionV relativeFrom="paragraph">
                        <wp:posOffset>882650</wp:posOffset>
                      </wp:positionV>
                      <wp:extent cx="193675" cy="0"/>
                      <wp:effectExtent l="0" t="38100" r="15875" b="38100"/>
                      <wp:wrapNone/>
                      <wp:docPr id="38" name="直接箭头连接符 38"/>
                      <wp:cNvGraphicFramePr/>
                      <a:graphic xmlns:a="http://schemas.openxmlformats.org/drawingml/2006/main">
                        <a:graphicData uri="http://schemas.microsoft.com/office/word/2010/wordprocessingShape">
                          <wps:wsp>
                            <wps:cNvCnPr/>
                            <wps:spPr>
                              <a:xfrm>
                                <a:off x="0" y="0"/>
                                <a:ext cx="193675" cy="0"/>
                              </a:xfrm>
                              <a:prstGeom prst="straightConnector1">
                                <a:avLst/>
                              </a:prstGeom>
                              <a:ln w="635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50pt;margin-top:69.5pt;height:0pt;width:15.25pt;z-index:251677696;mso-width-relative:page;mso-height-relative:page;" filled="f" stroked="t" coordsize="21600,21600" o:gfxdata="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zoHv/XAAAACwEAAA8AAAAAAAAAAQAgAAAAIgAAAGRycy9kb3ducmV2Lnht&#10;bFBLAQIUABQAAAAIAIdO4kD3Fy4w+gEAAMsDAAAOAAAAAAAAAAEAIAAAACYBAABkcnMvZTJvRG9j&#10;LnhtbFBLBQYAAAAABgAGAFkBAACSBQAAAAA=&#10;">
                      <v:fill on="f" focussize="0,0"/>
                      <v:stroke weight="0.5pt" color="#000000 [3213]" joinstyle="round" endarrow="block"/>
                      <v:imagedata o:title=""/>
                      <o:lock v:ext="edit" aspectratio="f"/>
                    </v:shape>
                  </w:pict>
                </mc:Fallback>
              </mc:AlternateContent>
            </w:r>
            <w:r>
              <w:rPr>
                <w:rFonts w:ascii="Times New Roman" w:hAnsi="Times New Roman" w:eastAsia="宋体"/>
                <w:color w:val="auto"/>
                <w:sz w:val="21"/>
              </w:rPr>
              <mc:AlternateContent>
                <mc:Choice Requires="wps">
                  <w:drawing>
                    <wp:anchor distT="0" distB="0" distL="114300" distR="114300" simplePos="0" relativeHeight="251671552" behindDoc="0" locked="0" layoutInCell="1" allowOverlap="1">
                      <wp:simplePos x="0" y="0"/>
                      <wp:positionH relativeFrom="column">
                        <wp:posOffset>1068070</wp:posOffset>
                      </wp:positionH>
                      <wp:positionV relativeFrom="paragraph">
                        <wp:posOffset>732790</wp:posOffset>
                      </wp:positionV>
                      <wp:extent cx="840105" cy="285115"/>
                      <wp:effectExtent l="5080" t="4445" r="12065" b="15240"/>
                      <wp:wrapNone/>
                      <wp:docPr id="33" name="文本框 33"/>
                      <wp:cNvGraphicFramePr/>
                      <a:graphic xmlns:a="http://schemas.openxmlformats.org/drawingml/2006/main">
                        <a:graphicData uri="http://schemas.microsoft.com/office/word/2010/wordprocessingShape">
                          <wps:wsp>
                            <wps:cNvSpPr txBox="1"/>
                            <wps:spPr>
                              <a:xfrm>
                                <a:off x="0" y="0"/>
                                <a:ext cx="840105" cy="2851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5E70292">
                                  <w:pPr>
                                    <w:rPr>
                                      <w:rFonts w:hint="default" w:eastAsia="宋体"/>
                                      <w:sz w:val="24"/>
                                      <w:szCs w:val="24"/>
                                      <w:lang w:val="en-US" w:eastAsia="zh-CN"/>
                                    </w:rPr>
                                  </w:pPr>
                                  <w:r>
                                    <w:rPr>
                                      <w:rFonts w:hint="eastAsia"/>
                                      <w:sz w:val="21"/>
                                      <w:szCs w:val="21"/>
                                      <w:lang w:val="en-US" w:eastAsia="zh-CN"/>
                                    </w:rPr>
                                    <w:t>地表清理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4.1pt;margin-top:57.7pt;height:22.45pt;width:66.15pt;z-index:251671552;mso-width-relative:page;mso-height-relative:page;" fillcolor="#FFFFFF [3201]" filled="t" stroked="t" coordsize="21600,21600" o:gfxdata="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6YqSf9YAAAAL&#10;AQAADwAAAAAAAAABACAAAAAiAAAAZHJzL2Rvd25yZXYueG1sUEsBAhQAFAAAAAgAh07iQLcP9QxX&#10;AgAAuAQAAA4AAAAAAAAAAQAgAAAAJQEAAGRycy9lMm9Eb2MueG1sUEsFBgAAAAAGAAYAWQEAAO4F&#10;AAAAAA==&#10;">
                      <v:fill on="t" focussize="0,0"/>
                      <v:stroke weight="0.5pt" color="#000000 [3204]" joinstyle="round"/>
                      <v:imagedata o:title=""/>
                      <o:lock v:ext="edit" aspectratio="f"/>
                      <v:textbox>
                        <w:txbxContent>
                          <w:p w14:paraId="45E70292">
                            <w:pPr>
                              <w:rPr>
                                <w:rFonts w:hint="default" w:eastAsia="宋体"/>
                                <w:sz w:val="24"/>
                                <w:szCs w:val="24"/>
                                <w:lang w:val="en-US" w:eastAsia="zh-CN"/>
                              </w:rPr>
                            </w:pPr>
                            <w:r>
                              <w:rPr>
                                <w:rFonts w:hint="eastAsia"/>
                                <w:sz w:val="21"/>
                                <w:szCs w:val="21"/>
                                <w:lang w:val="en-US" w:eastAsia="zh-CN"/>
                              </w:rPr>
                              <w:t>地表清理</w:t>
                            </w:r>
                          </w:p>
                        </w:txbxContent>
                      </v:textbox>
                    </v:shape>
                  </w:pict>
                </mc:Fallback>
              </mc:AlternateContent>
            </w:r>
            <w:r>
              <w:rPr>
                <w:rFonts w:ascii="Times New Roman" w:hAnsi="Times New Roman" w:eastAsia="宋体"/>
                <w:color w:val="auto"/>
                <w:sz w:val="21"/>
              </w:rPr>
              <mc:AlternateContent>
                <mc:Choice Requires="wps">
                  <w:drawing>
                    <wp:anchor distT="0" distB="0" distL="114300" distR="114300" simplePos="0" relativeHeight="251672576" behindDoc="0" locked="0" layoutInCell="1" allowOverlap="1">
                      <wp:simplePos x="0" y="0"/>
                      <wp:positionH relativeFrom="column">
                        <wp:posOffset>874395</wp:posOffset>
                      </wp:positionH>
                      <wp:positionV relativeFrom="paragraph">
                        <wp:posOffset>875665</wp:posOffset>
                      </wp:positionV>
                      <wp:extent cx="193675" cy="0"/>
                      <wp:effectExtent l="0" t="38100" r="15875" b="38100"/>
                      <wp:wrapNone/>
                      <wp:docPr id="34" name="直接箭头连接符 34"/>
                      <wp:cNvGraphicFramePr/>
                      <a:graphic xmlns:a="http://schemas.openxmlformats.org/drawingml/2006/main">
                        <a:graphicData uri="http://schemas.microsoft.com/office/word/2010/wordprocessingShape">
                          <wps:wsp>
                            <wps:cNvCnPr>
                              <a:endCxn id="33" idx="1"/>
                            </wps:cNvCnPr>
                            <wps:spPr>
                              <a:xfrm>
                                <a:off x="0" y="0"/>
                                <a:ext cx="193675" cy="0"/>
                              </a:xfrm>
                              <a:prstGeom prst="straightConnector1">
                                <a:avLst/>
                              </a:prstGeom>
                              <a:ln w="635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68.85pt;margin-top:68.95pt;height:0pt;width:15.25pt;z-index:251672576;mso-width-relative:page;mso-height-relative:page;" filled="f" stroked="t" coordsize="21600,21600" o:gfxdata="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Vpu9DXAAAACwEAAA8AAAAAAAAAAQAgAAAA&#10;IgAAAGRycy9kb3ducmV2LnhtbFBLAQIUABQAAAAIAIdO4kCgzQpxDAIAAPMDAAAOAAAAAAAAAAEA&#10;IAAAACYBAABkcnMvZTJvRG9jLnhtbFBLBQYAAAAABgAGAFkBAACkBQAAAAA=&#10;">
                      <v:fill on="f" focussize="0,0"/>
                      <v:stroke weight="0.5pt" color="#000000 [3213]" joinstyle="round" endarrow="block"/>
                      <v:imagedata o:title=""/>
                      <o:lock v:ext="edit" aspectratio="f"/>
                    </v:shape>
                  </w:pict>
                </mc:Fallback>
              </mc:AlternateContent>
            </w:r>
            <w:r>
              <w:rPr>
                <w:rFonts w:ascii="Times New Roman" w:hAnsi="Times New Roman" w:eastAsia="宋体"/>
                <w:sz w:val="24"/>
              </w:rPr>
              <mc:AlternateContent>
                <mc:Choice Requires="wpc">
                  <w:drawing>
                    <wp:inline distT="0" distB="0" distL="114300" distR="114300">
                      <wp:extent cx="5116195" cy="1995805"/>
                      <wp:effectExtent l="0" t="0" r="0" b="0"/>
                      <wp:docPr id="37" name="画布 37"/>
                      <wp:cNvGraphicFramePr/>
                      <a:graphic xmlns:a="http://schemas.openxmlformats.org/drawingml/2006/main">
                        <a:graphicData uri="http://schemas.microsoft.com/office/word/2010/wordprocessingCanvas">
                          <wpc:wpc>
                            <wpc:bg/>
                            <wpc:whole/>
                          </wpc:wpc>
                        </a:graphicData>
                      </a:graphic>
                    </wp:inline>
                  </w:drawing>
                </mc:Choice>
                <mc:Fallback>
                  <w:pict>
                    <v:group id="_x0000_s1026" o:spid="_x0000_s1026" o:spt="203" style="height:157.15pt;width:402.85pt;" coordsize="5116195,1995805" editas="canvas" o:gfxdata="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">
                      <o:lock v:ext="edit" aspectratio="f"/>
                      <v:shape id="_x0000_s1026" o:spid="_x0000_s1026" style="position:absolute;left:0;top:0;height:1995805;width:5116195;" filled="f" stroked="f" coordsize="21600,21600" o:gfxdata="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">
                        <v:fill on="f" focussize="0,0"/>
                        <v:stroke on="f"/>
                        <v:imagedata o:title=""/>
                        <o:lock v:ext="edit" aspectratio="f"/>
                      </v:shape>
                      <w10:wrap type="none"/>
                      <w10:anchorlock/>
                    </v:group>
                  </w:pict>
                </mc:Fallback>
              </mc:AlternateContent>
            </w:r>
          </w:p>
          <w:p w14:paraId="382A5077">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1"/>
                <w:szCs w:val="21"/>
                <w:lang w:val="en-US" w:eastAsia="zh-CN"/>
              </w:rPr>
              <w:t>图</w:t>
            </w:r>
            <w:r>
              <w:rPr>
                <w:rFonts w:hint="eastAsia" w:ascii="Times New Roman" w:hAnsi="Times New Roman" w:eastAsia="宋体" w:cs="Times New Roman"/>
                <w:b/>
                <w:bCs/>
                <w:color w:val="auto"/>
                <w:sz w:val="21"/>
                <w:szCs w:val="21"/>
                <w:lang w:val="en-US" w:eastAsia="zh-CN"/>
              </w:rPr>
              <w:t>2-7</w:t>
            </w:r>
            <w:r>
              <w:rPr>
                <w:rFonts w:hint="default" w:ascii="Times New Roman" w:hAnsi="Times New Roman" w:eastAsia="宋体" w:cs="Times New Roman"/>
                <w:b/>
                <w:bCs/>
                <w:color w:val="auto"/>
                <w:sz w:val="21"/>
                <w:szCs w:val="21"/>
                <w:lang w:val="en-US" w:eastAsia="zh-CN"/>
              </w:rPr>
              <w:t xml:space="preserve">  </w:t>
            </w:r>
            <w:r>
              <w:rPr>
                <w:rFonts w:hint="eastAsia" w:ascii="Times New Roman" w:hAnsi="Times New Roman" w:eastAsia="宋体" w:cs="Times New Roman"/>
                <w:b/>
                <w:bCs/>
                <w:color w:val="auto"/>
                <w:sz w:val="21"/>
                <w:szCs w:val="21"/>
                <w:lang w:val="en-US" w:eastAsia="zh-CN"/>
              </w:rPr>
              <w:t>主体工程施工工艺流程及产污</w:t>
            </w:r>
            <w:r>
              <w:rPr>
                <w:rFonts w:hint="default" w:ascii="Times New Roman" w:hAnsi="Times New Roman" w:eastAsia="宋体" w:cs="Times New Roman"/>
                <w:b/>
                <w:bCs/>
                <w:color w:val="auto"/>
                <w:sz w:val="21"/>
                <w:szCs w:val="21"/>
                <w:lang w:val="en-US" w:eastAsia="zh-CN"/>
              </w:rPr>
              <w:t>环节图</w:t>
            </w:r>
          </w:p>
          <w:p w14:paraId="4B68B834">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leftChars="0"/>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2、产污环节</w:t>
            </w:r>
          </w:p>
          <w:p w14:paraId="06A55246">
            <w:pPr>
              <w:pStyle w:val="24"/>
              <w:numPr>
                <w:ilvl w:val="0"/>
                <w:numId w:val="0"/>
              </w:numPr>
              <w:spacing w:line="360" w:lineRule="auto"/>
              <w:ind w:firstLine="480" w:firstLineChars="200"/>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项目施工期的污染因子主要为：</w:t>
            </w:r>
          </w:p>
          <w:p w14:paraId="6A6311A8">
            <w:pPr>
              <w:pStyle w:val="24"/>
              <w:numPr>
                <w:ilvl w:val="0"/>
                <w:numId w:val="0"/>
              </w:numPr>
              <w:ind w:firstLine="480" w:firstLineChars="200"/>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废水：生活污水、施工废水；</w:t>
            </w:r>
          </w:p>
          <w:p w14:paraId="03A5F59D">
            <w:pPr>
              <w:pStyle w:val="24"/>
              <w:numPr>
                <w:ilvl w:val="0"/>
                <w:numId w:val="0"/>
              </w:numPr>
              <w:ind w:firstLine="480" w:firstLineChars="200"/>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废气：清基、开挖和填筑过程中的施工扬尘、建筑材料堆放扬尘、运输车辆道路扬尘以及施工机械燃油尾气；</w:t>
            </w:r>
          </w:p>
          <w:p w14:paraId="3F364CD9">
            <w:pPr>
              <w:pStyle w:val="24"/>
              <w:numPr>
                <w:ilvl w:val="0"/>
                <w:numId w:val="0"/>
              </w:numPr>
              <w:ind w:firstLine="480" w:firstLineChars="200"/>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噪声：施工噪声、设备运行噪声、运输车辆噪声；</w:t>
            </w:r>
          </w:p>
          <w:p w14:paraId="7040F770">
            <w:pPr>
              <w:pStyle w:val="24"/>
              <w:numPr>
                <w:ilvl w:val="0"/>
                <w:numId w:val="0"/>
              </w:numPr>
              <w:ind w:firstLine="480" w:firstLineChars="200"/>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固体废物：生活垃圾、土石方工程弃料、建筑垃圾；</w:t>
            </w:r>
          </w:p>
          <w:p w14:paraId="57094D06">
            <w:pPr>
              <w:pStyle w:val="24"/>
              <w:numPr>
                <w:ilvl w:val="0"/>
                <w:numId w:val="0"/>
              </w:numPr>
              <w:ind w:firstLine="480" w:firstLineChars="200"/>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生态影响：工程占地、植被破坏、水土流失等。</w:t>
            </w:r>
          </w:p>
          <w:p w14:paraId="52339B86">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leftChars="0"/>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3、施工工期</w:t>
            </w:r>
          </w:p>
          <w:p w14:paraId="792E43DD">
            <w:pPr>
              <w:pStyle w:val="24"/>
              <w:numPr>
                <w:ilvl w:val="0"/>
                <w:numId w:val="0"/>
              </w:numPr>
              <w:ind w:firstLine="480" w:firstLineChars="200"/>
              <w:rPr>
                <w:rFonts w:ascii="Times New Roman" w:hAnsi="Times New Roman" w:eastAsia="宋体"/>
                <w:color w:val="auto"/>
              </w:rPr>
            </w:pPr>
            <w:r>
              <w:rPr>
                <w:rFonts w:hint="eastAsia" w:ascii="Times New Roman" w:hAnsi="Times New Roman" w:eastAsia="宋体" w:cs="宋体"/>
                <w:color w:val="auto"/>
                <w:lang w:val="en-US" w:eastAsia="zh-CN"/>
              </w:rPr>
              <w:t>本项目施工总工期为10个月，其中工程准备期2个月，主体工程工期为7个月，工程完建期1个月。</w:t>
            </w:r>
          </w:p>
        </w:tc>
      </w:tr>
      <w:tr w14:paraId="16D277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2" w:hRule="atLeast"/>
          <w:jc w:val="center"/>
        </w:trPr>
        <w:tc>
          <w:tcPr>
            <w:tcW w:w="400" w:type="pct"/>
            <w:noWrap w:val="0"/>
            <w:vAlign w:val="center"/>
          </w:tcPr>
          <w:p w14:paraId="35431DC8">
            <w:pPr>
              <w:pStyle w:val="15"/>
              <w:adjustRightInd w:val="0"/>
              <w:snapToGrid w:val="0"/>
              <w:spacing w:before="0" w:beforeAutospacing="0" w:after="0" w:afterAutospacing="0"/>
              <w:jc w:val="center"/>
              <w:rPr>
                <w:rFonts w:hint="default" w:ascii="Times New Roman" w:hAnsi="Times New Roman" w:eastAsia="宋体" w:cs="宋体"/>
                <w:color w:val="auto"/>
                <w:szCs w:val="24"/>
                <w:lang w:val="en-US" w:eastAsia="zh-CN"/>
              </w:rPr>
            </w:pPr>
            <w:r>
              <w:rPr>
                <w:rFonts w:hint="eastAsia" w:ascii="Times New Roman" w:hAnsi="Times New Roman" w:eastAsia="宋体" w:cs="宋体"/>
                <w:color w:val="auto"/>
                <w:szCs w:val="24"/>
                <w:lang w:val="en-US" w:eastAsia="zh-CN"/>
              </w:rPr>
              <w:t>其他</w:t>
            </w:r>
          </w:p>
        </w:tc>
        <w:tc>
          <w:tcPr>
            <w:tcW w:w="4599" w:type="pct"/>
            <w:noWrap w:val="0"/>
            <w:vAlign w:val="center"/>
          </w:tcPr>
          <w:p w14:paraId="587EF990">
            <w:pPr>
              <w:pStyle w:val="14"/>
              <w:jc w:val="center"/>
              <w:rPr>
                <w:rFonts w:ascii="Times New Roman" w:hAnsi="Times New Roman" w:eastAsia="宋体"/>
                <w:color w:val="auto"/>
              </w:rPr>
            </w:pPr>
            <w:r>
              <w:rPr>
                <w:rFonts w:hint="eastAsia" w:ascii="Times New Roman" w:hAnsi="Times New Roman" w:eastAsia="宋体" w:cs="宋体"/>
                <w:b w:val="0"/>
                <w:bCs w:val="0"/>
                <w:color w:val="auto"/>
                <w:kern w:val="0"/>
                <w:sz w:val="24"/>
                <w:szCs w:val="24"/>
                <w:lang w:val="en-US" w:eastAsia="zh-CN" w:bidi="ar"/>
              </w:rPr>
              <w:t>无</w:t>
            </w:r>
          </w:p>
        </w:tc>
      </w:tr>
    </w:tbl>
    <w:p w14:paraId="67B9FAB2">
      <w:pPr>
        <w:pStyle w:val="15"/>
        <w:jc w:val="center"/>
        <w:rPr>
          <w:rFonts w:ascii="黑体" w:hAnsi="黑体" w:eastAsia="黑体"/>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4010C492">
      <w:pPr>
        <w:pStyle w:val="15"/>
        <w:adjustRightInd w:val="0"/>
        <w:snapToGrid w:val="0"/>
        <w:spacing w:before="0" w:beforeAutospacing="0" w:after="0" w:afterAutospacing="0" w:line="14" w:lineRule="auto"/>
        <w:jc w:val="center"/>
        <w:rPr>
          <w:rFonts w:hint="eastAsia" w:ascii="黑体" w:hAnsi="黑体" w:eastAsia="黑体"/>
          <w:snapToGrid w:val="0"/>
          <w:color w:val="auto"/>
          <w:sz w:val="30"/>
          <w:szCs w:val="30"/>
        </w:rPr>
      </w:pPr>
    </w:p>
    <w:p w14:paraId="6F8B86D1">
      <w:pPr>
        <w:pStyle w:val="15"/>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三、</w:t>
      </w:r>
      <w:r>
        <w:rPr>
          <w:rFonts w:hint="eastAsia" w:ascii="黑体" w:hAnsi="黑体" w:eastAsia="黑体"/>
          <w:snapToGrid w:val="0"/>
          <w:color w:val="auto"/>
          <w:sz w:val="30"/>
          <w:szCs w:val="30"/>
          <w:lang w:val="en-US" w:eastAsia="zh-CN"/>
        </w:rPr>
        <w:t>生态</w:t>
      </w:r>
      <w:r>
        <w:rPr>
          <w:rFonts w:hint="eastAsia" w:ascii="黑体" w:hAnsi="黑体" w:eastAsia="黑体"/>
          <w:snapToGrid w:val="0"/>
          <w:color w:val="auto"/>
          <w:sz w:val="30"/>
          <w:szCs w:val="30"/>
        </w:rPr>
        <w:t>环境现状、保护目标及评价标准</w:t>
      </w:r>
    </w:p>
    <w:tbl>
      <w:tblPr>
        <w:tblStyle w:val="16"/>
        <w:tblW w:w="90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86"/>
        <w:gridCol w:w="8253"/>
      </w:tblGrid>
      <w:tr w14:paraId="3CFAA4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6" w:type="dxa"/>
            <w:noWrap w:val="0"/>
            <w:vAlign w:val="center"/>
          </w:tcPr>
          <w:p w14:paraId="5EEEE266">
            <w:pPr>
              <w:adjustRightInd w:val="0"/>
              <w:snapToGrid w:val="0"/>
              <w:jc w:val="center"/>
              <w:rPr>
                <w:rFonts w:hint="default" w:ascii="宋体" w:hAnsi="宋体" w:eastAsia="宋体" w:cs="宋体"/>
                <w:color w:val="auto"/>
                <w:kern w:val="0"/>
                <w:szCs w:val="21"/>
                <w:lang w:val="en-US" w:eastAsia="zh-CN"/>
              </w:rPr>
            </w:pPr>
            <w:r>
              <w:rPr>
                <w:rFonts w:hint="eastAsia" w:ascii="宋体" w:hAnsi="宋体" w:cs="宋体"/>
                <w:color w:val="auto"/>
                <w:kern w:val="0"/>
                <w:sz w:val="24"/>
                <w:lang w:val="en-US" w:eastAsia="zh-CN"/>
              </w:rPr>
              <w:t>生态环境现状</w:t>
            </w:r>
          </w:p>
        </w:tc>
        <w:tc>
          <w:tcPr>
            <w:tcW w:w="8253" w:type="dxa"/>
            <w:noWrap w:val="0"/>
            <w:vAlign w:val="center"/>
          </w:tcPr>
          <w:p w14:paraId="2667325C">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主体功能区规划</w:t>
            </w:r>
          </w:p>
          <w:p w14:paraId="5BB7AA29">
            <w:pPr>
              <w:adjustRightInd w:val="0"/>
              <w:snapToGrid w:val="0"/>
              <w:spacing w:line="360" w:lineRule="auto"/>
              <w:ind w:firstLine="480" w:firstLineChars="200"/>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根据《陕西省人民政府关于印发陕西省主体功能区规划的通知》（陕政发</w:t>
            </w:r>
            <w:r>
              <w:rPr>
                <w:rFonts w:hint="eastAsia" w:ascii="Times New Roman" w:hAnsi="Times New Roman" w:eastAsia="宋体" w:cs="Times New Roman"/>
                <w:i w:val="0"/>
                <w:caps w:val="0"/>
                <w:color w:val="auto"/>
                <w:spacing w:val="0"/>
                <w:kern w:val="0"/>
                <w:sz w:val="24"/>
                <w:szCs w:val="24"/>
                <w:highlight w:val="none"/>
                <w:shd w:val="clear" w:color="auto" w:fill="FFFFFF"/>
                <w:lang w:val="en-US" w:eastAsia="zh-CN" w:bidi="ar-SA"/>
              </w:rPr>
              <w:t>〔2013〕15号</w:t>
            </w:r>
            <w:r>
              <w:rPr>
                <w:rFonts w:hint="eastAsia" w:ascii="Times New Roman" w:hAnsi="Times New Roman" w:eastAsia="宋体" w:cs="Times New Roman"/>
                <w:color w:val="auto"/>
                <w:kern w:val="0"/>
                <w:sz w:val="24"/>
                <w:szCs w:val="24"/>
                <w:lang w:val="en-US" w:eastAsia="zh-CN" w:bidi="ar"/>
              </w:rPr>
              <w:t>）及《陕西省主体功能区规划》，本</w:t>
            </w:r>
            <w:r>
              <w:rPr>
                <w:rFonts w:hint="eastAsia" w:cs="Times New Roman"/>
                <w:color w:val="auto"/>
                <w:kern w:val="0"/>
                <w:sz w:val="24"/>
                <w:szCs w:val="24"/>
                <w:lang w:val="en-US" w:eastAsia="zh-CN" w:bidi="ar"/>
              </w:rPr>
              <w:t>工程</w:t>
            </w:r>
            <w:r>
              <w:rPr>
                <w:rFonts w:hint="eastAsia" w:ascii="Times New Roman" w:hAnsi="Times New Roman" w:eastAsia="宋体" w:cs="Times New Roman"/>
                <w:color w:val="auto"/>
                <w:kern w:val="0"/>
                <w:sz w:val="24"/>
                <w:szCs w:val="24"/>
                <w:lang w:val="en-US" w:eastAsia="zh-CN" w:bidi="ar"/>
              </w:rPr>
              <w:t>建设区域</w:t>
            </w:r>
            <w:r>
              <w:rPr>
                <w:rFonts w:hint="eastAsia" w:cs="Times New Roman"/>
                <w:color w:val="auto"/>
                <w:kern w:val="0"/>
                <w:sz w:val="24"/>
                <w:szCs w:val="24"/>
                <w:lang w:val="en-US" w:eastAsia="zh-CN" w:bidi="ar"/>
              </w:rPr>
              <w:t>宝鸡市陇县</w:t>
            </w:r>
            <w:r>
              <w:rPr>
                <w:rFonts w:hint="eastAsia" w:ascii="Times New Roman" w:hAnsi="Times New Roman" w:eastAsia="宋体" w:cs="Times New Roman"/>
                <w:color w:val="auto"/>
                <w:kern w:val="0"/>
                <w:sz w:val="24"/>
                <w:szCs w:val="24"/>
                <w:lang w:val="en-US" w:eastAsia="zh-CN" w:bidi="ar"/>
              </w:rPr>
              <w:t>属于</w:t>
            </w:r>
            <w:r>
              <w:rPr>
                <w:rFonts w:hint="eastAsia" w:cs="Times New Roman"/>
                <w:color w:val="auto"/>
                <w:kern w:val="0"/>
                <w:sz w:val="24"/>
                <w:szCs w:val="24"/>
                <w:lang w:val="en-US" w:eastAsia="zh-CN" w:bidi="ar"/>
              </w:rPr>
              <w:t>″限制</w:t>
            </w:r>
            <w:r>
              <w:rPr>
                <w:rFonts w:hint="eastAsia" w:ascii="Times New Roman" w:hAnsi="Times New Roman" w:eastAsia="宋体" w:cs="Times New Roman"/>
                <w:color w:val="auto"/>
                <w:kern w:val="0"/>
                <w:sz w:val="24"/>
                <w:szCs w:val="24"/>
                <w:lang w:val="en-US" w:eastAsia="zh-CN" w:bidi="ar"/>
              </w:rPr>
              <w:t>开发</w:t>
            </w:r>
            <w:r>
              <w:rPr>
                <w:rFonts w:hint="eastAsia" w:cs="Times New Roman"/>
                <w:color w:val="auto"/>
                <w:kern w:val="0"/>
                <w:sz w:val="24"/>
                <w:szCs w:val="24"/>
                <w:lang w:val="en-US" w:eastAsia="zh-CN" w:bidi="ar"/>
              </w:rPr>
              <w:t>区域－农产品主产区</w:t>
            </w:r>
            <w:r>
              <w:rPr>
                <w:rFonts w:hint="eastAsia"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，本工程在陕西省主体功能区划分图中的位置见附</w:t>
            </w:r>
            <w:r>
              <w:rPr>
                <w:rFonts w:hint="eastAsia" w:cs="Times New Roman"/>
                <w:color w:val="auto"/>
                <w:kern w:val="0"/>
                <w:sz w:val="24"/>
                <w:szCs w:val="24"/>
                <w:highlight w:val="none"/>
                <w:lang w:val="en-US" w:eastAsia="zh-CN" w:bidi="ar"/>
              </w:rPr>
              <w:t>图5</w:t>
            </w:r>
            <w:r>
              <w:rPr>
                <w:rFonts w:hint="eastAsia"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lang w:val="en-US" w:eastAsia="zh-CN" w:bidi="ar"/>
              </w:rPr>
              <w:t>该区域主体功能是保障农产品供给安全的重要区域，现代农业发展的核心区，农村居民安居乐业的美好家园，社会主义新农村建设的示范区。</w:t>
            </w:r>
            <w:r>
              <w:rPr>
                <w:rFonts w:hint="default" w:ascii="Times New Roman" w:hAnsi="Times New Roman" w:eastAsia="宋体" w:cs="Times New Roman"/>
                <w:color w:val="auto"/>
                <w:kern w:val="0"/>
                <w:sz w:val="24"/>
                <w:szCs w:val="24"/>
                <w:lang w:val="en-US" w:eastAsia="zh-CN" w:bidi="ar"/>
              </w:rPr>
              <w:t>保护和发展方向为：</w:t>
            </w:r>
          </w:p>
          <w:p w14:paraId="1AAEEBA9">
            <w:pPr>
              <w:adjustRightInd w:val="0"/>
              <w:snapToGrid w:val="0"/>
              <w:spacing w:line="360" w:lineRule="auto"/>
              <w:ind w:firstLine="602" w:firstLineChars="200"/>
              <w:rPr>
                <w:rFonts w:hint="eastAsia" w:ascii="Times New Roman" w:hAnsi="Times New Roman" w:eastAsia="宋体" w:cs="Times New Roman"/>
                <w:color w:val="auto"/>
                <w:kern w:val="0"/>
                <w:sz w:val="24"/>
                <w:szCs w:val="24"/>
                <w:lang w:val="en-US" w:eastAsia="zh-CN" w:bidi="ar"/>
              </w:rPr>
            </w:pPr>
            <w:r>
              <w:rPr>
                <w:rFonts w:ascii="Times New Roman" w:hAnsi="Times New Roman" w:eastAsia="黑体"/>
                <w:b/>
                <w:snapToGrid w:val="0"/>
                <w:kern w:val="0"/>
                <w:sz w:val="30"/>
                <w:szCs w:val="30"/>
              </w:rPr>
              <w:t>——</w:t>
            </w:r>
            <w:r>
              <w:rPr>
                <w:rFonts w:hint="eastAsia" w:ascii="Times New Roman" w:hAnsi="Times New Roman" w:eastAsia="宋体" w:cs="Times New Roman"/>
                <w:color w:val="auto"/>
                <w:kern w:val="0"/>
                <w:sz w:val="24"/>
                <w:szCs w:val="24"/>
                <w:lang w:val="en-US" w:eastAsia="zh-CN" w:bidi="ar"/>
              </w:rPr>
              <w:t>加强农业基础设施建设，新建和改造一批引水工程和大中型灌区配套设施，构建功能完备的农田防护林体系，加强小流域治理和小型农田水利工程建设，推广节水灌溉，发展节水农业，全面推进农业机械化。强化农业防灾减灾体系建设，提高人工增雨抗旱和防雹减灾作业能力。</w:t>
            </w:r>
          </w:p>
          <w:p w14:paraId="3212A072">
            <w:pPr>
              <w:adjustRightInd w:val="0"/>
              <w:snapToGrid w:val="0"/>
              <w:spacing w:line="360" w:lineRule="auto"/>
              <w:ind w:firstLine="602" w:firstLineChars="200"/>
              <w:rPr>
                <w:rFonts w:hint="eastAsia" w:ascii="Times New Roman" w:hAnsi="Times New Roman" w:eastAsia="宋体" w:cs="Times New Roman"/>
                <w:color w:val="auto"/>
                <w:kern w:val="0"/>
                <w:sz w:val="24"/>
                <w:szCs w:val="24"/>
                <w:lang w:val="en-US" w:eastAsia="zh-CN" w:bidi="ar"/>
              </w:rPr>
            </w:pPr>
            <w:r>
              <w:rPr>
                <w:rFonts w:ascii="Times New Roman" w:hAnsi="Times New Roman" w:eastAsia="黑体"/>
                <w:b/>
                <w:snapToGrid w:val="0"/>
                <w:kern w:val="0"/>
                <w:sz w:val="30"/>
                <w:szCs w:val="30"/>
              </w:rPr>
              <w:t>——</w:t>
            </w:r>
            <w:r>
              <w:rPr>
                <w:rFonts w:hint="eastAsia" w:ascii="Times New Roman" w:hAnsi="Times New Roman" w:eastAsia="宋体" w:cs="Times New Roman"/>
                <w:color w:val="auto"/>
                <w:kern w:val="0"/>
                <w:sz w:val="24"/>
                <w:szCs w:val="24"/>
                <w:lang w:val="en-US" w:eastAsia="zh-CN" w:bidi="ar"/>
              </w:rPr>
              <w:t>加强土地整理，加快中低产田改造，鼓励农民开展土壤改良，提高耕地质量，建设区域性商品粮生产基地。</w:t>
            </w:r>
          </w:p>
          <w:p w14:paraId="1C9F718E">
            <w:pPr>
              <w:adjustRightInd w:val="0"/>
              <w:snapToGrid w:val="0"/>
              <w:spacing w:line="360" w:lineRule="auto"/>
              <w:ind w:firstLine="602" w:firstLineChars="200"/>
              <w:rPr>
                <w:rFonts w:hint="eastAsia" w:ascii="Times New Roman" w:hAnsi="Times New Roman" w:eastAsia="宋体" w:cs="Times New Roman"/>
                <w:color w:val="auto"/>
                <w:kern w:val="0"/>
                <w:sz w:val="24"/>
                <w:szCs w:val="24"/>
                <w:lang w:val="en-US" w:eastAsia="zh-CN" w:bidi="ar"/>
              </w:rPr>
            </w:pPr>
            <w:r>
              <w:rPr>
                <w:rFonts w:ascii="Times New Roman" w:hAnsi="Times New Roman" w:eastAsia="黑体"/>
                <w:b/>
                <w:snapToGrid w:val="0"/>
                <w:kern w:val="0"/>
                <w:sz w:val="30"/>
                <w:szCs w:val="30"/>
              </w:rPr>
              <w:t>——</w:t>
            </w:r>
            <w:r>
              <w:rPr>
                <w:rFonts w:hint="eastAsia" w:ascii="Times New Roman" w:hAnsi="Times New Roman" w:eastAsia="宋体" w:cs="Times New Roman"/>
                <w:color w:val="auto"/>
                <w:kern w:val="0"/>
                <w:sz w:val="24"/>
                <w:szCs w:val="24"/>
                <w:lang w:val="en-US" w:eastAsia="zh-CN" w:bidi="ar"/>
              </w:rPr>
              <w:t>优化农业生产布局和品种结构，促进农产品向优势产区集中，建成若干特色农产品产业基地和农业标准化示范基地。</w:t>
            </w:r>
          </w:p>
          <w:p w14:paraId="53559EC2">
            <w:pPr>
              <w:adjustRightInd w:val="0"/>
              <w:snapToGrid w:val="0"/>
              <w:spacing w:line="360" w:lineRule="auto"/>
              <w:ind w:firstLine="602" w:firstLineChars="200"/>
              <w:rPr>
                <w:rFonts w:hint="eastAsia" w:ascii="Times New Roman" w:hAnsi="Times New Roman" w:eastAsia="宋体" w:cs="Times New Roman"/>
                <w:color w:val="auto"/>
                <w:kern w:val="0"/>
                <w:sz w:val="24"/>
                <w:szCs w:val="24"/>
                <w:lang w:val="en-US" w:eastAsia="zh-CN" w:bidi="ar"/>
              </w:rPr>
            </w:pPr>
            <w:r>
              <w:rPr>
                <w:rFonts w:ascii="Times New Roman" w:hAnsi="Times New Roman" w:eastAsia="黑体"/>
                <w:b/>
                <w:snapToGrid w:val="0"/>
                <w:kern w:val="0"/>
                <w:sz w:val="30"/>
                <w:szCs w:val="30"/>
              </w:rPr>
              <w:t>——</w:t>
            </w:r>
            <w:r>
              <w:rPr>
                <w:rFonts w:hint="eastAsia" w:ascii="Times New Roman" w:hAnsi="Times New Roman" w:eastAsia="宋体" w:cs="Times New Roman"/>
                <w:color w:val="auto"/>
                <w:kern w:val="0"/>
                <w:sz w:val="24"/>
                <w:szCs w:val="24"/>
                <w:lang w:val="en-US" w:eastAsia="zh-CN" w:bidi="ar"/>
              </w:rPr>
              <w:t>加快转变农业发展方式，充分发挥杨凌农业示范区的辐射带动作用，加大农业技术投入，加快农业和农机化科技创新与推广应用。</w:t>
            </w:r>
          </w:p>
          <w:p w14:paraId="06421000">
            <w:pPr>
              <w:adjustRightInd w:val="0"/>
              <w:snapToGrid w:val="0"/>
              <w:spacing w:line="360" w:lineRule="auto"/>
              <w:ind w:firstLine="602" w:firstLineChars="200"/>
              <w:rPr>
                <w:rFonts w:hint="eastAsia" w:ascii="Times New Roman" w:hAnsi="Times New Roman" w:eastAsia="宋体" w:cs="Times New Roman"/>
                <w:color w:val="auto"/>
                <w:kern w:val="0"/>
                <w:sz w:val="24"/>
                <w:szCs w:val="24"/>
                <w:lang w:val="en-US" w:eastAsia="zh-CN" w:bidi="ar"/>
              </w:rPr>
            </w:pPr>
            <w:r>
              <w:rPr>
                <w:rFonts w:ascii="Times New Roman" w:hAnsi="Times New Roman" w:eastAsia="黑体"/>
                <w:b/>
                <w:snapToGrid w:val="0"/>
                <w:kern w:val="0"/>
                <w:sz w:val="30"/>
                <w:szCs w:val="30"/>
              </w:rPr>
              <w:t>——</w:t>
            </w:r>
            <w:r>
              <w:rPr>
                <w:rFonts w:hint="eastAsia" w:ascii="Times New Roman" w:hAnsi="Times New Roman" w:eastAsia="宋体" w:cs="Times New Roman"/>
                <w:color w:val="auto"/>
                <w:kern w:val="0"/>
                <w:sz w:val="24"/>
                <w:szCs w:val="24"/>
                <w:lang w:val="en-US" w:eastAsia="zh-CN" w:bidi="ar"/>
              </w:rPr>
              <w:t>支持农产品加工、流通、储运设施建设，发展粮油、果蔬、畜禽、奶制品、林特产品等深加工业，促进规模化、园区化发展。</w:t>
            </w:r>
          </w:p>
          <w:p w14:paraId="7DD9D0CA">
            <w:pPr>
              <w:adjustRightInd w:val="0"/>
              <w:snapToGrid w:val="0"/>
              <w:spacing w:line="360" w:lineRule="auto"/>
              <w:ind w:firstLine="602" w:firstLineChars="200"/>
              <w:rPr>
                <w:rFonts w:hint="eastAsia" w:ascii="Times New Roman" w:hAnsi="Times New Roman" w:eastAsia="宋体" w:cs="Times New Roman"/>
                <w:color w:val="auto"/>
                <w:kern w:val="0"/>
                <w:sz w:val="24"/>
                <w:szCs w:val="24"/>
                <w:lang w:val="en-US" w:eastAsia="zh-CN" w:bidi="ar"/>
              </w:rPr>
            </w:pPr>
            <w:r>
              <w:rPr>
                <w:rFonts w:ascii="Times New Roman" w:hAnsi="Times New Roman" w:eastAsia="黑体"/>
                <w:b/>
                <w:snapToGrid w:val="0"/>
                <w:kern w:val="0"/>
                <w:sz w:val="30"/>
                <w:szCs w:val="30"/>
              </w:rPr>
              <w:t>——</w:t>
            </w:r>
            <w:r>
              <w:rPr>
                <w:rFonts w:hint="eastAsia" w:ascii="Times New Roman" w:hAnsi="Times New Roman" w:eastAsia="宋体" w:cs="Times New Roman"/>
                <w:color w:val="auto"/>
                <w:kern w:val="0"/>
                <w:sz w:val="24"/>
                <w:szCs w:val="24"/>
                <w:lang w:val="en-US" w:eastAsia="zh-CN" w:bidi="ar"/>
              </w:rPr>
              <w:t>因地制宜发展</w:t>
            </w:r>
            <w:r>
              <w:rPr>
                <w:rFonts w:hint="eastAsia"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一村一品</w:t>
            </w:r>
            <w:r>
              <w:rPr>
                <w:rFonts w:hint="eastAsia"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一乡一业</w:t>
            </w:r>
            <w:r>
              <w:rPr>
                <w:rFonts w:hint="eastAsia"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，拓展就业渠道，提高农业的经济社会综合效益。</w:t>
            </w:r>
          </w:p>
          <w:p w14:paraId="556CDBCE">
            <w:pPr>
              <w:adjustRightInd w:val="0"/>
              <w:snapToGrid w:val="0"/>
              <w:spacing w:line="360" w:lineRule="auto"/>
              <w:ind w:firstLine="602" w:firstLineChars="200"/>
              <w:rPr>
                <w:rFonts w:hint="eastAsia" w:ascii="Times New Roman" w:hAnsi="Times New Roman" w:eastAsia="宋体" w:cs="Times New Roman"/>
                <w:color w:val="auto"/>
                <w:kern w:val="0"/>
                <w:sz w:val="24"/>
                <w:szCs w:val="24"/>
                <w:lang w:val="en-US" w:eastAsia="zh-CN" w:bidi="ar"/>
              </w:rPr>
            </w:pPr>
            <w:r>
              <w:rPr>
                <w:rFonts w:ascii="Times New Roman" w:hAnsi="Times New Roman" w:eastAsia="黑体"/>
                <w:b/>
                <w:snapToGrid w:val="0"/>
                <w:kern w:val="0"/>
                <w:sz w:val="30"/>
                <w:szCs w:val="30"/>
              </w:rPr>
              <w:t>——</w:t>
            </w:r>
            <w:r>
              <w:rPr>
                <w:rFonts w:hint="eastAsia" w:ascii="Times New Roman" w:hAnsi="Times New Roman" w:eastAsia="宋体" w:cs="Times New Roman"/>
                <w:color w:val="auto"/>
                <w:kern w:val="0"/>
                <w:sz w:val="24"/>
                <w:szCs w:val="24"/>
                <w:lang w:val="en-US" w:eastAsia="zh-CN" w:bidi="ar"/>
              </w:rPr>
              <w:t>控制农业资源开发强度，优化开发方式，减少面源污染，发展循环农业，促进农业资源的永续利用。</w:t>
            </w:r>
          </w:p>
          <w:p w14:paraId="6279C9FF">
            <w:pPr>
              <w:adjustRightInd w:val="0"/>
              <w:snapToGrid w:val="0"/>
              <w:spacing w:line="360" w:lineRule="auto"/>
              <w:ind w:firstLine="602" w:firstLineChars="200"/>
              <w:rPr>
                <w:rFonts w:hint="eastAsia" w:ascii="Times New Roman" w:hAnsi="Times New Roman" w:eastAsia="宋体" w:cs="Times New Roman"/>
                <w:color w:val="auto"/>
                <w:kern w:val="0"/>
                <w:sz w:val="24"/>
                <w:szCs w:val="24"/>
                <w:lang w:val="en-US" w:eastAsia="zh-CN" w:bidi="ar"/>
              </w:rPr>
            </w:pPr>
            <w:r>
              <w:rPr>
                <w:rFonts w:ascii="Times New Roman" w:hAnsi="Times New Roman" w:eastAsia="黑体"/>
                <w:b/>
                <w:snapToGrid w:val="0"/>
                <w:kern w:val="0"/>
                <w:sz w:val="30"/>
                <w:szCs w:val="30"/>
              </w:rPr>
              <w:t>——</w:t>
            </w:r>
            <w:r>
              <w:rPr>
                <w:rFonts w:hint="eastAsia" w:ascii="Times New Roman" w:hAnsi="Times New Roman" w:eastAsia="宋体" w:cs="Times New Roman"/>
                <w:color w:val="auto"/>
                <w:kern w:val="0"/>
                <w:sz w:val="24"/>
                <w:szCs w:val="24"/>
                <w:lang w:val="en-US" w:eastAsia="zh-CN" w:bidi="ar"/>
              </w:rPr>
              <w:t>以县城为重点推进城镇建设和非农产业发展，完善城镇公共服务和居住功能，引导农村公共服务设施向新型社区、中心村适度集中、集约布局。</w:t>
            </w:r>
          </w:p>
          <w:p w14:paraId="1A46234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本</w:t>
            </w:r>
            <w:r>
              <w:rPr>
                <w:rFonts w:hint="eastAsia" w:cs="Times New Roman"/>
                <w:color w:val="auto"/>
                <w:kern w:val="0"/>
                <w:sz w:val="24"/>
                <w:szCs w:val="24"/>
                <w:lang w:val="en-US" w:eastAsia="zh-CN" w:bidi="ar"/>
              </w:rPr>
              <w:t>工程为陇县千河南岸新城污水处理厂人工湿地水质净化</w:t>
            </w:r>
            <w:r>
              <w:rPr>
                <w:rFonts w:hint="eastAsia" w:eastAsia="宋体" w:cs="Times New Roman"/>
                <w:color w:val="auto"/>
                <w:sz w:val="24"/>
                <w:szCs w:val="24"/>
                <w:lang w:val="en-US" w:eastAsia="zh-CN"/>
              </w:rPr>
              <w:t>工程</w:t>
            </w:r>
            <w:r>
              <w:rPr>
                <w:rFonts w:hint="eastAsia"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工程的建设可减少排入千河的污染物，有利于改善千河水质，挡墙和护坡的建设可增强项目区的防洪能力，减轻区域水土流失，契合</w:t>
            </w:r>
            <w:r>
              <w:rPr>
                <w:rFonts w:hint="eastAsia" w:ascii="Times New Roman" w:hAnsi="Times New Roman" w:eastAsia="宋体" w:cs="Times New Roman"/>
                <w:color w:val="auto"/>
                <w:kern w:val="0"/>
                <w:sz w:val="24"/>
                <w:szCs w:val="24"/>
                <w:lang w:val="en-US" w:eastAsia="zh-CN" w:bidi="ar"/>
              </w:rPr>
              <w:t>《陕西省主体功能区规划》中的保护与发展方向</w:t>
            </w:r>
            <w:r>
              <w:rPr>
                <w:rFonts w:hint="eastAsia" w:cs="Times New Roman"/>
                <w:color w:val="auto"/>
                <w:kern w:val="0"/>
                <w:sz w:val="24"/>
                <w:szCs w:val="24"/>
                <w:lang w:val="en-US" w:eastAsia="zh-CN" w:bidi="ar"/>
              </w:rPr>
              <w:t>。</w:t>
            </w:r>
          </w:p>
          <w:p w14:paraId="49B3B1BA">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Chars="200"/>
              <w:textAlignment w:val="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2、生态功能区划</w:t>
            </w:r>
          </w:p>
          <w:p w14:paraId="1B31B21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lang w:val="en-US" w:eastAsia="zh-CN"/>
              </w:rPr>
            </w:pPr>
            <w:r>
              <w:rPr>
                <w:rFonts w:hint="eastAsia" w:ascii="Times New Roman" w:hAnsi="Times New Roman" w:eastAsia="宋体" w:cs="Times New Roman"/>
                <w:color w:val="auto"/>
                <w:kern w:val="0"/>
                <w:sz w:val="24"/>
                <w:szCs w:val="24"/>
                <w:lang w:val="en-US" w:eastAsia="zh-CN" w:bidi="ar"/>
              </w:rPr>
              <w:t>根据《陕西省人民政府办公厅关于印发陕西省生态功能区划的通知》（陕政办发〔2004〕115号），</w:t>
            </w:r>
            <w:r>
              <w:rPr>
                <w:rFonts w:hint="default" w:ascii="Times New Roman" w:hAnsi="Times New Roman" w:eastAsia="宋体" w:cs="Times New Roman"/>
                <w:color w:val="auto"/>
                <w:kern w:val="0"/>
                <w:sz w:val="24"/>
                <w:szCs w:val="24"/>
                <w:lang w:val="en-US" w:eastAsia="zh-CN" w:bidi="ar"/>
              </w:rPr>
              <w:t>本</w:t>
            </w:r>
            <w:r>
              <w:rPr>
                <w:rFonts w:hint="eastAsia" w:ascii="Times New Roman" w:hAnsi="Times New Roman" w:eastAsia="宋体" w:cs="Times New Roman"/>
                <w:color w:val="auto"/>
                <w:kern w:val="0"/>
                <w:sz w:val="24"/>
                <w:szCs w:val="24"/>
                <w:lang w:val="en-US" w:eastAsia="zh-CN" w:bidi="ar"/>
              </w:rPr>
              <w:t>工程建设区域属于</w:t>
            </w:r>
            <w:r>
              <w:rPr>
                <w:rFonts w:hint="eastAsia" w:cs="Times New Roman"/>
                <w:color w:val="auto"/>
                <w:kern w:val="0"/>
                <w:sz w:val="24"/>
                <w:szCs w:val="24"/>
                <w:lang w:val="en-US" w:eastAsia="zh-CN" w:bidi="ar"/>
              </w:rPr>
              <w:t>″渭河谷地农业</w:t>
            </w:r>
            <w:r>
              <w:rPr>
                <w:rFonts w:hint="eastAsia" w:ascii="Times New Roman" w:hAnsi="Times New Roman" w:eastAsia="宋体" w:cs="Times New Roman"/>
                <w:color w:val="auto"/>
                <w:kern w:val="0"/>
                <w:sz w:val="24"/>
                <w:szCs w:val="24"/>
                <w:lang w:val="en-US" w:eastAsia="zh-CN" w:bidi="ar"/>
              </w:rPr>
              <w:t>生态区—</w:t>
            </w:r>
            <w:r>
              <w:rPr>
                <w:rFonts w:hint="eastAsia" w:cs="Times New Roman"/>
                <w:color w:val="auto"/>
                <w:kern w:val="0"/>
                <w:sz w:val="24"/>
                <w:szCs w:val="24"/>
                <w:lang w:val="en-US" w:eastAsia="zh-CN" w:bidi="ar"/>
              </w:rPr>
              <w:t>渭河两侧黄土台塬农业</w:t>
            </w:r>
            <w:r>
              <w:rPr>
                <w:rFonts w:hint="eastAsia" w:ascii="Times New Roman" w:hAnsi="Times New Roman" w:eastAsia="宋体" w:cs="Times New Roman"/>
                <w:color w:val="auto"/>
                <w:kern w:val="0"/>
                <w:sz w:val="24"/>
                <w:szCs w:val="24"/>
                <w:lang w:val="en-US" w:eastAsia="zh-CN" w:bidi="ar"/>
              </w:rPr>
              <w:t>亚区—</w:t>
            </w:r>
            <w:r>
              <w:rPr>
                <w:rFonts w:hint="eastAsia" w:cs="Times New Roman"/>
                <w:color w:val="auto"/>
                <w:kern w:val="0"/>
                <w:sz w:val="24"/>
                <w:szCs w:val="24"/>
                <w:highlight w:val="none"/>
                <w:lang w:val="en-US" w:eastAsia="zh-CN" w:bidi="ar"/>
              </w:rPr>
              <w:t>麟陇北山水源涵养与土壤保持区″</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本工程在陕西省生态功能区划图中的位置见附图</w:t>
            </w:r>
            <w:r>
              <w:rPr>
                <w:rFonts w:hint="eastAsia" w:cs="Times New Roman"/>
                <w:color w:val="auto"/>
                <w:kern w:val="0"/>
                <w:sz w:val="24"/>
                <w:szCs w:val="24"/>
                <w:highlight w:val="none"/>
                <w:lang w:val="en-US" w:eastAsia="zh-CN" w:bidi="ar"/>
              </w:rPr>
              <w:t>6</w:t>
            </w:r>
            <w:r>
              <w:rPr>
                <w:rFonts w:hint="eastAsia" w:ascii="Times New Roman" w:hAnsi="Times New Roman" w:eastAsia="宋体" w:cs="Times New Roman"/>
                <w:color w:val="auto"/>
                <w:kern w:val="0"/>
                <w:sz w:val="24"/>
                <w:szCs w:val="24"/>
                <w:highlight w:val="none"/>
                <w:lang w:val="en-US" w:eastAsia="zh-CN" w:bidi="ar"/>
              </w:rPr>
              <w:t>。</w:t>
            </w:r>
          </w:p>
          <w:p w14:paraId="207F29F7">
            <w:pPr>
              <w:pStyle w:val="14"/>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b w:val="0"/>
                <w:bCs w:val="0"/>
                <w:color w:val="auto"/>
                <w:sz w:val="24"/>
                <w:szCs w:val="24"/>
                <w:lang w:val="en-US" w:eastAsia="zh-CN"/>
              </w:rPr>
            </w:pPr>
            <w:r>
              <w:rPr>
                <w:rFonts w:hint="eastAsia" w:ascii="Times New Roman" w:hAnsi="Times New Roman" w:eastAsia="宋体" w:cs="Times New Roman"/>
                <w:color w:val="auto"/>
                <w:kern w:val="0"/>
                <w:sz w:val="24"/>
                <w:szCs w:val="24"/>
                <w:lang w:val="en-US" w:eastAsia="zh-CN" w:bidi="ar"/>
              </w:rPr>
              <w:t>本</w:t>
            </w:r>
            <w:r>
              <w:rPr>
                <w:rFonts w:hint="eastAsia" w:cs="Times New Roman"/>
                <w:color w:val="auto"/>
                <w:kern w:val="0"/>
                <w:sz w:val="24"/>
                <w:szCs w:val="24"/>
                <w:lang w:val="en-US" w:eastAsia="zh-CN" w:bidi="ar"/>
              </w:rPr>
              <w:t>工程为陇县千河南岸新城污水处理厂人工湿地水质净化</w:t>
            </w:r>
            <w:r>
              <w:rPr>
                <w:rFonts w:hint="eastAsia" w:eastAsia="宋体" w:cs="Times New Roman"/>
                <w:color w:val="auto"/>
                <w:sz w:val="24"/>
                <w:szCs w:val="24"/>
                <w:lang w:val="en-US" w:eastAsia="zh-CN"/>
              </w:rPr>
              <w:t>工程</w:t>
            </w:r>
            <w:r>
              <w:rPr>
                <w:rFonts w:hint="eastAsia"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挡墙和护坡</w:t>
            </w:r>
            <w:r>
              <w:rPr>
                <w:rFonts w:hint="default"/>
                <w:color w:val="auto"/>
                <w:sz w:val="24"/>
                <w:szCs w:val="24"/>
                <w:lang w:val="en-US" w:eastAsia="zh-CN"/>
              </w:rPr>
              <w:t>实施后工程区岸坎不被冲刷，</w:t>
            </w:r>
            <w:r>
              <w:rPr>
                <w:rFonts w:hint="eastAsia"/>
                <w:color w:val="auto"/>
                <w:sz w:val="24"/>
                <w:szCs w:val="24"/>
                <w:lang w:val="en-US" w:eastAsia="zh-CN"/>
              </w:rPr>
              <w:t>河道行洪能力提高，</w:t>
            </w:r>
            <w:r>
              <w:rPr>
                <w:rFonts w:hint="eastAsia" w:cs="Times New Roman"/>
                <w:color w:val="auto"/>
                <w:kern w:val="0"/>
                <w:sz w:val="24"/>
                <w:szCs w:val="24"/>
                <w:lang w:val="en-US" w:eastAsia="zh-CN" w:bidi="ar"/>
              </w:rPr>
              <w:t>工程的建设</w:t>
            </w:r>
            <w:r>
              <w:rPr>
                <w:rFonts w:hint="eastAsia" w:ascii="Times New Roman" w:hAnsi="Times New Roman" w:eastAsia="宋体" w:cs="Times New Roman"/>
                <w:color w:val="auto"/>
                <w:kern w:val="0"/>
                <w:sz w:val="24"/>
                <w:szCs w:val="24"/>
                <w:lang w:val="en-US" w:eastAsia="zh-CN" w:bidi="ar"/>
              </w:rPr>
              <w:t>对于区域水土保持以及生态修复具有积极的</w:t>
            </w:r>
            <w:r>
              <w:rPr>
                <w:rFonts w:hint="default" w:ascii="Times New Roman" w:hAnsi="Times New Roman" w:eastAsia="宋体" w:cs="Times New Roman"/>
                <w:color w:val="auto"/>
                <w:kern w:val="0"/>
                <w:sz w:val="24"/>
                <w:szCs w:val="24"/>
                <w:lang w:val="en-US" w:eastAsia="zh-CN" w:bidi="ar"/>
              </w:rPr>
              <w:t>意义，符合</w:t>
            </w:r>
            <w:r>
              <w:rPr>
                <w:rFonts w:hint="eastAsia" w:cs="Times New Roman"/>
                <w:color w:val="auto"/>
                <w:kern w:val="0"/>
                <w:sz w:val="24"/>
                <w:szCs w:val="24"/>
                <w:highlight w:val="none"/>
                <w:lang w:val="en-US" w:eastAsia="zh-CN" w:bidi="ar"/>
              </w:rPr>
              <w:t>水源涵养与土壤保持区</w:t>
            </w:r>
            <w:r>
              <w:rPr>
                <w:rFonts w:hint="default" w:ascii="Times New Roman" w:hAnsi="Times New Roman" w:eastAsia="宋体" w:cs="Times New Roman"/>
                <w:color w:val="auto"/>
                <w:kern w:val="0"/>
                <w:sz w:val="24"/>
                <w:szCs w:val="24"/>
                <w:lang w:val="en-US" w:eastAsia="zh-CN" w:bidi="ar"/>
              </w:rPr>
              <w:t>生态保护对策。</w:t>
            </w:r>
          </w:p>
          <w:p w14:paraId="6D414BD7">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Chars="200"/>
              <w:textAlignment w:val="auto"/>
              <w:rPr>
                <w:rFonts w:hint="default" w:ascii="Times New Roman" w:hAnsi="Times New Roman" w:cs="Times New Roman"/>
                <w:b/>
                <w:bCs/>
                <w:color w:val="auto"/>
                <w:sz w:val="24"/>
                <w:szCs w:val="24"/>
                <w:lang w:val="en-US" w:eastAsia="zh-CN"/>
              </w:rPr>
            </w:pPr>
            <w:r>
              <w:rPr>
                <w:rFonts w:hint="eastAsia" w:cs="Times New Roman"/>
                <w:b/>
                <w:bCs/>
                <w:color w:val="auto"/>
                <w:sz w:val="24"/>
                <w:szCs w:val="24"/>
                <w:lang w:val="en-US" w:eastAsia="zh-CN"/>
              </w:rPr>
              <w:t>3、</w:t>
            </w:r>
            <w:r>
              <w:rPr>
                <w:rFonts w:hint="default" w:ascii="Times New Roman" w:hAnsi="Times New Roman" w:cs="Times New Roman"/>
                <w:b/>
                <w:bCs/>
                <w:color w:val="auto"/>
                <w:sz w:val="24"/>
                <w:szCs w:val="24"/>
                <w:lang w:val="en-US" w:eastAsia="zh-CN"/>
              </w:rPr>
              <w:t>生态环境现状调查</w:t>
            </w:r>
          </w:p>
          <w:p w14:paraId="66FD7C1C">
            <w:pPr>
              <w:pStyle w:val="14"/>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w:t>
            </w:r>
            <w:r>
              <w:rPr>
                <w:rFonts w:hint="eastAsia"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lang w:val="en-US" w:eastAsia="zh-CN"/>
              </w:rPr>
              <w:t>）土地利用现状</w:t>
            </w:r>
          </w:p>
          <w:p w14:paraId="640AB2B2">
            <w:pPr>
              <w:keepNext w:val="0"/>
              <w:keepLines w:val="0"/>
              <w:pageBreakBefore w:val="0"/>
              <w:widowControl w:val="0"/>
              <w:kinsoku/>
              <w:wordWrap/>
              <w:overflowPunct w:val="0"/>
              <w:topLinePunct w:val="0"/>
              <w:autoSpaceDE/>
              <w:autoSpaceDN/>
              <w:bidi w:val="0"/>
              <w:adjustRightInd/>
              <w:snapToGrid/>
              <w:spacing w:line="360" w:lineRule="auto"/>
              <w:ind w:firstLine="480" w:firstLineChars="200"/>
              <w:contextualSpacing/>
              <w:textAlignment w:val="auto"/>
              <w:rPr>
                <w:rFonts w:hint="eastAsia"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项目影响区域（</w:t>
            </w:r>
            <w:r>
              <w:rPr>
                <w:rFonts w:hint="eastAsia" w:cs="Times New Roman"/>
                <w:b w:val="0"/>
                <w:bCs w:val="0"/>
                <w:color w:val="auto"/>
                <w:sz w:val="24"/>
                <w:szCs w:val="24"/>
                <w:highlight w:val="none"/>
                <w:lang w:val="en-US" w:eastAsia="zh-CN"/>
              </w:rPr>
              <w:t>陇县污水处理厂人工湿地</w:t>
            </w:r>
            <w:r>
              <w:rPr>
                <w:rFonts w:hint="default" w:ascii="Times New Roman" w:hAnsi="Times New Roman" w:eastAsia="宋体"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陇县千河南岸新城污水处理厂人工湿地</w:t>
            </w:r>
            <w:r>
              <w:rPr>
                <w:rFonts w:hint="default" w:ascii="Times New Roman" w:hAnsi="Times New Roman" w:eastAsia="宋体" w:cs="Times New Roman"/>
                <w:b w:val="0"/>
                <w:bCs w:val="0"/>
                <w:color w:val="auto"/>
                <w:sz w:val="24"/>
                <w:szCs w:val="24"/>
                <w:highlight w:val="none"/>
                <w:lang w:val="en-US" w:eastAsia="zh-CN"/>
              </w:rPr>
              <w:t>周边）土地利用以农业用地、林地、草地和建设用地为主：农业用地</w:t>
            </w:r>
            <w:r>
              <w:rPr>
                <w:rFonts w:hint="eastAsia" w:cs="Times New Roman"/>
                <w:b w:val="0"/>
                <w:bCs w:val="0"/>
                <w:color w:val="auto"/>
                <w:sz w:val="24"/>
                <w:szCs w:val="24"/>
                <w:highlight w:val="none"/>
                <w:lang w:val="en-US" w:eastAsia="zh-CN"/>
              </w:rPr>
              <w:t>以旱作耕地为主</w:t>
            </w:r>
            <w:r>
              <w:rPr>
                <w:rFonts w:hint="default" w:ascii="Times New Roman" w:hAnsi="Times New Roman" w:eastAsia="宋体" w:cs="Times New Roman"/>
                <w:b w:val="0"/>
                <w:bCs w:val="0"/>
                <w:color w:val="auto"/>
                <w:sz w:val="24"/>
                <w:szCs w:val="24"/>
                <w:highlight w:val="none"/>
                <w:lang w:val="en-US" w:eastAsia="zh-CN"/>
              </w:rPr>
              <w:t>，种植玉米、</w:t>
            </w:r>
            <w:r>
              <w:rPr>
                <w:rFonts w:hint="eastAsia" w:cs="Times New Roman"/>
                <w:b w:val="0"/>
                <w:bCs w:val="0"/>
                <w:color w:val="auto"/>
                <w:sz w:val="24"/>
                <w:szCs w:val="24"/>
                <w:highlight w:val="none"/>
                <w:lang w:val="en-US" w:eastAsia="zh-CN"/>
              </w:rPr>
              <w:t>小麦</w:t>
            </w:r>
            <w:r>
              <w:rPr>
                <w:rFonts w:hint="default" w:ascii="Times New Roman" w:hAnsi="Times New Roman" w:eastAsia="宋体" w:cs="Times New Roman"/>
                <w:b w:val="0"/>
                <w:bCs w:val="0"/>
                <w:color w:val="auto"/>
                <w:sz w:val="24"/>
                <w:szCs w:val="24"/>
                <w:highlight w:val="none"/>
                <w:lang w:val="en-US" w:eastAsia="zh-CN"/>
              </w:rPr>
              <w:t>等耐旱作物；林地多为人工次生林（如刺槐、油松）和灌木林；草地以天然草地为主，植被覆盖度中等（30%-50%），主要分布在未利用的荒坡；村庄、道路及少量生产设施，呈点状或线状分布，占比相对较小。</w:t>
            </w:r>
          </w:p>
          <w:p w14:paraId="7DE17EFE">
            <w:pPr>
              <w:keepNext w:val="0"/>
              <w:keepLines w:val="0"/>
              <w:pageBreakBefore w:val="0"/>
              <w:widowControl w:val="0"/>
              <w:kinsoku/>
              <w:wordWrap/>
              <w:overflowPunct w:val="0"/>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2</w:t>
            </w:r>
            <w:r>
              <w:rPr>
                <w:rFonts w:hint="eastAsia" w:ascii="Times New Roman" w:hAnsi="Times New Roman" w:eastAsia="宋体" w:cs="Times New Roman"/>
                <w:b w:val="0"/>
                <w:bCs w:val="0"/>
                <w:color w:val="auto"/>
                <w:sz w:val="24"/>
                <w:szCs w:val="24"/>
                <w:highlight w:val="none"/>
                <w:lang w:val="en-US" w:eastAsia="zh-CN"/>
              </w:rPr>
              <w:t>）植被</w:t>
            </w:r>
            <w:r>
              <w:rPr>
                <w:rFonts w:hint="eastAsia" w:cs="Times New Roman"/>
                <w:b w:val="0"/>
                <w:bCs w:val="0"/>
                <w:color w:val="auto"/>
                <w:sz w:val="24"/>
                <w:szCs w:val="24"/>
                <w:highlight w:val="none"/>
                <w:lang w:val="en-US" w:eastAsia="zh-CN"/>
              </w:rPr>
              <w:t>资源</w:t>
            </w:r>
          </w:p>
          <w:p w14:paraId="30341D96">
            <w:pPr>
              <w:keepNext w:val="0"/>
              <w:keepLines w:val="0"/>
              <w:pageBreakBefore w:val="0"/>
              <w:widowControl w:val="0"/>
              <w:kinsoku/>
              <w:wordWrap/>
              <w:overflowPunct w:val="0"/>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区域植被属温带落叶阔叶林区，以耐旱、耐贫瘠的乡土物种为主：</w:t>
            </w:r>
          </w:p>
          <w:p w14:paraId="3E692CD2">
            <w:pPr>
              <w:keepNext w:val="0"/>
              <w:keepLines w:val="0"/>
              <w:pageBreakBefore w:val="0"/>
              <w:widowControl w:val="0"/>
              <w:kinsoku/>
              <w:wordWrap/>
              <w:overflowPunct w:val="0"/>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乔木层：主要有刺槐、油松、杨树等，多为人工造林形成的疏林或防护林；​</w:t>
            </w:r>
          </w:p>
          <w:p w14:paraId="244E70FF">
            <w:pPr>
              <w:keepNext w:val="0"/>
              <w:keepLines w:val="0"/>
              <w:pageBreakBefore w:val="0"/>
              <w:widowControl w:val="0"/>
              <w:kinsoku/>
              <w:wordWrap/>
              <w:overflowPunct w:val="0"/>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灌木层：常见沙棘、柠条、酸枣等，是坡地水土保持的主要植被类型；</w:t>
            </w:r>
          </w:p>
          <w:p w14:paraId="69326186">
            <w:pPr>
              <w:keepNext w:val="0"/>
              <w:keepLines w:val="0"/>
              <w:pageBreakBefore w:val="0"/>
              <w:widowControl w:val="0"/>
              <w:kinsoku/>
              <w:wordWrap/>
              <w:overflowPunct w:val="0"/>
              <w:topLinePunct w:val="0"/>
              <w:autoSpaceDE/>
              <w:autoSpaceDN/>
              <w:bidi w:val="0"/>
              <w:adjustRightInd/>
              <w:snapToGrid/>
              <w:spacing w:line="360" w:lineRule="auto"/>
              <w:ind w:firstLine="480" w:firstLineChars="200"/>
              <w:contextualSpacing/>
              <w:textAlignment w:val="auto"/>
              <w:rPr>
                <w:rFonts w:hint="eastAsia"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草本层：以狗尾草、蒿类、白羊草等为主，覆盖度随地形和人为干扰程度差异较大。</w:t>
            </w:r>
          </w:p>
          <w:p w14:paraId="458D7C88">
            <w:pPr>
              <w:keepNext w:val="0"/>
              <w:keepLines w:val="0"/>
              <w:pageBreakBefore w:val="0"/>
              <w:widowControl w:val="0"/>
              <w:kinsoku/>
              <w:wordWrap/>
              <w:overflowPunct w:val="0"/>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auto"/>
                <w:sz w:val="24"/>
                <w:szCs w:val="24"/>
                <w:lang w:val="en-US" w:eastAsia="zh-CN"/>
              </w:rPr>
            </w:pPr>
            <w:r>
              <w:rPr>
                <w:rFonts w:hint="eastAsia" w:cs="Times New Roman"/>
                <w:b w:val="0"/>
                <w:bCs w:val="0"/>
                <w:color w:val="auto"/>
                <w:sz w:val="24"/>
                <w:szCs w:val="24"/>
                <w:highlight w:val="none"/>
                <w:lang w:val="en-US" w:eastAsia="zh-CN"/>
              </w:rPr>
              <w:t>（3）</w:t>
            </w:r>
            <w:r>
              <w:rPr>
                <w:rFonts w:hint="default" w:ascii="Times New Roman" w:hAnsi="Times New Roman" w:eastAsia="宋体" w:cs="Times New Roman"/>
                <w:color w:val="auto"/>
                <w:sz w:val="24"/>
                <w:szCs w:val="24"/>
                <w:lang w:val="en-US" w:eastAsia="zh-CN"/>
              </w:rPr>
              <w:t>野生动物</w:t>
            </w:r>
          </w:p>
          <w:p w14:paraId="514DD1A4">
            <w:pPr>
              <w:adjustRightInd w:val="0"/>
              <w:spacing w:line="360" w:lineRule="auto"/>
              <w:ind w:firstLine="480" w:firstLineChars="200"/>
              <w:rPr>
                <w:rFonts w:hint="eastAsia" w:ascii="Times New Roman" w:hAnsi="Times New Roman" w:cs="Times New Roman"/>
                <w:color w:val="auto"/>
                <w:sz w:val="24"/>
                <w:lang w:eastAsia="zh-CN"/>
              </w:rPr>
            </w:pPr>
            <w:r>
              <w:rPr>
                <w:rFonts w:hint="eastAsia" w:eastAsia="宋体" w:cs="Times New Roman"/>
                <w:color w:val="auto"/>
                <w:sz w:val="24"/>
                <w:szCs w:val="24"/>
                <w:lang w:val="en-US" w:eastAsia="zh-CN"/>
              </w:rPr>
              <w:t>根据调查，工程所在区域人类活动比较频繁</w:t>
            </w:r>
            <w:r>
              <w:rPr>
                <w:rFonts w:hint="eastAsia" w:cs="Times New Roman"/>
                <w:color w:val="auto"/>
                <w:sz w:val="24"/>
                <w:szCs w:val="24"/>
                <w:lang w:val="en-US" w:eastAsia="zh-CN"/>
              </w:rPr>
              <w:t>，</w:t>
            </w:r>
            <w:r>
              <w:rPr>
                <w:rFonts w:hint="eastAsia" w:eastAsia="宋体" w:cs="Times New Roman"/>
                <w:color w:val="auto"/>
                <w:sz w:val="24"/>
                <w:szCs w:val="24"/>
                <w:lang w:val="en-US" w:eastAsia="zh-CN"/>
              </w:rPr>
              <w:t>大型陆生野生动物已不多见，</w:t>
            </w:r>
            <w:r>
              <w:rPr>
                <w:rFonts w:hint="eastAsia" w:ascii="Times New Roman" w:hAnsi="Times New Roman" w:cs="Times New Roman"/>
                <w:color w:val="auto"/>
                <w:sz w:val="24"/>
                <w:lang w:eastAsia="zh-CN"/>
              </w:rPr>
              <w:t>现存较多的动物有松鼠和野兔，野禽类有百灵、鹰、雁、紫燕、野鸡、乌鸦、猫头鹰、黄水鸭、布谷、喜鹊、麻雀、啄木鸟等；昆虫类主要有壮地虫、蜈蚣、毛油延、蝎子、蝼蛄、蟋蟀、蟑螂、蚱蜢、蜻蜓、青蛙、蝴蝶、蜂、柞蚕、蜘蛛、蝇子、蚊子、蚂蚁等；此外，还有黄鼠、老鼠、蝙蝠、地猴等。</w:t>
            </w:r>
          </w:p>
          <w:p w14:paraId="25B8349B">
            <w:pPr>
              <w:adjustRightInd w:val="0"/>
              <w:spacing w:line="360" w:lineRule="auto"/>
              <w:ind w:firstLine="480" w:firstLineChars="200"/>
              <w:rPr>
                <w:rFonts w:hint="eastAsia" w:ascii="Times New Roman" w:hAnsi="Times New Roman" w:cs="Times New Roman"/>
                <w:color w:val="auto"/>
                <w:sz w:val="24"/>
                <w:lang w:eastAsia="zh-CN"/>
              </w:rPr>
            </w:pPr>
            <w:r>
              <w:rPr>
                <w:rFonts w:hint="eastAsia" w:ascii="Times New Roman" w:hAnsi="Times New Roman" w:cs="Times New Roman"/>
                <w:color w:val="auto"/>
                <w:sz w:val="24"/>
                <w:lang w:eastAsia="zh-CN"/>
              </w:rPr>
              <w:t>家畜主要有羊、牛、马、驴、骡、猪、兔、犬、猫等。家禽主要有鸡、鸭、鹅等。</w:t>
            </w:r>
          </w:p>
          <w:p w14:paraId="275E4D2F">
            <w:pPr>
              <w:keepNext w:val="0"/>
              <w:keepLines w:val="0"/>
              <w:pageBreakBefore w:val="0"/>
              <w:widowControl w:val="0"/>
              <w:kinsoku/>
              <w:wordWrap/>
              <w:overflowPunct w:val="0"/>
              <w:topLinePunct w:val="0"/>
              <w:autoSpaceDE/>
              <w:autoSpaceDN/>
              <w:bidi w:val="0"/>
              <w:adjustRightInd/>
              <w:snapToGrid/>
              <w:spacing w:line="360" w:lineRule="auto"/>
              <w:ind w:firstLine="480" w:firstLineChars="200"/>
              <w:contextualSpacing/>
              <w:textAlignment w:val="auto"/>
              <w:rPr>
                <w:rFonts w:hint="eastAsia" w:ascii="Times New Roman" w:hAnsi="Times New Roman" w:eastAsia="宋体" w:cs="Times New Roman"/>
                <w:color w:val="auto"/>
                <w:sz w:val="24"/>
                <w:szCs w:val="24"/>
                <w:lang w:val="en-US" w:eastAsia="zh-CN"/>
              </w:rPr>
            </w:pPr>
            <w:r>
              <w:rPr>
                <w:rFonts w:hint="eastAsia" w:eastAsia="宋体" w:cs="Times New Roman"/>
                <w:color w:val="auto"/>
                <w:sz w:val="24"/>
                <w:szCs w:val="24"/>
                <w:lang w:val="en-US" w:eastAsia="zh-CN"/>
              </w:rPr>
              <w:t>综上所述，</w:t>
            </w:r>
            <w:r>
              <w:rPr>
                <w:rFonts w:hint="eastAsia" w:cs="Times New Roman"/>
                <w:color w:val="auto"/>
                <w:sz w:val="24"/>
                <w:szCs w:val="24"/>
                <w:lang w:val="en-US" w:eastAsia="zh-CN"/>
              </w:rPr>
              <w:t>项目</w:t>
            </w:r>
            <w:r>
              <w:rPr>
                <w:rFonts w:hint="eastAsia" w:ascii="Times New Roman" w:hAnsi="Times New Roman" w:cs="Times New Roman"/>
                <w:color w:val="auto"/>
                <w:sz w:val="24"/>
                <w:lang w:eastAsia="zh-CN"/>
              </w:rPr>
              <w:t>区域陆生动物仅有少量小动物和鸟类出没，</w:t>
            </w:r>
            <w:r>
              <w:rPr>
                <w:rFonts w:hint="eastAsia" w:ascii="Times New Roman" w:hAnsi="Times New Roman" w:eastAsia="宋体" w:cs="Times New Roman"/>
                <w:b w:val="0"/>
                <w:bCs w:val="0"/>
                <w:color w:val="auto"/>
                <w:sz w:val="24"/>
                <w:szCs w:val="24"/>
                <w:highlight w:val="none"/>
                <w:lang w:val="en-US" w:eastAsia="zh-CN"/>
              </w:rPr>
              <w:t>无国家及省级重点保护动物和珍稀植被。</w:t>
            </w:r>
          </w:p>
          <w:p w14:paraId="74CC91C0">
            <w:pPr>
              <w:keepNext w:val="0"/>
              <w:keepLines w:val="0"/>
              <w:pageBreakBefore w:val="0"/>
              <w:widowControl w:val="0"/>
              <w:kinsoku/>
              <w:wordWrap/>
              <w:overflowPunct w:val="0"/>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4</w:t>
            </w:r>
            <w:r>
              <w:rPr>
                <w:rFonts w:hint="eastAsia" w:ascii="Times New Roman" w:hAnsi="Times New Roman" w:eastAsia="宋体" w:cs="Times New Roman"/>
                <w:color w:val="auto"/>
                <w:sz w:val="24"/>
                <w:szCs w:val="24"/>
                <w:lang w:val="en-US" w:eastAsia="zh-CN"/>
              </w:rPr>
              <w:t>）水生生态现状</w:t>
            </w:r>
          </w:p>
          <w:p w14:paraId="3B9470A5">
            <w:pPr>
              <w:keepNext w:val="0"/>
              <w:keepLines w:val="0"/>
              <w:pageBreakBefore w:val="0"/>
              <w:widowControl w:val="0"/>
              <w:kinsoku/>
              <w:wordWrap/>
              <w:overflowPunct w:val="0"/>
              <w:topLinePunct w:val="0"/>
              <w:autoSpaceDE/>
              <w:autoSpaceDN/>
              <w:bidi w:val="0"/>
              <w:adjustRightInd/>
              <w:snapToGrid/>
              <w:spacing w:line="360" w:lineRule="auto"/>
              <w:ind w:firstLine="480" w:firstLineChars="200"/>
              <w:contextualSpacing/>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工程所在流域为</w:t>
            </w:r>
            <w:r>
              <w:rPr>
                <w:rFonts w:hint="eastAsia" w:cs="Times New Roman"/>
                <w:color w:val="auto"/>
                <w:sz w:val="24"/>
                <w:szCs w:val="24"/>
                <w:lang w:val="en-US" w:eastAsia="zh-CN"/>
              </w:rPr>
              <w:t>千河流域</w:t>
            </w:r>
            <w:r>
              <w:rPr>
                <w:rFonts w:hint="eastAsia" w:ascii="Times New Roman" w:hAnsi="Times New Roman" w:eastAsia="宋体" w:cs="Times New Roman"/>
                <w:color w:val="auto"/>
                <w:sz w:val="24"/>
                <w:szCs w:val="24"/>
                <w:lang w:val="en-US" w:eastAsia="zh-CN"/>
              </w:rPr>
              <w:t>，系</w:t>
            </w:r>
            <w:r>
              <w:rPr>
                <w:rFonts w:hint="eastAsia" w:cs="Times New Roman"/>
                <w:color w:val="auto"/>
                <w:sz w:val="24"/>
                <w:szCs w:val="24"/>
                <w:lang w:val="en-US" w:eastAsia="zh-CN"/>
              </w:rPr>
              <w:t>渭河</w:t>
            </w:r>
            <w:r>
              <w:rPr>
                <w:rFonts w:hint="eastAsia" w:ascii="Times New Roman" w:hAnsi="Times New Roman" w:eastAsia="宋体" w:cs="Times New Roman"/>
                <w:color w:val="auto"/>
                <w:sz w:val="24"/>
                <w:szCs w:val="24"/>
                <w:lang w:val="en-US" w:eastAsia="zh-CN"/>
              </w:rPr>
              <w:t>一级支流。经查阅有关文献资料并参照同地区</w:t>
            </w:r>
            <w:r>
              <w:rPr>
                <w:rFonts w:hint="eastAsia" w:cs="Times New Roman"/>
                <w:color w:val="auto"/>
                <w:sz w:val="24"/>
                <w:szCs w:val="24"/>
                <w:lang w:val="en-US" w:eastAsia="zh-CN"/>
              </w:rPr>
              <w:t>河流</w:t>
            </w:r>
            <w:r>
              <w:rPr>
                <w:rFonts w:hint="eastAsia" w:ascii="Times New Roman" w:hAnsi="Times New Roman" w:eastAsia="宋体" w:cs="Times New Roman"/>
                <w:color w:val="auto"/>
                <w:sz w:val="24"/>
                <w:szCs w:val="24"/>
                <w:lang w:val="en-US" w:eastAsia="zh-CN"/>
              </w:rPr>
              <w:t>调查结果，</w:t>
            </w:r>
            <w:r>
              <w:rPr>
                <w:rFonts w:hint="default" w:ascii="Times New Roman" w:hAnsi="Times New Roman" w:cs="Times New Roman"/>
                <w:color w:val="auto"/>
                <w:spacing w:val="-6"/>
                <w:sz w:val="24"/>
              </w:rPr>
              <w:t>沿线居民较多，水生生物受人为干扰较为明显，经调查河道内无国家级和省级保护鱼类</w:t>
            </w:r>
            <w:r>
              <w:rPr>
                <w:rFonts w:hint="eastAsia" w:cs="Times New Roman"/>
                <w:color w:val="auto"/>
                <w:spacing w:val="-6"/>
                <w:sz w:val="24"/>
                <w:lang w:eastAsia="zh-CN"/>
              </w:rPr>
              <w:t>。</w:t>
            </w:r>
          </w:p>
          <w:p w14:paraId="4A042A70">
            <w:pPr>
              <w:adjustRightInd w:val="0"/>
              <w:spacing w:line="360" w:lineRule="auto"/>
              <w:ind w:firstLine="456" w:firstLineChars="200"/>
              <w:rPr>
                <w:rFonts w:hint="default" w:ascii="Times New Roman" w:hAnsi="Times New Roman" w:eastAsia="宋体" w:cs="Times New Roman"/>
                <w:i w:val="0"/>
                <w:iCs w:val="0"/>
                <w:color w:val="auto"/>
                <w:sz w:val="24"/>
                <w:lang w:eastAsia="zh-CN"/>
              </w:rPr>
            </w:pPr>
            <w:r>
              <w:rPr>
                <w:rFonts w:hint="default" w:ascii="Times New Roman" w:hAnsi="Times New Roman" w:cs="Times New Roman"/>
                <w:i w:val="0"/>
                <w:iCs w:val="0"/>
                <w:color w:val="auto"/>
                <w:spacing w:val="-6"/>
                <w:sz w:val="24"/>
              </w:rPr>
              <w:t>河道内浮游植物包括硅藻、蓝藻、绿藻</w:t>
            </w:r>
            <w:r>
              <w:rPr>
                <w:rFonts w:hint="eastAsia" w:ascii="Times New Roman" w:hAnsi="Times New Roman" w:cs="Times New Roman"/>
                <w:i w:val="0"/>
                <w:iCs w:val="0"/>
                <w:color w:val="auto"/>
                <w:spacing w:val="-6"/>
                <w:sz w:val="24"/>
                <w:lang w:eastAsia="zh-CN"/>
              </w:rPr>
              <w:t>、</w:t>
            </w:r>
            <w:r>
              <w:rPr>
                <w:rFonts w:hint="default" w:ascii="Times New Roman" w:hAnsi="Times New Roman" w:cs="Times New Roman"/>
                <w:i w:val="0"/>
                <w:iCs w:val="0"/>
                <w:color w:val="auto"/>
                <w:spacing w:val="-6"/>
                <w:sz w:val="24"/>
              </w:rPr>
              <w:t>裸藻</w:t>
            </w:r>
            <w:r>
              <w:rPr>
                <w:rFonts w:hint="eastAsia" w:ascii="Times New Roman" w:hAnsi="Times New Roman" w:cs="Times New Roman"/>
                <w:i w:val="0"/>
                <w:iCs w:val="0"/>
                <w:color w:val="auto"/>
                <w:spacing w:val="-6"/>
                <w:sz w:val="24"/>
                <w:lang w:eastAsia="zh-CN"/>
              </w:rPr>
              <w:t>、</w:t>
            </w:r>
            <w:r>
              <w:rPr>
                <w:rFonts w:hint="eastAsia" w:ascii="Times New Roman" w:hAnsi="Times New Roman" w:cs="Times New Roman"/>
                <w:i w:val="0"/>
                <w:iCs w:val="0"/>
                <w:color w:val="auto"/>
                <w:spacing w:val="-6"/>
                <w:sz w:val="24"/>
                <w:lang w:val="en-US" w:eastAsia="zh-CN"/>
              </w:rPr>
              <w:t>金藻、黄藻等</w:t>
            </w:r>
            <w:r>
              <w:rPr>
                <w:rFonts w:hint="default" w:ascii="Times New Roman" w:hAnsi="Times New Roman" w:cs="Times New Roman"/>
                <w:i w:val="0"/>
                <w:iCs w:val="0"/>
                <w:color w:val="auto"/>
                <w:spacing w:val="-6"/>
                <w:sz w:val="24"/>
              </w:rPr>
              <w:t>，包括</w:t>
            </w:r>
            <w:r>
              <w:rPr>
                <w:rFonts w:hint="eastAsia" w:ascii="Times New Roman" w:hAnsi="Times New Roman" w:cs="Times New Roman"/>
                <w:i w:val="0"/>
                <w:iCs w:val="0"/>
                <w:color w:val="auto"/>
                <w:spacing w:val="-6"/>
                <w:sz w:val="24"/>
              </w:rPr>
              <w:t>蓝纤维藻、微囊藻、隐棒藻、胶球藻、色腥藻、颤藻、螺旋藻、林氏藻、平裂藻</w:t>
            </w:r>
            <w:r>
              <w:rPr>
                <w:rFonts w:hint="default" w:ascii="Times New Roman" w:hAnsi="Times New Roman" w:cs="Times New Roman"/>
                <w:i w:val="0"/>
                <w:iCs w:val="0"/>
                <w:color w:val="auto"/>
                <w:spacing w:val="-6"/>
                <w:sz w:val="24"/>
              </w:rPr>
              <w:t>等；</w:t>
            </w:r>
            <w:r>
              <w:rPr>
                <w:rFonts w:hint="default" w:ascii="Times New Roman" w:hAnsi="Times New Roman" w:cs="Times New Roman"/>
                <w:i w:val="0"/>
                <w:iCs w:val="0"/>
                <w:color w:val="auto"/>
                <w:spacing w:val="-6"/>
                <w:sz w:val="24"/>
                <w:lang w:eastAsia="zh-CN"/>
              </w:rPr>
              <w:t>浮游动物种类较多，以轮虫动物为主，</w:t>
            </w:r>
            <w:r>
              <w:rPr>
                <w:rFonts w:hint="default" w:ascii="Times New Roman" w:hAnsi="Times New Roman" w:cs="Times New Roman"/>
                <w:i w:val="0"/>
                <w:iCs w:val="0"/>
                <w:color w:val="auto"/>
                <w:spacing w:val="-6"/>
                <w:sz w:val="24"/>
              </w:rPr>
              <w:t>轮虫动物主要以</w:t>
            </w:r>
            <w:r>
              <w:rPr>
                <w:rFonts w:hint="eastAsia" w:ascii="Times New Roman" w:hAnsi="Times New Roman" w:cs="Times New Roman"/>
                <w:i w:val="0"/>
                <w:iCs w:val="0"/>
                <w:color w:val="auto"/>
                <w:spacing w:val="-6"/>
                <w:sz w:val="24"/>
                <w:lang w:eastAsia="zh-CN"/>
              </w:rPr>
              <w:t>鼠异尾轮虫、龟甲轮虫、旋轮虫、晶囊轮虫、多肢轮虫、无柄轮虫、臂尾轮虫、长刺盖氏轮虫</w:t>
            </w:r>
            <w:r>
              <w:rPr>
                <w:rFonts w:hint="default" w:ascii="Times New Roman" w:hAnsi="Times New Roman" w:cs="Times New Roman"/>
                <w:i w:val="0"/>
                <w:iCs w:val="0"/>
                <w:color w:val="auto"/>
                <w:spacing w:val="-6"/>
                <w:sz w:val="24"/>
              </w:rPr>
              <w:t>为主。</w:t>
            </w:r>
            <w:r>
              <w:rPr>
                <w:rFonts w:hint="default" w:ascii="Times New Roman" w:hAnsi="Times New Roman" w:cs="Times New Roman"/>
                <w:i w:val="0"/>
                <w:iCs w:val="0"/>
                <w:color w:val="auto"/>
                <w:spacing w:val="-6"/>
                <w:sz w:val="24"/>
                <w:lang w:eastAsia="zh-CN"/>
              </w:rPr>
              <w:t>鱼类中以鳅科鱼最多，分布较广较为常见的</w:t>
            </w:r>
            <w:r>
              <w:rPr>
                <w:rFonts w:hint="eastAsia" w:cs="Times New Roman"/>
                <w:i w:val="0"/>
                <w:iCs w:val="0"/>
                <w:color w:val="auto"/>
                <w:spacing w:val="-6"/>
                <w:sz w:val="24"/>
                <w:lang w:val="en-US" w:eastAsia="zh-CN"/>
              </w:rPr>
              <w:t>鱼类</w:t>
            </w:r>
            <w:r>
              <w:rPr>
                <w:rFonts w:hint="eastAsia" w:ascii="Times New Roman" w:hAnsi="Times New Roman" w:cs="Times New Roman"/>
                <w:i w:val="0"/>
                <w:iCs w:val="0"/>
                <w:color w:val="auto"/>
                <w:spacing w:val="-6"/>
                <w:sz w:val="24"/>
                <w:lang w:eastAsia="zh-CN"/>
              </w:rPr>
              <w:t>包括多鳞白甲鱼、岷县高原鳅、中华鳖、中国林蛙及多种地方土著鱼类（如棒花鱼、彩石鲋、中华鳑鲏、马口鱼、红尾副鳅等）</w:t>
            </w:r>
            <w:r>
              <w:rPr>
                <w:rFonts w:hint="default" w:ascii="Times New Roman" w:hAnsi="Times New Roman" w:cs="Times New Roman"/>
                <w:i w:val="0"/>
                <w:iCs w:val="0"/>
                <w:color w:val="auto"/>
                <w:spacing w:val="-6"/>
                <w:sz w:val="24"/>
                <w:lang w:eastAsia="zh-CN"/>
              </w:rPr>
              <w:t>。</w:t>
            </w:r>
          </w:p>
          <w:p w14:paraId="09ED8382">
            <w:pPr>
              <w:keepNext w:val="0"/>
              <w:keepLines w:val="0"/>
              <w:pageBreakBefore w:val="0"/>
              <w:widowControl w:val="0"/>
              <w:kinsoku/>
              <w:wordWrap/>
              <w:overflowPunct w:val="0"/>
              <w:topLinePunct w:val="0"/>
              <w:autoSpaceDE/>
              <w:autoSpaceDN/>
              <w:bidi w:val="0"/>
              <w:adjustRightInd/>
              <w:snapToGrid/>
              <w:spacing w:line="360" w:lineRule="auto"/>
              <w:ind w:firstLine="480" w:firstLineChars="200"/>
              <w:contextualSpacing/>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根据现场调查，本工程所在</w:t>
            </w:r>
            <w:r>
              <w:rPr>
                <w:rFonts w:hint="eastAsia" w:cs="Times New Roman"/>
                <w:b w:val="0"/>
                <w:bCs w:val="0"/>
                <w:color w:val="auto"/>
                <w:sz w:val="24"/>
                <w:szCs w:val="24"/>
                <w:highlight w:val="none"/>
                <w:lang w:val="en-US" w:eastAsia="zh-CN"/>
              </w:rPr>
              <w:t>区</w:t>
            </w:r>
            <w:r>
              <w:rPr>
                <w:rFonts w:hint="eastAsia" w:ascii="Times New Roman" w:hAnsi="Times New Roman" w:eastAsia="宋体" w:cs="Times New Roman"/>
                <w:b w:val="0"/>
                <w:bCs w:val="0"/>
                <w:color w:val="auto"/>
                <w:sz w:val="24"/>
                <w:szCs w:val="24"/>
                <w:highlight w:val="none"/>
                <w:lang w:val="en-US" w:eastAsia="zh-CN"/>
              </w:rPr>
              <w:t>域无鱼类</w:t>
            </w:r>
            <w:r>
              <w:rPr>
                <w:rFonts w:hint="eastAsia"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三场</w:t>
            </w:r>
            <w:r>
              <w:rPr>
                <w:rFonts w:hint="eastAsia"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分布，未发现国家及陕西省</w:t>
            </w:r>
            <w:r>
              <w:rPr>
                <w:rFonts w:hint="eastAsia" w:cs="Times New Roman"/>
                <w:b w:val="0"/>
                <w:bCs w:val="0"/>
                <w:color w:val="auto"/>
                <w:sz w:val="24"/>
                <w:szCs w:val="24"/>
                <w:highlight w:val="none"/>
                <w:lang w:val="en-US" w:eastAsia="zh-CN"/>
              </w:rPr>
              <w:t>重点保护水生野生动物</w:t>
            </w:r>
            <w:r>
              <w:rPr>
                <w:rFonts w:hint="eastAsia" w:ascii="Times New Roman" w:hAnsi="Times New Roman" w:eastAsia="宋体" w:cs="Times New Roman"/>
                <w:b w:val="0"/>
                <w:bCs w:val="0"/>
                <w:color w:val="auto"/>
                <w:sz w:val="24"/>
                <w:szCs w:val="24"/>
                <w:highlight w:val="none"/>
                <w:lang w:val="en-US" w:eastAsia="zh-CN"/>
              </w:rPr>
              <w:t>。</w:t>
            </w:r>
          </w:p>
          <w:p w14:paraId="2C40C241">
            <w:pPr>
              <w:keepNext w:val="0"/>
              <w:keepLines w:val="0"/>
              <w:widowControl/>
              <w:suppressLineNumbers w:val="0"/>
              <w:spacing w:line="360" w:lineRule="auto"/>
              <w:ind w:firstLine="482" w:firstLineChars="200"/>
              <w:jc w:val="left"/>
              <w:rPr>
                <w:rFonts w:hint="default" w:ascii="Times New Roman" w:hAnsi="Times New Roman" w:eastAsia="宋体" w:cs="Times New Roman"/>
                <w:b/>
                <w:bCs/>
                <w:color w:val="auto"/>
                <w:kern w:val="2"/>
                <w:sz w:val="24"/>
                <w:szCs w:val="24"/>
                <w:lang w:val="en-US" w:eastAsia="zh-CN" w:bidi="ar-SA"/>
              </w:rPr>
            </w:pPr>
            <w:r>
              <w:rPr>
                <w:rFonts w:hint="eastAsia" w:cs="Times New Roman"/>
                <w:b/>
                <w:bCs/>
                <w:color w:val="auto"/>
                <w:sz w:val="24"/>
                <w:szCs w:val="24"/>
                <w:lang w:val="en-US" w:eastAsia="zh-CN"/>
              </w:rPr>
              <w:t>4</w:t>
            </w:r>
            <w:r>
              <w:rPr>
                <w:rFonts w:hint="eastAsia" w:ascii="Times New Roman" w:hAnsi="Times New Roman" w:eastAsia="宋体" w:cs="Times New Roman"/>
                <w:b/>
                <w:bCs/>
                <w:color w:val="auto"/>
                <w:kern w:val="2"/>
                <w:sz w:val="24"/>
                <w:szCs w:val="24"/>
                <w:lang w:val="en-US" w:eastAsia="zh-CN" w:bidi="ar-SA"/>
              </w:rPr>
              <w:t>、</w:t>
            </w:r>
            <w:r>
              <w:rPr>
                <w:rFonts w:hint="default" w:ascii="Times New Roman" w:hAnsi="Times New Roman" w:eastAsia="宋体" w:cs="Times New Roman"/>
                <w:b/>
                <w:bCs/>
                <w:color w:val="auto"/>
                <w:kern w:val="2"/>
                <w:sz w:val="24"/>
                <w:szCs w:val="24"/>
                <w:lang w:val="en-US" w:eastAsia="zh-CN" w:bidi="ar-SA"/>
              </w:rPr>
              <w:t>千河国家级水产种质资源保护区</w:t>
            </w:r>
          </w:p>
          <w:p w14:paraId="6945E9AC">
            <w:pPr>
              <w:adjustRightInd w:val="0"/>
              <w:spacing w:line="360" w:lineRule="auto"/>
              <w:ind w:firstLine="456" w:firstLineChars="200"/>
              <w:rPr>
                <w:rFonts w:hint="eastAsia" w:ascii="Times New Roman" w:hAnsi="Times New Roman" w:cs="Times New Roman"/>
                <w:i w:val="0"/>
                <w:iCs w:val="0"/>
                <w:color w:val="auto"/>
                <w:spacing w:val="-6"/>
                <w:sz w:val="24"/>
                <w:lang w:eastAsia="zh-CN"/>
              </w:rPr>
            </w:pPr>
            <w:r>
              <w:rPr>
                <w:rFonts w:hint="eastAsia" w:ascii="Times New Roman" w:hAnsi="Times New Roman" w:cs="Times New Roman"/>
                <w:i w:val="0"/>
                <w:iCs w:val="0"/>
                <w:color w:val="auto"/>
                <w:spacing w:val="-6"/>
                <w:sz w:val="24"/>
                <w:lang w:val="en-US" w:eastAsia="zh-CN"/>
              </w:rPr>
              <w:t>千河国家级水产种质资源保护区位于陕西省宝鸡市境内，于</w:t>
            </w:r>
            <w:r>
              <w:rPr>
                <w:rFonts w:hint="default" w:ascii="Times New Roman" w:hAnsi="Times New Roman" w:cs="Times New Roman"/>
                <w:i w:val="0"/>
                <w:iCs w:val="0"/>
                <w:color w:val="auto"/>
                <w:spacing w:val="-6"/>
                <w:sz w:val="24"/>
                <w:lang w:val="en-US" w:eastAsia="zh-CN"/>
              </w:rPr>
              <w:t>2020</w:t>
            </w:r>
            <w:r>
              <w:rPr>
                <w:rFonts w:hint="eastAsia" w:ascii="Times New Roman" w:hAnsi="Times New Roman" w:cs="Times New Roman"/>
                <w:i w:val="0"/>
                <w:iCs w:val="0"/>
                <w:color w:val="auto"/>
                <w:spacing w:val="-6"/>
                <w:sz w:val="24"/>
                <w:lang w:val="en-US" w:eastAsia="zh-CN"/>
              </w:rPr>
              <w:t>年</w:t>
            </w:r>
            <w:r>
              <w:rPr>
                <w:rFonts w:hint="default" w:ascii="Times New Roman" w:hAnsi="Times New Roman" w:cs="Times New Roman"/>
                <w:i w:val="0"/>
                <w:iCs w:val="0"/>
                <w:color w:val="auto"/>
                <w:spacing w:val="-6"/>
                <w:sz w:val="24"/>
                <w:lang w:val="en-US" w:eastAsia="zh-CN"/>
              </w:rPr>
              <w:t>7</w:t>
            </w:r>
            <w:r>
              <w:rPr>
                <w:rFonts w:hint="eastAsia" w:ascii="Times New Roman" w:hAnsi="Times New Roman" w:cs="Times New Roman"/>
                <w:i w:val="0"/>
                <w:iCs w:val="0"/>
                <w:color w:val="auto"/>
                <w:spacing w:val="-6"/>
                <w:sz w:val="24"/>
                <w:lang w:val="en-US" w:eastAsia="zh-CN"/>
              </w:rPr>
              <w:t>月</w:t>
            </w:r>
            <w:r>
              <w:rPr>
                <w:rFonts w:hint="default" w:ascii="Times New Roman" w:hAnsi="Times New Roman" w:cs="Times New Roman"/>
                <w:i w:val="0"/>
                <w:iCs w:val="0"/>
                <w:color w:val="auto"/>
                <w:spacing w:val="-6"/>
                <w:sz w:val="24"/>
                <w:lang w:val="en-US" w:eastAsia="zh-CN"/>
              </w:rPr>
              <w:t>12</w:t>
            </w:r>
            <w:r>
              <w:rPr>
                <w:rFonts w:hint="eastAsia" w:ascii="Times New Roman" w:hAnsi="Times New Roman" w:cs="Times New Roman"/>
                <w:i w:val="0"/>
                <w:iCs w:val="0"/>
                <w:color w:val="auto"/>
                <w:spacing w:val="-6"/>
                <w:sz w:val="24"/>
                <w:lang w:val="en-US" w:eastAsia="zh-CN"/>
              </w:rPr>
              <w:t>日被农业农村部列入第六批国家级水产种质资源保护区名单，旨在保护千河流域下游的水生生物多样性。总面积为</w:t>
            </w:r>
            <w:r>
              <w:rPr>
                <w:rFonts w:hint="default" w:ascii="Times New Roman" w:hAnsi="Times New Roman" w:cs="Times New Roman"/>
                <w:i w:val="0"/>
                <w:iCs w:val="0"/>
                <w:color w:val="auto"/>
                <w:spacing w:val="-6"/>
                <w:sz w:val="24"/>
                <w:lang w:val="en-US" w:eastAsia="zh-CN"/>
              </w:rPr>
              <w:t>3272</w:t>
            </w:r>
            <w:r>
              <w:rPr>
                <w:rFonts w:hint="eastAsia" w:ascii="Times New Roman" w:hAnsi="Times New Roman" w:cs="Times New Roman"/>
                <w:i w:val="0"/>
                <w:iCs w:val="0"/>
                <w:color w:val="auto"/>
                <w:spacing w:val="-6"/>
                <w:sz w:val="24"/>
                <w:lang w:val="en-US" w:eastAsia="zh-CN"/>
              </w:rPr>
              <w:t>公顷，其中核心区面积为</w:t>
            </w:r>
            <w:r>
              <w:rPr>
                <w:rFonts w:hint="default" w:ascii="Times New Roman" w:hAnsi="Times New Roman" w:cs="Times New Roman"/>
                <w:i w:val="0"/>
                <w:iCs w:val="0"/>
                <w:color w:val="auto"/>
                <w:spacing w:val="-6"/>
                <w:sz w:val="24"/>
                <w:lang w:val="en-US" w:eastAsia="zh-CN"/>
              </w:rPr>
              <w:t>1965</w:t>
            </w:r>
            <w:r>
              <w:rPr>
                <w:rFonts w:hint="eastAsia" w:ascii="Times New Roman" w:hAnsi="Times New Roman" w:cs="Times New Roman"/>
                <w:i w:val="0"/>
                <w:iCs w:val="0"/>
                <w:color w:val="auto"/>
                <w:spacing w:val="-6"/>
                <w:sz w:val="24"/>
                <w:lang w:val="en-US" w:eastAsia="zh-CN"/>
              </w:rPr>
              <w:t>公顷，实验区面积为</w:t>
            </w:r>
            <w:r>
              <w:rPr>
                <w:rFonts w:hint="default" w:ascii="Times New Roman" w:hAnsi="Times New Roman" w:cs="Times New Roman"/>
                <w:i w:val="0"/>
                <w:iCs w:val="0"/>
                <w:color w:val="auto"/>
                <w:spacing w:val="-6"/>
                <w:sz w:val="24"/>
                <w:lang w:val="en-US" w:eastAsia="zh-CN"/>
              </w:rPr>
              <w:t>1307</w:t>
            </w:r>
            <w:r>
              <w:rPr>
                <w:rFonts w:hint="eastAsia" w:ascii="Times New Roman" w:hAnsi="Times New Roman" w:cs="Times New Roman"/>
                <w:i w:val="0"/>
                <w:iCs w:val="0"/>
                <w:color w:val="auto"/>
                <w:spacing w:val="-6"/>
                <w:sz w:val="24"/>
                <w:lang w:val="en-US" w:eastAsia="zh-CN"/>
              </w:rPr>
              <w:t>公顷。核心区特别保护期为每年的</w:t>
            </w:r>
            <w:r>
              <w:rPr>
                <w:rFonts w:hint="default" w:ascii="Times New Roman" w:hAnsi="Times New Roman" w:cs="Times New Roman"/>
                <w:i w:val="0"/>
                <w:iCs w:val="0"/>
                <w:color w:val="auto"/>
                <w:spacing w:val="-6"/>
                <w:sz w:val="24"/>
                <w:lang w:val="en-US" w:eastAsia="zh-CN"/>
              </w:rPr>
              <w:t>3</w:t>
            </w:r>
            <w:r>
              <w:rPr>
                <w:rFonts w:hint="eastAsia" w:ascii="Times New Roman" w:hAnsi="Times New Roman" w:cs="Times New Roman"/>
                <w:i w:val="0"/>
                <w:iCs w:val="0"/>
                <w:color w:val="auto"/>
                <w:spacing w:val="-6"/>
                <w:sz w:val="24"/>
                <w:lang w:val="en-US" w:eastAsia="zh-CN"/>
              </w:rPr>
              <w:t>月</w:t>
            </w:r>
            <w:r>
              <w:rPr>
                <w:rFonts w:hint="default" w:ascii="Times New Roman" w:hAnsi="Times New Roman" w:cs="Times New Roman"/>
                <w:i w:val="0"/>
                <w:iCs w:val="0"/>
                <w:color w:val="auto"/>
                <w:spacing w:val="-6"/>
                <w:sz w:val="24"/>
                <w:lang w:val="en-US" w:eastAsia="zh-CN"/>
              </w:rPr>
              <w:t>1</w:t>
            </w:r>
            <w:r>
              <w:rPr>
                <w:rFonts w:hint="eastAsia" w:ascii="Times New Roman" w:hAnsi="Times New Roman" w:cs="Times New Roman"/>
                <w:i w:val="0"/>
                <w:iCs w:val="0"/>
                <w:color w:val="auto"/>
                <w:spacing w:val="-6"/>
                <w:sz w:val="24"/>
                <w:lang w:val="en-US" w:eastAsia="zh-CN"/>
              </w:rPr>
              <w:t>日</w:t>
            </w:r>
            <w:r>
              <w:rPr>
                <w:rFonts w:hint="default" w:ascii="Times New Roman" w:hAnsi="Times New Roman" w:cs="Times New Roman"/>
                <w:i w:val="0"/>
                <w:iCs w:val="0"/>
                <w:color w:val="auto"/>
                <w:spacing w:val="-6"/>
                <w:sz w:val="24"/>
                <w:lang w:val="en-US" w:eastAsia="zh-CN"/>
              </w:rPr>
              <w:t>-7</w:t>
            </w:r>
            <w:r>
              <w:rPr>
                <w:rFonts w:hint="eastAsia" w:ascii="Times New Roman" w:hAnsi="Times New Roman" w:cs="Times New Roman"/>
                <w:i w:val="0"/>
                <w:iCs w:val="0"/>
                <w:color w:val="auto"/>
                <w:spacing w:val="-6"/>
                <w:sz w:val="24"/>
                <w:lang w:val="en-US" w:eastAsia="zh-CN"/>
              </w:rPr>
              <w:t>月</w:t>
            </w:r>
            <w:r>
              <w:rPr>
                <w:rFonts w:hint="default" w:ascii="Times New Roman" w:hAnsi="Times New Roman" w:cs="Times New Roman"/>
                <w:i w:val="0"/>
                <w:iCs w:val="0"/>
                <w:color w:val="auto"/>
                <w:spacing w:val="-6"/>
                <w:sz w:val="24"/>
                <w:lang w:val="en-US" w:eastAsia="zh-CN"/>
              </w:rPr>
              <w:t>31</w:t>
            </w:r>
            <w:r>
              <w:rPr>
                <w:rFonts w:hint="eastAsia" w:ascii="Times New Roman" w:hAnsi="Times New Roman" w:cs="Times New Roman"/>
                <w:i w:val="0"/>
                <w:iCs w:val="0"/>
                <w:color w:val="auto"/>
                <w:spacing w:val="-6"/>
                <w:sz w:val="24"/>
                <w:lang w:val="en-US" w:eastAsia="zh-CN"/>
              </w:rPr>
              <w:t>日。保护区位于千河流域的中下游段，全河道长约</w:t>
            </w:r>
            <w:r>
              <w:rPr>
                <w:rFonts w:hint="default" w:ascii="Times New Roman" w:hAnsi="Times New Roman" w:cs="Times New Roman"/>
                <w:i w:val="0"/>
                <w:iCs w:val="0"/>
                <w:color w:val="auto"/>
                <w:spacing w:val="-6"/>
                <w:sz w:val="24"/>
                <w:lang w:val="en-US" w:eastAsia="zh-CN"/>
              </w:rPr>
              <w:t>129.6</w:t>
            </w:r>
            <w:r>
              <w:rPr>
                <w:rFonts w:hint="eastAsia" w:ascii="Times New Roman" w:hAnsi="Times New Roman" w:cs="Times New Roman"/>
                <w:i w:val="0"/>
                <w:iCs w:val="0"/>
                <w:color w:val="auto"/>
                <w:spacing w:val="-6"/>
                <w:sz w:val="24"/>
                <w:lang w:val="en-US" w:eastAsia="zh-CN"/>
              </w:rPr>
              <w:t>公里，地理范围在东经</w:t>
            </w:r>
            <w:r>
              <w:rPr>
                <w:rFonts w:hint="default" w:ascii="Times New Roman" w:hAnsi="Times New Roman" w:cs="Times New Roman"/>
                <w:i w:val="0"/>
                <w:iCs w:val="0"/>
                <w:color w:val="auto"/>
                <w:spacing w:val="-6"/>
                <w:sz w:val="24"/>
                <w:lang w:val="en-US" w:eastAsia="zh-CN"/>
              </w:rPr>
              <w:t>106°52</w:t>
            </w:r>
            <w:r>
              <w:rPr>
                <w:rFonts w:hint="eastAsia" w:cs="Times New Roman"/>
                <w:i w:val="0"/>
                <w:iCs w:val="0"/>
                <w:color w:val="auto"/>
                <w:spacing w:val="-6"/>
                <w:sz w:val="24"/>
                <w:lang w:val="en-US" w:eastAsia="zh-CN"/>
              </w:rPr>
              <w:t>′</w:t>
            </w:r>
            <w:r>
              <w:rPr>
                <w:rFonts w:hint="default" w:ascii="Times New Roman" w:hAnsi="Times New Roman" w:cs="Times New Roman"/>
                <w:i w:val="0"/>
                <w:iCs w:val="0"/>
                <w:color w:val="auto"/>
                <w:spacing w:val="-6"/>
                <w:sz w:val="24"/>
                <w:lang w:val="en-US" w:eastAsia="zh-CN"/>
              </w:rPr>
              <w:t>15″</w:t>
            </w:r>
            <w:r>
              <w:rPr>
                <w:rFonts w:hint="eastAsia" w:ascii="Times New Roman" w:hAnsi="Times New Roman" w:cs="Times New Roman"/>
                <w:i w:val="0"/>
                <w:iCs w:val="0"/>
                <w:color w:val="auto"/>
                <w:spacing w:val="-6"/>
                <w:sz w:val="24"/>
                <w:lang w:val="en-US" w:eastAsia="zh-CN"/>
              </w:rPr>
              <w:t>～</w:t>
            </w:r>
            <w:r>
              <w:rPr>
                <w:rFonts w:hint="default" w:ascii="Times New Roman" w:hAnsi="Times New Roman" w:cs="Times New Roman"/>
                <w:i w:val="0"/>
                <w:iCs w:val="0"/>
                <w:color w:val="auto"/>
                <w:spacing w:val="-6"/>
                <w:sz w:val="24"/>
                <w:lang w:val="en-US" w:eastAsia="zh-CN"/>
              </w:rPr>
              <w:t>107°18</w:t>
            </w:r>
            <w:r>
              <w:rPr>
                <w:rFonts w:hint="eastAsia" w:cs="Times New Roman"/>
                <w:i w:val="0"/>
                <w:iCs w:val="0"/>
                <w:color w:val="auto"/>
                <w:spacing w:val="-6"/>
                <w:sz w:val="24"/>
                <w:lang w:val="en-US" w:eastAsia="zh-CN"/>
              </w:rPr>
              <w:t>′</w:t>
            </w:r>
            <w:r>
              <w:rPr>
                <w:rFonts w:hint="default" w:ascii="Times New Roman" w:hAnsi="Times New Roman" w:cs="Times New Roman"/>
                <w:i w:val="0"/>
                <w:iCs w:val="0"/>
                <w:color w:val="auto"/>
                <w:spacing w:val="-6"/>
                <w:sz w:val="24"/>
                <w:lang w:val="en-US" w:eastAsia="zh-CN"/>
              </w:rPr>
              <w:t>38″</w:t>
            </w:r>
            <w:r>
              <w:rPr>
                <w:rFonts w:hint="eastAsia" w:ascii="Times New Roman" w:hAnsi="Times New Roman" w:cs="Times New Roman"/>
                <w:i w:val="0"/>
                <w:iCs w:val="0"/>
                <w:color w:val="auto"/>
                <w:spacing w:val="-6"/>
                <w:sz w:val="24"/>
                <w:lang w:val="en-US" w:eastAsia="zh-CN"/>
              </w:rPr>
              <w:t>至北纬</w:t>
            </w:r>
            <w:r>
              <w:rPr>
                <w:rFonts w:hint="default" w:ascii="Times New Roman" w:hAnsi="Times New Roman" w:cs="Times New Roman"/>
                <w:i w:val="0"/>
                <w:iCs w:val="0"/>
                <w:color w:val="auto"/>
                <w:spacing w:val="-6"/>
                <w:sz w:val="24"/>
                <w:lang w:val="en-US" w:eastAsia="zh-CN"/>
              </w:rPr>
              <w:t>34°21</w:t>
            </w:r>
            <w:r>
              <w:rPr>
                <w:rFonts w:hint="eastAsia" w:cs="Times New Roman"/>
                <w:i w:val="0"/>
                <w:iCs w:val="0"/>
                <w:color w:val="auto"/>
                <w:spacing w:val="-6"/>
                <w:sz w:val="24"/>
                <w:lang w:val="en-US" w:eastAsia="zh-CN"/>
              </w:rPr>
              <w:t>′</w:t>
            </w:r>
            <w:r>
              <w:rPr>
                <w:rFonts w:hint="default" w:ascii="Times New Roman" w:hAnsi="Times New Roman" w:cs="Times New Roman"/>
                <w:i w:val="0"/>
                <w:iCs w:val="0"/>
                <w:color w:val="auto"/>
                <w:spacing w:val="-6"/>
                <w:sz w:val="24"/>
                <w:lang w:val="en-US" w:eastAsia="zh-CN"/>
              </w:rPr>
              <w:t>09″</w:t>
            </w:r>
            <w:r>
              <w:rPr>
                <w:rFonts w:hint="eastAsia" w:ascii="Times New Roman" w:hAnsi="Times New Roman" w:cs="Times New Roman"/>
                <w:i w:val="0"/>
                <w:iCs w:val="0"/>
                <w:color w:val="auto"/>
                <w:spacing w:val="-6"/>
                <w:sz w:val="24"/>
                <w:lang w:val="en-US" w:eastAsia="zh-CN"/>
              </w:rPr>
              <w:t>～</w:t>
            </w:r>
            <w:r>
              <w:rPr>
                <w:rFonts w:hint="default" w:ascii="Times New Roman" w:hAnsi="Times New Roman" w:cs="Times New Roman"/>
                <w:i w:val="0"/>
                <w:iCs w:val="0"/>
                <w:color w:val="auto"/>
                <w:spacing w:val="-6"/>
                <w:sz w:val="24"/>
                <w:lang w:val="en-US" w:eastAsia="zh-CN"/>
              </w:rPr>
              <w:t>35°53</w:t>
            </w:r>
            <w:r>
              <w:rPr>
                <w:rFonts w:hint="eastAsia" w:cs="Times New Roman"/>
                <w:i w:val="0"/>
                <w:iCs w:val="0"/>
                <w:color w:val="auto"/>
                <w:spacing w:val="-6"/>
                <w:sz w:val="24"/>
                <w:lang w:val="en-US" w:eastAsia="zh-CN"/>
              </w:rPr>
              <w:t>′</w:t>
            </w:r>
            <w:r>
              <w:rPr>
                <w:rFonts w:hint="default" w:ascii="Times New Roman" w:hAnsi="Times New Roman" w:cs="Times New Roman"/>
                <w:i w:val="0"/>
                <w:iCs w:val="0"/>
                <w:color w:val="auto"/>
                <w:spacing w:val="-6"/>
                <w:sz w:val="24"/>
                <w:lang w:val="en-US" w:eastAsia="zh-CN"/>
              </w:rPr>
              <w:t>07″</w:t>
            </w:r>
            <w:r>
              <w:rPr>
                <w:rFonts w:hint="eastAsia" w:ascii="Times New Roman" w:hAnsi="Times New Roman" w:cs="Times New Roman"/>
                <w:i w:val="0"/>
                <w:iCs w:val="0"/>
                <w:color w:val="auto"/>
                <w:spacing w:val="-6"/>
                <w:sz w:val="24"/>
                <w:lang w:val="en-US" w:eastAsia="zh-CN"/>
              </w:rPr>
              <w:t>之间。核心区从千阳县城千河大桥段下游</w:t>
            </w:r>
            <w:r>
              <w:rPr>
                <w:rFonts w:hint="default" w:ascii="Times New Roman" w:hAnsi="Times New Roman" w:cs="Times New Roman"/>
                <w:i w:val="0"/>
                <w:iCs w:val="0"/>
                <w:color w:val="auto"/>
                <w:spacing w:val="-6"/>
                <w:sz w:val="24"/>
                <w:lang w:val="en-US" w:eastAsia="zh-CN"/>
              </w:rPr>
              <w:t>3</w:t>
            </w:r>
            <w:r>
              <w:rPr>
                <w:rFonts w:hint="eastAsia" w:ascii="Times New Roman" w:hAnsi="Times New Roman" w:cs="Times New Roman"/>
                <w:i w:val="0"/>
                <w:iCs w:val="0"/>
                <w:color w:val="auto"/>
                <w:spacing w:val="-6"/>
                <w:sz w:val="24"/>
                <w:lang w:val="en-US" w:eastAsia="zh-CN"/>
              </w:rPr>
              <w:t>公里处，到千河入渭河河口处，河道长</w:t>
            </w:r>
            <w:r>
              <w:rPr>
                <w:rFonts w:hint="default" w:ascii="Times New Roman" w:hAnsi="Times New Roman" w:cs="Times New Roman"/>
                <w:i w:val="0"/>
                <w:iCs w:val="0"/>
                <w:color w:val="auto"/>
                <w:spacing w:val="-6"/>
                <w:sz w:val="24"/>
                <w:lang w:val="en-US" w:eastAsia="zh-CN"/>
              </w:rPr>
              <w:t>86.1</w:t>
            </w:r>
            <w:r>
              <w:rPr>
                <w:rFonts w:hint="eastAsia" w:ascii="Times New Roman" w:hAnsi="Times New Roman" w:cs="Times New Roman"/>
                <w:i w:val="0"/>
                <w:iCs w:val="0"/>
                <w:color w:val="auto"/>
                <w:spacing w:val="-6"/>
                <w:sz w:val="24"/>
                <w:lang w:val="en-US" w:eastAsia="zh-CN"/>
              </w:rPr>
              <w:t>公里，地理范围在东经</w:t>
            </w:r>
            <w:r>
              <w:rPr>
                <w:rFonts w:hint="default" w:ascii="Times New Roman" w:hAnsi="Times New Roman" w:cs="Times New Roman"/>
                <w:i w:val="0"/>
                <w:iCs w:val="0"/>
                <w:color w:val="auto"/>
                <w:spacing w:val="-6"/>
                <w:sz w:val="24"/>
                <w:lang w:val="en-US" w:eastAsia="zh-CN"/>
              </w:rPr>
              <w:t>106°52</w:t>
            </w:r>
            <w:r>
              <w:rPr>
                <w:rFonts w:hint="eastAsia" w:cs="Times New Roman"/>
                <w:i w:val="0"/>
                <w:iCs w:val="0"/>
                <w:color w:val="auto"/>
                <w:spacing w:val="-6"/>
                <w:sz w:val="24"/>
                <w:lang w:val="en-US" w:eastAsia="zh-CN"/>
              </w:rPr>
              <w:t>′</w:t>
            </w:r>
            <w:r>
              <w:rPr>
                <w:rFonts w:hint="default" w:ascii="Times New Roman" w:hAnsi="Times New Roman" w:cs="Times New Roman"/>
                <w:i w:val="0"/>
                <w:iCs w:val="0"/>
                <w:color w:val="auto"/>
                <w:spacing w:val="-6"/>
                <w:sz w:val="24"/>
                <w:lang w:val="en-US" w:eastAsia="zh-CN"/>
              </w:rPr>
              <w:t>15″</w:t>
            </w:r>
            <w:r>
              <w:rPr>
                <w:rFonts w:hint="eastAsia" w:ascii="Times New Roman" w:hAnsi="Times New Roman" w:cs="Times New Roman"/>
                <w:i w:val="0"/>
                <w:iCs w:val="0"/>
                <w:color w:val="auto"/>
                <w:spacing w:val="-6"/>
                <w:sz w:val="24"/>
                <w:lang w:val="en-US" w:eastAsia="zh-CN"/>
              </w:rPr>
              <w:t>～</w:t>
            </w:r>
            <w:r>
              <w:rPr>
                <w:rFonts w:hint="default" w:ascii="Times New Roman" w:hAnsi="Times New Roman" w:cs="Times New Roman"/>
                <w:i w:val="0"/>
                <w:iCs w:val="0"/>
                <w:color w:val="auto"/>
                <w:spacing w:val="-6"/>
                <w:sz w:val="24"/>
                <w:lang w:val="en-US" w:eastAsia="zh-CN"/>
              </w:rPr>
              <w:t>107°18</w:t>
            </w:r>
            <w:r>
              <w:rPr>
                <w:rFonts w:hint="eastAsia" w:cs="Times New Roman"/>
                <w:i w:val="0"/>
                <w:iCs w:val="0"/>
                <w:color w:val="auto"/>
                <w:spacing w:val="-6"/>
                <w:sz w:val="24"/>
                <w:lang w:val="en-US" w:eastAsia="zh-CN"/>
              </w:rPr>
              <w:t>′</w:t>
            </w:r>
            <w:r>
              <w:rPr>
                <w:rFonts w:hint="default" w:ascii="Times New Roman" w:hAnsi="Times New Roman" w:cs="Times New Roman"/>
                <w:i w:val="0"/>
                <w:iCs w:val="0"/>
                <w:color w:val="auto"/>
                <w:spacing w:val="-6"/>
                <w:sz w:val="24"/>
                <w:lang w:val="en-US" w:eastAsia="zh-CN"/>
              </w:rPr>
              <w:t>38″</w:t>
            </w:r>
            <w:r>
              <w:rPr>
                <w:rFonts w:hint="eastAsia" w:ascii="Times New Roman" w:hAnsi="Times New Roman" w:cs="Times New Roman"/>
                <w:i w:val="0"/>
                <w:iCs w:val="0"/>
                <w:color w:val="auto"/>
                <w:spacing w:val="-6"/>
                <w:sz w:val="24"/>
                <w:lang w:val="en-US" w:eastAsia="zh-CN"/>
              </w:rPr>
              <w:t xml:space="preserve">至北纬 </w:t>
            </w:r>
            <w:r>
              <w:rPr>
                <w:rFonts w:hint="default" w:ascii="Times New Roman" w:hAnsi="Times New Roman" w:cs="Times New Roman"/>
                <w:i w:val="0"/>
                <w:iCs w:val="0"/>
                <w:color w:val="auto"/>
                <w:spacing w:val="-6"/>
                <w:sz w:val="24"/>
                <w:lang w:val="en-US" w:eastAsia="zh-CN"/>
              </w:rPr>
              <w:t>34°53</w:t>
            </w:r>
            <w:r>
              <w:rPr>
                <w:rFonts w:hint="eastAsia" w:cs="Times New Roman"/>
                <w:i w:val="0"/>
                <w:iCs w:val="0"/>
                <w:color w:val="auto"/>
                <w:spacing w:val="-6"/>
                <w:sz w:val="24"/>
                <w:lang w:val="en-US" w:eastAsia="zh-CN"/>
              </w:rPr>
              <w:t>′</w:t>
            </w:r>
            <w:r>
              <w:rPr>
                <w:rFonts w:hint="default" w:ascii="Times New Roman" w:hAnsi="Times New Roman" w:cs="Times New Roman"/>
                <w:i w:val="0"/>
                <w:iCs w:val="0"/>
                <w:color w:val="auto"/>
                <w:spacing w:val="-6"/>
                <w:sz w:val="24"/>
                <w:lang w:val="en-US" w:eastAsia="zh-CN"/>
              </w:rPr>
              <w:t>07″</w:t>
            </w:r>
            <w:r>
              <w:rPr>
                <w:rFonts w:hint="eastAsia" w:ascii="Times New Roman" w:hAnsi="Times New Roman" w:cs="Times New Roman"/>
                <w:i w:val="0"/>
                <w:iCs w:val="0"/>
                <w:color w:val="auto"/>
                <w:spacing w:val="-6"/>
                <w:sz w:val="24"/>
                <w:lang w:val="en-US" w:eastAsia="zh-CN"/>
              </w:rPr>
              <w:t>～</w:t>
            </w:r>
            <w:r>
              <w:rPr>
                <w:rFonts w:hint="default" w:ascii="Times New Roman" w:hAnsi="Times New Roman" w:cs="Times New Roman"/>
                <w:i w:val="0"/>
                <w:iCs w:val="0"/>
                <w:color w:val="auto"/>
                <w:spacing w:val="-6"/>
                <w:sz w:val="24"/>
                <w:lang w:val="en-US" w:eastAsia="zh-CN"/>
              </w:rPr>
              <w:t>34°21</w:t>
            </w:r>
            <w:r>
              <w:rPr>
                <w:rFonts w:hint="eastAsia" w:cs="Times New Roman"/>
                <w:i w:val="0"/>
                <w:iCs w:val="0"/>
                <w:color w:val="auto"/>
                <w:spacing w:val="-6"/>
                <w:sz w:val="24"/>
                <w:lang w:val="en-US" w:eastAsia="zh-CN"/>
              </w:rPr>
              <w:t>′</w:t>
            </w:r>
            <w:r>
              <w:rPr>
                <w:rFonts w:hint="default" w:ascii="Times New Roman" w:hAnsi="Times New Roman" w:cs="Times New Roman"/>
                <w:i w:val="0"/>
                <w:iCs w:val="0"/>
                <w:color w:val="auto"/>
                <w:spacing w:val="-6"/>
                <w:sz w:val="24"/>
                <w:lang w:val="en-US" w:eastAsia="zh-CN"/>
              </w:rPr>
              <w:t>09″</w:t>
            </w:r>
            <w:r>
              <w:rPr>
                <w:rFonts w:hint="eastAsia" w:ascii="Times New Roman" w:hAnsi="Times New Roman" w:cs="Times New Roman"/>
                <w:i w:val="0"/>
                <w:iCs w:val="0"/>
                <w:color w:val="auto"/>
                <w:spacing w:val="-6"/>
                <w:sz w:val="24"/>
                <w:lang w:val="en-US" w:eastAsia="zh-CN"/>
              </w:rPr>
              <w:t>之间。实验区从千河唐家河到陇县县城，河道长</w:t>
            </w:r>
            <w:r>
              <w:rPr>
                <w:rFonts w:hint="default" w:ascii="Times New Roman" w:hAnsi="Times New Roman" w:cs="Times New Roman"/>
                <w:i w:val="0"/>
                <w:iCs w:val="0"/>
                <w:color w:val="auto"/>
                <w:spacing w:val="-6"/>
                <w:sz w:val="24"/>
                <w:lang w:val="en-US" w:eastAsia="zh-CN"/>
              </w:rPr>
              <w:t>43.50</w:t>
            </w:r>
            <w:r>
              <w:rPr>
                <w:rFonts w:hint="eastAsia" w:ascii="Times New Roman" w:hAnsi="Times New Roman" w:cs="Times New Roman"/>
                <w:i w:val="0"/>
                <w:iCs w:val="0"/>
                <w:color w:val="auto"/>
                <w:spacing w:val="-6"/>
                <w:sz w:val="24"/>
                <w:lang w:val="en-US" w:eastAsia="zh-CN"/>
              </w:rPr>
              <w:t>公里，地理范围在东经</w:t>
            </w:r>
            <w:r>
              <w:rPr>
                <w:rFonts w:hint="default" w:ascii="Times New Roman" w:hAnsi="Times New Roman" w:cs="Times New Roman"/>
                <w:i w:val="0"/>
                <w:iCs w:val="0"/>
                <w:color w:val="auto"/>
                <w:spacing w:val="-6"/>
                <w:sz w:val="24"/>
                <w:lang w:val="en-US" w:eastAsia="zh-CN"/>
              </w:rPr>
              <w:t>10°07</w:t>
            </w:r>
            <w:r>
              <w:rPr>
                <w:rFonts w:hint="eastAsia" w:cs="Times New Roman"/>
                <w:i w:val="0"/>
                <w:iCs w:val="0"/>
                <w:color w:val="auto"/>
                <w:spacing w:val="-6"/>
                <w:sz w:val="24"/>
                <w:lang w:val="en-US" w:eastAsia="zh-CN"/>
              </w:rPr>
              <w:t>′</w:t>
            </w:r>
            <w:r>
              <w:rPr>
                <w:rFonts w:hint="default" w:ascii="Times New Roman" w:hAnsi="Times New Roman" w:cs="Times New Roman"/>
                <w:i w:val="0"/>
                <w:iCs w:val="0"/>
                <w:color w:val="auto"/>
                <w:spacing w:val="-6"/>
                <w:sz w:val="24"/>
                <w:lang w:val="en-US" w:eastAsia="zh-CN"/>
              </w:rPr>
              <w:t>25″</w:t>
            </w:r>
            <w:r>
              <w:rPr>
                <w:rFonts w:hint="eastAsia" w:ascii="Times New Roman" w:hAnsi="Times New Roman" w:cs="Times New Roman"/>
                <w:i w:val="0"/>
                <w:iCs w:val="0"/>
                <w:color w:val="auto"/>
                <w:spacing w:val="-6"/>
                <w:sz w:val="24"/>
                <w:lang w:val="en-US" w:eastAsia="zh-CN"/>
              </w:rPr>
              <w:t>～</w:t>
            </w:r>
            <w:r>
              <w:rPr>
                <w:rFonts w:hint="default" w:ascii="Times New Roman" w:hAnsi="Times New Roman" w:cs="Times New Roman"/>
                <w:i w:val="0"/>
                <w:iCs w:val="0"/>
                <w:color w:val="auto"/>
                <w:spacing w:val="-6"/>
                <w:sz w:val="24"/>
                <w:lang w:val="en-US" w:eastAsia="zh-CN"/>
              </w:rPr>
              <w:t>106°52</w:t>
            </w:r>
            <w:r>
              <w:rPr>
                <w:rFonts w:hint="eastAsia" w:cs="Times New Roman"/>
                <w:i w:val="0"/>
                <w:iCs w:val="0"/>
                <w:color w:val="auto"/>
                <w:spacing w:val="-6"/>
                <w:sz w:val="24"/>
                <w:lang w:val="en-US" w:eastAsia="zh-CN"/>
              </w:rPr>
              <w:t>′</w:t>
            </w:r>
            <w:r>
              <w:rPr>
                <w:rFonts w:hint="default" w:ascii="Times New Roman" w:hAnsi="Times New Roman" w:cs="Times New Roman"/>
                <w:i w:val="0"/>
                <w:iCs w:val="0"/>
                <w:color w:val="auto"/>
                <w:spacing w:val="-6"/>
                <w:sz w:val="24"/>
                <w:lang w:val="en-US" w:eastAsia="zh-CN"/>
              </w:rPr>
              <w:t>15″</w:t>
            </w:r>
            <w:r>
              <w:rPr>
                <w:rFonts w:hint="eastAsia" w:ascii="Times New Roman" w:hAnsi="Times New Roman" w:cs="Times New Roman"/>
                <w:i w:val="0"/>
                <w:iCs w:val="0"/>
                <w:color w:val="auto"/>
                <w:spacing w:val="-6"/>
                <w:sz w:val="24"/>
                <w:lang w:val="en-US" w:eastAsia="zh-CN"/>
              </w:rPr>
              <w:t>至北纬</w:t>
            </w:r>
            <w:r>
              <w:rPr>
                <w:rFonts w:hint="default" w:ascii="Times New Roman" w:hAnsi="Times New Roman" w:cs="Times New Roman"/>
                <w:i w:val="0"/>
                <w:iCs w:val="0"/>
                <w:color w:val="auto"/>
                <w:spacing w:val="-6"/>
                <w:sz w:val="24"/>
                <w:lang w:val="en-US" w:eastAsia="zh-CN"/>
              </w:rPr>
              <w:t>34°38</w:t>
            </w:r>
            <w:r>
              <w:rPr>
                <w:rFonts w:hint="eastAsia" w:cs="Times New Roman"/>
                <w:i w:val="0"/>
                <w:iCs w:val="0"/>
                <w:color w:val="auto"/>
                <w:spacing w:val="-6"/>
                <w:sz w:val="24"/>
                <w:lang w:val="en-US" w:eastAsia="zh-CN"/>
              </w:rPr>
              <w:t>′</w:t>
            </w:r>
            <w:r>
              <w:rPr>
                <w:rFonts w:hint="default" w:ascii="Times New Roman" w:hAnsi="Times New Roman" w:cs="Times New Roman"/>
                <w:i w:val="0"/>
                <w:iCs w:val="0"/>
                <w:color w:val="auto"/>
                <w:spacing w:val="-6"/>
                <w:sz w:val="24"/>
                <w:lang w:val="en-US" w:eastAsia="zh-CN"/>
              </w:rPr>
              <w:t>20″</w:t>
            </w:r>
            <w:r>
              <w:rPr>
                <w:rFonts w:hint="eastAsia" w:ascii="Times New Roman" w:hAnsi="Times New Roman" w:cs="Times New Roman"/>
                <w:i w:val="0"/>
                <w:iCs w:val="0"/>
                <w:color w:val="auto"/>
                <w:spacing w:val="-6"/>
                <w:sz w:val="24"/>
                <w:lang w:val="en-US" w:eastAsia="zh-CN"/>
              </w:rPr>
              <w:t>～</w:t>
            </w:r>
          </w:p>
          <w:p w14:paraId="735F17F8">
            <w:pPr>
              <w:adjustRightInd w:val="0"/>
              <w:spacing w:line="360" w:lineRule="auto"/>
              <w:rPr>
                <w:rFonts w:hint="eastAsia" w:ascii="Times New Roman" w:hAnsi="Times New Roman" w:cs="Times New Roman"/>
                <w:i w:val="0"/>
                <w:iCs w:val="0"/>
                <w:color w:val="auto"/>
                <w:spacing w:val="-6"/>
                <w:sz w:val="24"/>
                <w:lang w:eastAsia="zh-CN"/>
              </w:rPr>
            </w:pPr>
            <w:r>
              <w:rPr>
                <w:rFonts w:hint="default" w:ascii="Times New Roman" w:hAnsi="Times New Roman" w:cs="Times New Roman"/>
                <w:i w:val="0"/>
                <w:iCs w:val="0"/>
                <w:color w:val="auto"/>
                <w:spacing w:val="-6"/>
                <w:sz w:val="24"/>
                <w:lang w:val="en-US" w:eastAsia="zh-CN"/>
              </w:rPr>
              <w:t>34°53</w:t>
            </w:r>
            <w:r>
              <w:rPr>
                <w:rFonts w:hint="eastAsia" w:cs="Times New Roman"/>
                <w:i w:val="0"/>
                <w:iCs w:val="0"/>
                <w:color w:val="auto"/>
                <w:spacing w:val="-6"/>
                <w:sz w:val="24"/>
                <w:lang w:val="en-US" w:eastAsia="zh-CN"/>
              </w:rPr>
              <w:t>′</w:t>
            </w:r>
            <w:r>
              <w:rPr>
                <w:rFonts w:hint="default" w:ascii="Times New Roman" w:hAnsi="Times New Roman" w:cs="Times New Roman"/>
                <w:i w:val="0"/>
                <w:iCs w:val="0"/>
                <w:color w:val="auto"/>
                <w:spacing w:val="-6"/>
                <w:sz w:val="24"/>
                <w:lang w:val="en-US" w:eastAsia="zh-CN"/>
              </w:rPr>
              <w:t>07″</w:t>
            </w:r>
            <w:r>
              <w:rPr>
                <w:rFonts w:hint="eastAsia" w:ascii="Times New Roman" w:hAnsi="Times New Roman" w:cs="Times New Roman"/>
                <w:i w:val="0"/>
                <w:iCs w:val="0"/>
                <w:color w:val="auto"/>
                <w:spacing w:val="-6"/>
                <w:sz w:val="24"/>
                <w:lang w:val="en-US" w:eastAsia="zh-CN"/>
              </w:rPr>
              <w:t>之间。保护区主要保护对象为青虾、鲤、卿、钻和黄颓鱼，其他保护物种包括泥鳅和中华鳖。</w:t>
            </w:r>
          </w:p>
          <w:p w14:paraId="422C3200">
            <w:pPr>
              <w:adjustRightInd w:val="0"/>
              <w:spacing w:line="360" w:lineRule="auto"/>
              <w:ind w:firstLine="456" w:firstLineChars="200"/>
              <w:rPr>
                <w:rFonts w:hint="eastAsia" w:cs="Times New Roman"/>
                <w:i w:val="0"/>
                <w:iCs w:val="0"/>
                <w:color w:val="auto"/>
                <w:spacing w:val="-6"/>
                <w:sz w:val="24"/>
                <w:lang w:val="en-US" w:eastAsia="zh-CN"/>
              </w:rPr>
            </w:pPr>
            <w:r>
              <w:rPr>
                <w:rFonts w:hint="eastAsia" w:cs="Times New Roman"/>
                <w:i w:val="0"/>
                <w:iCs w:val="0"/>
                <w:color w:val="auto"/>
                <w:spacing w:val="-6"/>
                <w:sz w:val="24"/>
                <w:lang w:val="en-US" w:eastAsia="zh-CN"/>
              </w:rPr>
              <w:t>经核对，本项目不在</w:t>
            </w:r>
            <w:r>
              <w:rPr>
                <w:rFonts w:hint="eastAsia" w:ascii="Times New Roman" w:hAnsi="Times New Roman" w:cs="Times New Roman"/>
                <w:i w:val="0"/>
                <w:iCs w:val="0"/>
                <w:color w:val="auto"/>
                <w:spacing w:val="-6"/>
                <w:sz w:val="24"/>
                <w:lang w:val="en-US" w:eastAsia="zh-CN"/>
              </w:rPr>
              <w:t>千河国家级水产种质资源保护</w:t>
            </w:r>
            <w:r>
              <w:rPr>
                <w:rFonts w:hint="eastAsia" w:cs="Times New Roman"/>
                <w:i w:val="0"/>
                <w:iCs w:val="0"/>
                <w:color w:val="auto"/>
                <w:spacing w:val="-6"/>
                <w:sz w:val="24"/>
                <w:lang w:val="en-US" w:eastAsia="zh-CN"/>
              </w:rPr>
              <w:t>范围内。</w:t>
            </w:r>
          </w:p>
          <w:p w14:paraId="2FB92741">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ascii="Times New Roman" w:hAnsi="Times New Roman" w:cs="Times New Roman"/>
                <w:b/>
                <w:bCs/>
                <w:color w:val="auto"/>
                <w:sz w:val="24"/>
                <w:szCs w:val="24"/>
                <w:lang w:val="en-US" w:eastAsia="zh-CN"/>
              </w:rPr>
            </w:pPr>
            <w:bookmarkStart w:id="11" w:name="_GoBack"/>
            <w:bookmarkEnd w:id="11"/>
            <w:r>
              <w:rPr>
                <w:rFonts w:hint="eastAsia" w:cs="Times New Roman"/>
                <w:b/>
                <w:bCs/>
                <w:color w:val="auto"/>
                <w:sz w:val="24"/>
                <w:szCs w:val="24"/>
                <w:lang w:val="en-US" w:eastAsia="zh-CN"/>
              </w:rPr>
              <w:t>5、</w:t>
            </w:r>
            <w:r>
              <w:rPr>
                <w:rFonts w:hint="default" w:ascii="Times New Roman" w:hAnsi="Times New Roman" w:cs="Times New Roman"/>
                <w:b/>
                <w:bCs/>
                <w:color w:val="auto"/>
                <w:sz w:val="24"/>
                <w:szCs w:val="24"/>
                <w:lang w:val="en-US" w:eastAsia="zh-CN"/>
              </w:rPr>
              <w:t>项目区域环境质量现状</w:t>
            </w:r>
          </w:p>
          <w:p w14:paraId="72692CCD">
            <w:pPr>
              <w:pStyle w:val="14"/>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lang w:val="en-US" w:eastAsia="zh-CN"/>
              </w:rPr>
            </w:pPr>
            <w:r>
              <w:rPr>
                <w:rFonts w:hint="default" w:ascii="Times New Roman" w:hAnsi="Times New Roman" w:eastAsia="宋体" w:cs="Times New Roman"/>
                <w:color w:val="auto"/>
                <w:sz w:val="24"/>
                <w:szCs w:val="24"/>
                <w:lang w:val="en-US" w:eastAsia="zh-CN"/>
              </w:rPr>
              <w:t>（1）环境空气</w:t>
            </w:r>
            <w:r>
              <w:rPr>
                <w:rFonts w:hint="eastAsia" w:ascii="宋体" w:hAnsi="宋体" w:eastAsia="宋体" w:cs="宋体"/>
                <w:color w:val="auto"/>
                <w:sz w:val="24"/>
                <w:szCs w:val="24"/>
                <w:lang w:val="en-US" w:eastAsia="zh-CN"/>
              </w:rPr>
              <w:t>质量现状</w:t>
            </w:r>
          </w:p>
          <w:p w14:paraId="6EF0D948">
            <w:pPr>
              <w:keepNext w:val="0"/>
              <w:keepLines w:val="0"/>
              <w:pageBreakBefore w:val="0"/>
              <w:widowControl w:val="0"/>
              <w:kinsoku/>
              <w:wordWrap/>
              <w:overflowPunct w:val="0"/>
              <w:topLinePunct w:val="0"/>
              <w:autoSpaceDE/>
              <w:autoSpaceDN/>
              <w:bidi w:val="0"/>
              <w:adjustRightInd/>
              <w:snapToGrid/>
              <w:spacing w:line="360" w:lineRule="auto"/>
              <w:ind w:firstLine="480" w:firstLineChars="200"/>
              <w:contextualSpacing/>
              <w:textAlignment w:val="auto"/>
              <w:rPr>
                <w:rFonts w:hint="eastAsia" w:ascii="Times New Roman" w:hAnsi="Times New Roman" w:eastAsia="宋体" w:cs="Times New Roman"/>
                <w:color w:val="auto"/>
                <w:sz w:val="24"/>
                <w:szCs w:val="24"/>
                <w:highlight w:val="none"/>
                <w:lang w:val="en-US" w:eastAsia="zh-CN"/>
              </w:rPr>
            </w:pPr>
            <w:bookmarkStart w:id="6" w:name="_Hlk2534417"/>
            <w:r>
              <w:rPr>
                <w:rFonts w:hint="eastAsia" w:ascii="Times New Roman" w:hAnsi="Times New Roman" w:eastAsia="宋体" w:cs="Times New Roman"/>
                <w:color w:val="auto"/>
                <w:sz w:val="24"/>
                <w:szCs w:val="24"/>
                <w:highlight w:val="none"/>
                <w:lang w:val="en-US" w:eastAsia="zh-CN"/>
              </w:rPr>
              <w:t>本工程位于</w:t>
            </w:r>
            <w:r>
              <w:rPr>
                <w:rFonts w:hint="eastAsia" w:cs="Times New Roman"/>
                <w:color w:val="auto"/>
                <w:sz w:val="24"/>
                <w:szCs w:val="24"/>
                <w:highlight w:val="none"/>
                <w:lang w:val="en-US" w:eastAsia="zh-CN"/>
              </w:rPr>
              <w:t>宝鸡市陇县</w:t>
            </w:r>
            <w:r>
              <w:rPr>
                <w:rFonts w:hint="eastAsia" w:ascii="Times New Roman" w:hAnsi="Times New Roman" w:eastAsia="宋体" w:cs="Times New Roman"/>
                <w:color w:val="auto"/>
                <w:sz w:val="24"/>
                <w:szCs w:val="24"/>
                <w:highlight w:val="none"/>
                <w:lang w:val="en-US" w:eastAsia="zh-CN"/>
              </w:rPr>
              <w:t>，根据大气功能区划，工程所在地为二类功能区。本工程基本污染物环境质量现状数据引用</w:t>
            </w:r>
            <w:r>
              <w:rPr>
                <w:rFonts w:hint="default" w:ascii="Times New Roman" w:hAnsi="Times New Roman" w:eastAsia="宋体" w:cs="Times New Roman"/>
                <w:color w:val="auto"/>
                <w:sz w:val="24"/>
                <w:szCs w:val="24"/>
                <w:highlight w:val="none"/>
                <w:lang w:val="en-US" w:eastAsia="zh-CN"/>
              </w:rPr>
              <w:t>陕西省生态环境厅办公室202</w:t>
            </w:r>
            <w:r>
              <w:rPr>
                <w:rFonts w:hint="eastAsia"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日公布的《环保快报202</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年12月及1~12月全省环境空气质量状况》</w:t>
            </w:r>
            <w:r>
              <w:rPr>
                <w:rFonts w:hint="eastAsia" w:ascii="Times New Roman" w:hAnsi="Times New Roman" w:eastAsia="宋体" w:cs="Times New Roman"/>
                <w:color w:val="auto"/>
                <w:sz w:val="24"/>
                <w:szCs w:val="24"/>
                <w:highlight w:val="none"/>
                <w:lang w:val="en-US" w:eastAsia="zh-CN"/>
              </w:rPr>
              <w:t>中公布的</w:t>
            </w:r>
            <w:r>
              <w:rPr>
                <w:rFonts w:hint="eastAsia" w:cs="Times New Roman"/>
                <w:color w:val="auto"/>
                <w:sz w:val="24"/>
                <w:szCs w:val="24"/>
                <w:highlight w:val="none"/>
                <w:lang w:val="en-US" w:eastAsia="zh-CN"/>
              </w:rPr>
              <w:t>陇县</w:t>
            </w:r>
            <w:r>
              <w:rPr>
                <w:rFonts w:hint="eastAsia" w:ascii="Times New Roman" w:hAnsi="Times New Roman" w:eastAsia="宋体" w:cs="Times New Roman"/>
                <w:color w:val="auto"/>
                <w:sz w:val="24"/>
                <w:szCs w:val="24"/>
                <w:highlight w:val="none"/>
                <w:lang w:val="en-US" w:eastAsia="zh-CN"/>
              </w:rPr>
              <w:t>202</w:t>
            </w:r>
            <w:r>
              <w:rPr>
                <w:rFonts w:hint="eastAsia"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val="en-US" w:eastAsia="zh-CN"/>
              </w:rPr>
              <w:t>年1个评价基准年的常规例行监测数据。具体如下：</w:t>
            </w:r>
          </w:p>
          <w:p w14:paraId="7C82CD5C">
            <w:pPr>
              <w:jc w:val="center"/>
              <w:rPr>
                <w:b/>
                <w:bCs/>
                <w:color w:val="auto"/>
                <w:sz w:val="21"/>
                <w:szCs w:val="21"/>
              </w:rPr>
            </w:pPr>
            <w:r>
              <w:rPr>
                <w:b/>
                <w:bCs/>
                <w:color w:val="auto"/>
                <w:sz w:val="21"/>
                <w:szCs w:val="21"/>
              </w:rPr>
              <w:t>表3-</w:t>
            </w:r>
            <w:r>
              <w:rPr>
                <w:rFonts w:hint="eastAsia"/>
                <w:b/>
                <w:bCs/>
                <w:color w:val="auto"/>
                <w:sz w:val="21"/>
                <w:szCs w:val="21"/>
                <w:lang w:val="en-US" w:eastAsia="zh-CN"/>
              </w:rPr>
              <w:t>1</w:t>
            </w:r>
            <w:r>
              <w:rPr>
                <w:b/>
                <w:bCs/>
                <w:color w:val="auto"/>
                <w:sz w:val="21"/>
                <w:szCs w:val="21"/>
              </w:rPr>
              <w:t xml:space="preserve">  </w:t>
            </w:r>
            <w:r>
              <w:rPr>
                <w:rFonts w:hint="eastAsia"/>
                <w:b/>
                <w:bCs/>
                <w:color w:val="auto"/>
                <w:sz w:val="21"/>
                <w:szCs w:val="21"/>
                <w:lang w:val="en-US" w:eastAsia="zh-CN"/>
              </w:rPr>
              <w:t>工程所在区域</w:t>
            </w:r>
            <w:r>
              <w:rPr>
                <w:b/>
                <w:bCs/>
                <w:color w:val="auto"/>
                <w:sz w:val="21"/>
                <w:szCs w:val="21"/>
              </w:rPr>
              <w:t>环境空气质量现状评价表</w:t>
            </w:r>
          </w:p>
          <w:tbl>
            <w:tblPr>
              <w:tblStyle w:val="16"/>
              <w:tblW w:w="4999"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30"/>
              <w:gridCol w:w="2497"/>
              <w:gridCol w:w="1097"/>
              <w:gridCol w:w="912"/>
              <w:gridCol w:w="1335"/>
              <w:gridCol w:w="1155"/>
            </w:tblGrid>
            <w:tr w14:paraId="6F2A306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9" w:hRule="atLeast"/>
                <w:jc w:val="center"/>
              </w:trPr>
              <w:tc>
                <w:tcPr>
                  <w:tcW w:w="1030" w:type="dxa"/>
                  <w:noWrap w:val="0"/>
                  <w:vAlign w:val="center"/>
                </w:tcPr>
                <w:p w14:paraId="774E6DB1">
                  <w:pPr>
                    <w:pStyle w:val="3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2497" w:type="dxa"/>
                  <w:noWrap w:val="0"/>
                  <w:vAlign w:val="center"/>
                </w:tcPr>
                <w:p w14:paraId="6CBE3EE7">
                  <w:pPr>
                    <w:pStyle w:val="3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年评价指标</w:t>
                  </w:r>
                </w:p>
              </w:tc>
              <w:tc>
                <w:tcPr>
                  <w:tcW w:w="1097" w:type="dxa"/>
                  <w:noWrap w:val="0"/>
                  <w:vAlign w:val="center"/>
                </w:tcPr>
                <w:p w14:paraId="1D7060BF">
                  <w:pPr>
                    <w:pStyle w:val="3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现状浓度</w:t>
                  </w:r>
                </w:p>
              </w:tc>
              <w:tc>
                <w:tcPr>
                  <w:tcW w:w="912" w:type="dxa"/>
                  <w:noWrap w:val="0"/>
                  <w:vAlign w:val="center"/>
                </w:tcPr>
                <w:p w14:paraId="04F80423">
                  <w:pPr>
                    <w:pStyle w:val="3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标准值</w:t>
                  </w:r>
                </w:p>
              </w:tc>
              <w:tc>
                <w:tcPr>
                  <w:tcW w:w="1335" w:type="dxa"/>
                  <w:noWrap w:val="0"/>
                  <w:vAlign w:val="center"/>
                </w:tcPr>
                <w:p w14:paraId="3FAB4A68">
                  <w:pPr>
                    <w:pStyle w:val="3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占标率（%）</w:t>
                  </w:r>
                </w:p>
              </w:tc>
              <w:tc>
                <w:tcPr>
                  <w:tcW w:w="1155" w:type="dxa"/>
                  <w:noWrap w:val="0"/>
                  <w:vAlign w:val="center"/>
                </w:tcPr>
                <w:p w14:paraId="64FEC9B0">
                  <w:pPr>
                    <w:pStyle w:val="3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达标情况</w:t>
                  </w:r>
                </w:p>
              </w:tc>
            </w:tr>
            <w:tr w14:paraId="07B22F3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1030" w:type="dxa"/>
                  <w:noWrap w:val="0"/>
                  <w:vAlign w:val="center"/>
                </w:tcPr>
                <w:p w14:paraId="0773233B">
                  <w:pPr>
                    <w:pStyle w:val="3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PM</w:t>
                  </w:r>
                  <w:r>
                    <w:rPr>
                      <w:rFonts w:hint="default" w:ascii="Times New Roman" w:hAnsi="Times New Roman" w:eastAsia="宋体" w:cs="Times New Roman"/>
                      <w:b w:val="0"/>
                      <w:bCs/>
                      <w:color w:val="auto"/>
                      <w:sz w:val="21"/>
                      <w:szCs w:val="21"/>
                      <w:highlight w:val="none"/>
                      <w:vertAlign w:val="subscript"/>
                    </w:rPr>
                    <w:t>10</w:t>
                  </w:r>
                </w:p>
              </w:tc>
              <w:tc>
                <w:tcPr>
                  <w:tcW w:w="2497" w:type="dxa"/>
                  <w:noWrap w:val="0"/>
                  <w:vAlign w:val="center"/>
                </w:tcPr>
                <w:p w14:paraId="35CB24E4">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cs="Times New Roman"/>
                      <w:color w:val="auto"/>
                      <w:sz w:val="21"/>
                      <w:szCs w:val="21"/>
                    </w:rPr>
                    <w:t>年平均质量浓度（µg</w:t>
                  </w:r>
                  <w:r>
                    <w:rPr>
                      <w:rFonts w:hint="default" w:ascii="Times New Roman" w:hAnsi="Times New Roman" w:cs="Times New Roman"/>
                      <w:bCs/>
                      <w:snapToGrid w:val="0"/>
                      <w:color w:val="auto"/>
                      <w:sz w:val="21"/>
                      <w:szCs w:val="21"/>
                    </w:rPr>
                    <w:t>/m</w:t>
                  </w:r>
                  <w:r>
                    <w:rPr>
                      <w:rFonts w:hint="default" w:ascii="Times New Roman" w:hAnsi="Times New Roman" w:cs="Times New Roman"/>
                      <w:bCs/>
                      <w:snapToGrid w:val="0"/>
                      <w:color w:val="auto"/>
                      <w:sz w:val="21"/>
                      <w:szCs w:val="21"/>
                      <w:vertAlign w:val="superscript"/>
                    </w:rPr>
                    <w:t>3</w:t>
                  </w:r>
                  <w:r>
                    <w:rPr>
                      <w:rFonts w:hint="default" w:ascii="Times New Roman" w:hAnsi="Times New Roman" w:cs="Times New Roman"/>
                      <w:color w:val="auto"/>
                      <w:sz w:val="21"/>
                      <w:szCs w:val="21"/>
                    </w:rPr>
                    <w:t>）</w:t>
                  </w:r>
                </w:p>
              </w:tc>
              <w:tc>
                <w:tcPr>
                  <w:tcW w:w="1097" w:type="dxa"/>
                  <w:noWrap w:val="0"/>
                  <w:vAlign w:val="center"/>
                </w:tcPr>
                <w:p w14:paraId="4EBE6CCE">
                  <w:pPr>
                    <w:pStyle w:val="3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54</w:t>
                  </w:r>
                </w:p>
              </w:tc>
              <w:tc>
                <w:tcPr>
                  <w:tcW w:w="912" w:type="dxa"/>
                  <w:noWrap w:val="0"/>
                  <w:vAlign w:val="center"/>
                </w:tcPr>
                <w:p w14:paraId="630F43FD">
                  <w:pPr>
                    <w:pStyle w:val="3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7</w:t>
                  </w:r>
                  <w:r>
                    <w:rPr>
                      <w:rFonts w:hint="default" w:ascii="Times New Roman" w:hAnsi="Times New Roman" w:cs="Times New Roman"/>
                      <w:b w:val="0"/>
                      <w:bCs/>
                      <w:color w:val="auto"/>
                      <w:sz w:val="21"/>
                      <w:szCs w:val="21"/>
                      <w:highlight w:val="none"/>
                      <w:lang w:val="en-US" w:eastAsia="zh-CN"/>
                    </w:rPr>
                    <w:t>0</w:t>
                  </w:r>
                </w:p>
              </w:tc>
              <w:tc>
                <w:tcPr>
                  <w:tcW w:w="1335" w:type="dxa"/>
                  <w:noWrap w:val="0"/>
                  <w:vAlign w:val="center"/>
                </w:tcPr>
                <w:p w14:paraId="5F49B546">
                  <w:pPr>
                    <w:pStyle w:val="3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77.14</w:t>
                  </w:r>
                </w:p>
              </w:tc>
              <w:tc>
                <w:tcPr>
                  <w:tcW w:w="1155" w:type="dxa"/>
                  <w:noWrap w:val="0"/>
                  <w:vAlign w:val="center"/>
                </w:tcPr>
                <w:p w14:paraId="7A354B2D">
                  <w:pPr>
                    <w:pStyle w:val="3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达标</w:t>
                  </w:r>
                </w:p>
              </w:tc>
            </w:tr>
            <w:tr w14:paraId="22934FB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1030" w:type="dxa"/>
                  <w:noWrap w:val="0"/>
                  <w:vAlign w:val="center"/>
                </w:tcPr>
                <w:p w14:paraId="1C8DC6DC">
                  <w:pPr>
                    <w:pStyle w:val="3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PM</w:t>
                  </w:r>
                  <w:r>
                    <w:rPr>
                      <w:rFonts w:hint="default" w:ascii="Times New Roman" w:hAnsi="Times New Roman" w:eastAsia="宋体" w:cs="Times New Roman"/>
                      <w:b w:val="0"/>
                      <w:bCs/>
                      <w:color w:val="auto"/>
                      <w:sz w:val="21"/>
                      <w:szCs w:val="21"/>
                      <w:highlight w:val="none"/>
                      <w:vertAlign w:val="subscript"/>
                    </w:rPr>
                    <w:t>2.5</w:t>
                  </w:r>
                </w:p>
              </w:tc>
              <w:tc>
                <w:tcPr>
                  <w:tcW w:w="2497" w:type="dxa"/>
                  <w:noWrap w:val="0"/>
                  <w:vAlign w:val="center"/>
                </w:tcPr>
                <w:p w14:paraId="16BCA318">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cs="Times New Roman"/>
                      <w:color w:val="auto"/>
                      <w:sz w:val="21"/>
                      <w:szCs w:val="21"/>
                    </w:rPr>
                    <w:t>年平均质量浓度（µg</w:t>
                  </w:r>
                  <w:r>
                    <w:rPr>
                      <w:rFonts w:hint="default" w:ascii="Times New Roman" w:hAnsi="Times New Roman" w:cs="Times New Roman"/>
                      <w:bCs/>
                      <w:snapToGrid w:val="0"/>
                      <w:color w:val="auto"/>
                      <w:sz w:val="21"/>
                      <w:szCs w:val="21"/>
                    </w:rPr>
                    <w:t>/m</w:t>
                  </w:r>
                  <w:r>
                    <w:rPr>
                      <w:rFonts w:hint="default" w:ascii="Times New Roman" w:hAnsi="Times New Roman" w:cs="Times New Roman"/>
                      <w:bCs/>
                      <w:snapToGrid w:val="0"/>
                      <w:color w:val="auto"/>
                      <w:sz w:val="21"/>
                      <w:szCs w:val="21"/>
                      <w:vertAlign w:val="superscript"/>
                    </w:rPr>
                    <w:t>3</w:t>
                  </w:r>
                  <w:r>
                    <w:rPr>
                      <w:rFonts w:hint="default" w:ascii="Times New Roman" w:hAnsi="Times New Roman" w:cs="Times New Roman"/>
                      <w:color w:val="auto"/>
                      <w:sz w:val="21"/>
                      <w:szCs w:val="21"/>
                    </w:rPr>
                    <w:t>）</w:t>
                  </w:r>
                </w:p>
              </w:tc>
              <w:tc>
                <w:tcPr>
                  <w:tcW w:w="1097" w:type="dxa"/>
                  <w:noWrap w:val="0"/>
                  <w:vAlign w:val="center"/>
                </w:tcPr>
                <w:p w14:paraId="2C28EF14">
                  <w:pPr>
                    <w:pStyle w:val="3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26.6</w:t>
                  </w:r>
                </w:p>
              </w:tc>
              <w:tc>
                <w:tcPr>
                  <w:tcW w:w="912" w:type="dxa"/>
                  <w:noWrap w:val="0"/>
                  <w:vAlign w:val="center"/>
                </w:tcPr>
                <w:p w14:paraId="047B70C3">
                  <w:pPr>
                    <w:pStyle w:val="3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3</w:t>
                  </w:r>
                  <w:r>
                    <w:rPr>
                      <w:rFonts w:hint="eastAsia" w:ascii="Times New Roman" w:hAnsi="Times New Roman" w:cs="Times New Roman"/>
                      <w:b w:val="0"/>
                      <w:bCs/>
                      <w:color w:val="auto"/>
                      <w:sz w:val="21"/>
                      <w:szCs w:val="21"/>
                      <w:highlight w:val="none"/>
                      <w:lang w:val="en-US" w:eastAsia="zh-CN"/>
                    </w:rPr>
                    <w:t>5</w:t>
                  </w:r>
                </w:p>
              </w:tc>
              <w:tc>
                <w:tcPr>
                  <w:tcW w:w="1335" w:type="dxa"/>
                  <w:noWrap w:val="0"/>
                  <w:vAlign w:val="center"/>
                </w:tcPr>
                <w:p w14:paraId="3BD2160A">
                  <w:pPr>
                    <w:pStyle w:val="3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73.89</w:t>
                  </w:r>
                </w:p>
              </w:tc>
              <w:tc>
                <w:tcPr>
                  <w:tcW w:w="1155" w:type="dxa"/>
                  <w:noWrap w:val="0"/>
                  <w:vAlign w:val="center"/>
                </w:tcPr>
                <w:p w14:paraId="6703D1A1">
                  <w:pPr>
                    <w:pStyle w:val="3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cs="Times New Roman"/>
                      <w:b w:val="0"/>
                      <w:bCs/>
                      <w:color w:val="auto"/>
                      <w:sz w:val="21"/>
                      <w:szCs w:val="21"/>
                      <w:highlight w:val="none"/>
                      <w:lang w:eastAsia="zh-CN"/>
                    </w:rPr>
                    <w:t>达标</w:t>
                  </w:r>
                </w:p>
              </w:tc>
            </w:tr>
            <w:tr w14:paraId="1207500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1030" w:type="dxa"/>
                  <w:noWrap w:val="0"/>
                  <w:vAlign w:val="center"/>
                </w:tcPr>
                <w:p w14:paraId="6B346AA6">
                  <w:pPr>
                    <w:pStyle w:val="3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SO</w:t>
                  </w:r>
                  <w:r>
                    <w:rPr>
                      <w:rFonts w:hint="default" w:ascii="Times New Roman" w:hAnsi="Times New Roman" w:eastAsia="宋体" w:cs="Times New Roman"/>
                      <w:b w:val="0"/>
                      <w:bCs/>
                      <w:color w:val="auto"/>
                      <w:sz w:val="21"/>
                      <w:szCs w:val="21"/>
                      <w:highlight w:val="none"/>
                      <w:vertAlign w:val="subscript"/>
                    </w:rPr>
                    <w:t>2</w:t>
                  </w:r>
                </w:p>
              </w:tc>
              <w:tc>
                <w:tcPr>
                  <w:tcW w:w="2497" w:type="dxa"/>
                  <w:noWrap w:val="0"/>
                  <w:vAlign w:val="center"/>
                </w:tcPr>
                <w:p w14:paraId="408605D3">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cs="Times New Roman"/>
                      <w:color w:val="auto"/>
                      <w:sz w:val="21"/>
                      <w:szCs w:val="21"/>
                    </w:rPr>
                    <w:t>年平均质量浓度（µg</w:t>
                  </w:r>
                  <w:r>
                    <w:rPr>
                      <w:rFonts w:hint="default" w:ascii="Times New Roman" w:hAnsi="Times New Roman" w:cs="Times New Roman"/>
                      <w:bCs/>
                      <w:snapToGrid w:val="0"/>
                      <w:color w:val="auto"/>
                      <w:sz w:val="21"/>
                      <w:szCs w:val="21"/>
                    </w:rPr>
                    <w:t>/m</w:t>
                  </w:r>
                  <w:r>
                    <w:rPr>
                      <w:rFonts w:hint="default" w:ascii="Times New Roman" w:hAnsi="Times New Roman" w:cs="Times New Roman"/>
                      <w:bCs/>
                      <w:snapToGrid w:val="0"/>
                      <w:color w:val="auto"/>
                      <w:sz w:val="21"/>
                      <w:szCs w:val="21"/>
                      <w:vertAlign w:val="superscript"/>
                    </w:rPr>
                    <w:t>3</w:t>
                  </w:r>
                  <w:r>
                    <w:rPr>
                      <w:rFonts w:hint="default" w:ascii="Times New Roman" w:hAnsi="Times New Roman" w:cs="Times New Roman"/>
                      <w:color w:val="auto"/>
                      <w:sz w:val="21"/>
                      <w:szCs w:val="21"/>
                    </w:rPr>
                    <w:t>）</w:t>
                  </w:r>
                </w:p>
              </w:tc>
              <w:tc>
                <w:tcPr>
                  <w:tcW w:w="1097" w:type="dxa"/>
                  <w:noWrap w:val="0"/>
                  <w:vAlign w:val="center"/>
                </w:tcPr>
                <w:p w14:paraId="298F7CF5">
                  <w:pPr>
                    <w:pStyle w:val="3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7</w:t>
                  </w:r>
                </w:p>
              </w:tc>
              <w:tc>
                <w:tcPr>
                  <w:tcW w:w="912" w:type="dxa"/>
                  <w:noWrap w:val="0"/>
                  <w:vAlign w:val="center"/>
                </w:tcPr>
                <w:p w14:paraId="43A7FE3B">
                  <w:pPr>
                    <w:pStyle w:val="3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60</w:t>
                  </w:r>
                </w:p>
              </w:tc>
              <w:tc>
                <w:tcPr>
                  <w:tcW w:w="1335" w:type="dxa"/>
                  <w:noWrap w:val="0"/>
                  <w:vAlign w:val="center"/>
                </w:tcPr>
                <w:p w14:paraId="5C110EF0">
                  <w:pPr>
                    <w:pStyle w:val="3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w:t>
                  </w:r>
                  <w:r>
                    <w:rPr>
                      <w:rFonts w:hint="eastAsia" w:ascii="Times New Roman" w:hAnsi="Times New Roman" w:cs="Times New Roman"/>
                      <w:b w:val="0"/>
                      <w:bCs/>
                      <w:color w:val="auto"/>
                      <w:sz w:val="21"/>
                      <w:szCs w:val="21"/>
                      <w:highlight w:val="none"/>
                      <w:lang w:val="en-US" w:eastAsia="zh-CN"/>
                    </w:rPr>
                    <w:t>1.67</w:t>
                  </w:r>
                </w:p>
              </w:tc>
              <w:tc>
                <w:tcPr>
                  <w:tcW w:w="1155" w:type="dxa"/>
                  <w:noWrap w:val="0"/>
                  <w:vAlign w:val="center"/>
                </w:tcPr>
                <w:p w14:paraId="2A29813F">
                  <w:pPr>
                    <w:pStyle w:val="3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达标</w:t>
                  </w:r>
                </w:p>
              </w:tc>
            </w:tr>
            <w:tr w14:paraId="74E27E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1030" w:type="dxa"/>
                  <w:noWrap w:val="0"/>
                  <w:vAlign w:val="center"/>
                </w:tcPr>
                <w:p w14:paraId="02CF17BD">
                  <w:pPr>
                    <w:pStyle w:val="3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NO</w:t>
                  </w:r>
                  <w:r>
                    <w:rPr>
                      <w:rFonts w:hint="default" w:ascii="Times New Roman" w:hAnsi="Times New Roman" w:eastAsia="宋体" w:cs="Times New Roman"/>
                      <w:b w:val="0"/>
                      <w:bCs/>
                      <w:color w:val="auto"/>
                      <w:sz w:val="21"/>
                      <w:szCs w:val="21"/>
                      <w:highlight w:val="none"/>
                      <w:vertAlign w:val="subscript"/>
                    </w:rPr>
                    <w:t>2</w:t>
                  </w:r>
                </w:p>
              </w:tc>
              <w:tc>
                <w:tcPr>
                  <w:tcW w:w="2497" w:type="dxa"/>
                  <w:noWrap w:val="0"/>
                  <w:vAlign w:val="center"/>
                </w:tcPr>
                <w:p w14:paraId="49C28AFD">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cs="Times New Roman"/>
                      <w:color w:val="auto"/>
                      <w:sz w:val="21"/>
                      <w:szCs w:val="21"/>
                    </w:rPr>
                    <w:t>年平均质量浓度（µg</w:t>
                  </w:r>
                  <w:r>
                    <w:rPr>
                      <w:rFonts w:hint="default" w:ascii="Times New Roman" w:hAnsi="Times New Roman" w:cs="Times New Roman"/>
                      <w:bCs/>
                      <w:snapToGrid w:val="0"/>
                      <w:color w:val="auto"/>
                      <w:sz w:val="21"/>
                      <w:szCs w:val="21"/>
                    </w:rPr>
                    <w:t>/m</w:t>
                  </w:r>
                  <w:r>
                    <w:rPr>
                      <w:rFonts w:hint="default" w:ascii="Times New Roman" w:hAnsi="Times New Roman" w:cs="Times New Roman"/>
                      <w:bCs/>
                      <w:snapToGrid w:val="0"/>
                      <w:color w:val="auto"/>
                      <w:sz w:val="21"/>
                      <w:szCs w:val="21"/>
                      <w:vertAlign w:val="superscript"/>
                    </w:rPr>
                    <w:t>3</w:t>
                  </w:r>
                  <w:r>
                    <w:rPr>
                      <w:rFonts w:hint="default" w:ascii="Times New Roman" w:hAnsi="Times New Roman" w:cs="Times New Roman"/>
                      <w:color w:val="auto"/>
                      <w:sz w:val="21"/>
                      <w:szCs w:val="21"/>
                    </w:rPr>
                    <w:t>）</w:t>
                  </w:r>
                </w:p>
              </w:tc>
              <w:tc>
                <w:tcPr>
                  <w:tcW w:w="1097" w:type="dxa"/>
                  <w:noWrap w:val="0"/>
                  <w:vAlign w:val="center"/>
                </w:tcPr>
                <w:p w14:paraId="4CFEF2DE">
                  <w:pPr>
                    <w:pStyle w:val="3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15</w:t>
                  </w:r>
                </w:p>
              </w:tc>
              <w:tc>
                <w:tcPr>
                  <w:tcW w:w="912" w:type="dxa"/>
                  <w:noWrap w:val="0"/>
                  <w:vAlign w:val="center"/>
                </w:tcPr>
                <w:p w14:paraId="0328C04B">
                  <w:pPr>
                    <w:pStyle w:val="3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40</w:t>
                  </w:r>
                </w:p>
              </w:tc>
              <w:tc>
                <w:tcPr>
                  <w:tcW w:w="1335" w:type="dxa"/>
                  <w:noWrap w:val="0"/>
                  <w:vAlign w:val="center"/>
                </w:tcPr>
                <w:p w14:paraId="511E288A">
                  <w:pPr>
                    <w:pStyle w:val="3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37.5</w:t>
                  </w:r>
                </w:p>
              </w:tc>
              <w:tc>
                <w:tcPr>
                  <w:tcW w:w="1155" w:type="dxa"/>
                  <w:noWrap w:val="0"/>
                  <w:vAlign w:val="center"/>
                </w:tcPr>
                <w:p w14:paraId="2CED13E4">
                  <w:pPr>
                    <w:pStyle w:val="3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达标</w:t>
                  </w:r>
                </w:p>
              </w:tc>
            </w:tr>
            <w:tr w14:paraId="0B5AC90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1030" w:type="dxa"/>
                  <w:noWrap w:val="0"/>
                  <w:vAlign w:val="center"/>
                </w:tcPr>
                <w:p w14:paraId="752561DA">
                  <w:pPr>
                    <w:pStyle w:val="3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CO</w:t>
                  </w:r>
                </w:p>
              </w:tc>
              <w:tc>
                <w:tcPr>
                  <w:tcW w:w="2497" w:type="dxa"/>
                  <w:noWrap w:val="0"/>
                  <w:vAlign w:val="center"/>
                </w:tcPr>
                <w:p w14:paraId="786FB67F">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cs="Times New Roman"/>
                      <w:color w:val="auto"/>
                      <w:sz w:val="21"/>
                      <w:szCs w:val="21"/>
                    </w:rPr>
                    <w:t>第95百分位浓度（mg</w:t>
                  </w:r>
                  <w:r>
                    <w:rPr>
                      <w:rFonts w:hint="default" w:ascii="Times New Roman" w:hAnsi="Times New Roman" w:cs="Times New Roman"/>
                      <w:bCs/>
                      <w:snapToGrid w:val="0"/>
                      <w:color w:val="auto"/>
                      <w:sz w:val="21"/>
                      <w:szCs w:val="21"/>
                    </w:rPr>
                    <w:t>/m</w:t>
                  </w:r>
                  <w:r>
                    <w:rPr>
                      <w:rFonts w:hint="default" w:ascii="Times New Roman" w:hAnsi="Times New Roman" w:cs="Times New Roman"/>
                      <w:bCs/>
                      <w:snapToGrid w:val="0"/>
                      <w:color w:val="auto"/>
                      <w:sz w:val="21"/>
                      <w:szCs w:val="21"/>
                      <w:vertAlign w:val="superscript"/>
                    </w:rPr>
                    <w:t>3</w:t>
                  </w:r>
                  <w:r>
                    <w:rPr>
                      <w:rFonts w:hint="default" w:ascii="Times New Roman" w:hAnsi="Times New Roman" w:cs="Times New Roman"/>
                      <w:color w:val="auto"/>
                      <w:sz w:val="21"/>
                      <w:szCs w:val="21"/>
                    </w:rPr>
                    <w:t>）</w:t>
                  </w:r>
                </w:p>
              </w:tc>
              <w:tc>
                <w:tcPr>
                  <w:tcW w:w="1097" w:type="dxa"/>
                  <w:noWrap w:val="0"/>
                  <w:vAlign w:val="center"/>
                </w:tcPr>
                <w:p w14:paraId="33472CF0">
                  <w:pPr>
                    <w:pStyle w:val="3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1.0</w:t>
                  </w:r>
                </w:p>
              </w:tc>
              <w:tc>
                <w:tcPr>
                  <w:tcW w:w="912" w:type="dxa"/>
                  <w:noWrap w:val="0"/>
                  <w:vAlign w:val="center"/>
                </w:tcPr>
                <w:p w14:paraId="6AAF46E4">
                  <w:pPr>
                    <w:pStyle w:val="3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4</w:t>
                  </w:r>
                </w:p>
              </w:tc>
              <w:tc>
                <w:tcPr>
                  <w:tcW w:w="1335" w:type="dxa"/>
                  <w:noWrap w:val="0"/>
                  <w:vAlign w:val="center"/>
                </w:tcPr>
                <w:p w14:paraId="612B901E">
                  <w:pPr>
                    <w:pStyle w:val="3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25.00</w:t>
                  </w:r>
                </w:p>
              </w:tc>
              <w:tc>
                <w:tcPr>
                  <w:tcW w:w="1155" w:type="dxa"/>
                  <w:noWrap w:val="0"/>
                  <w:vAlign w:val="center"/>
                </w:tcPr>
                <w:p w14:paraId="4FFF5899">
                  <w:pPr>
                    <w:pStyle w:val="3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达标</w:t>
                  </w:r>
                </w:p>
              </w:tc>
            </w:tr>
            <w:tr w14:paraId="0AB7ED7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2" w:hRule="atLeast"/>
                <w:jc w:val="center"/>
              </w:trPr>
              <w:tc>
                <w:tcPr>
                  <w:tcW w:w="1030" w:type="dxa"/>
                  <w:noWrap w:val="0"/>
                  <w:vAlign w:val="center"/>
                </w:tcPr>
                <w:p w14:paraId="4F34C5C9">
                  <w:pPr>
                    <w:pStyle w:val="3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O</w:t>
                  </w:r>
                  <w:r>
                    <w:rPr>
                      <w:rFonts w:hint="default" w:ascii="Times New Roman" w:hAnsi="Times New Roman" w:eastAsia="宋体" w:cs="Times New Roman"/>
                      <w:b w:val="0"/>
                      <w:bCs/>
                      <w:color w:val="auto"/>
                      <w:sz w:val="21"/>
                      <w:szCs w:val="21"/>
                      <w:highlight w:val="none"/>
                      <w:vertAlign w:val="subscript"/>
                    </w:rPr>
                    <w:t>3</w:t>
                  </w:r>
                </w:p>
              </w:tc>
              <w:tc>
                <w:tcPr>
                  <w:tcW w:w="2497" w:type="dxa"/>
                  <w:noWrap w:val="0"/>
                  <w:vAlign w:val="center"/>
                </w:tcPr>
                <w:p w14:paraId="7740C928">
                  <w:pPr>
                    <w:jc w:val="center"/>
                    <w:rPr>
                      <w:rFonts w:hint="default" w:ascii="Times New Roman" w:hAnsi="Times New Roman" w:eastAsia="宋体" w:cs="Times New Roman"/>
                      <w:b w:val="0"/>
                      <w:bCs/>
                      <w:color w:val="auto"/>
                      <w:sz w:val="21"/>
                      <w:szCs w:val="21"/>
                      <w:highlight w:val="none"/>
                    </w:rPr>
                  </w:pPr>
                  <w:r>
                    <w:rPr>
                      <w:rFonts w:hint="default" w:ascii="Times New Roman" w:hAnsi="Times New Roman" w:cs="Times New Roman"/>
                      <w:color w:val="auto"/>
                      <w:sz w:val="21"/>
                      <w:szCs w:val="21"/>
                    </w:rPr>
                    <w:t>第90百分位浓度（µg</w:t>
                  </w:r>
                  <w:r>
                    <w:rPr>
                      <w:rFonts w:hint="default" w:ascii="Times New Roman" w:hAnsi="Times New Roman" w:cs="Times New Roman"/>
                      <w:bCs/>
                      <w:snapToGrid w:val="0"/>
                      <w:color w:val="auto"/>
                      <w:sz w:val="21"/>
                      <w:szCs w:val="21"/>
                    </w:rPr>
                    <w:t>/m</w:t>
                  </w:r>
                  <w:r>
                    <w:rPr>
                      <w:rFonts w:hint="default" w:ascii="Times New Roman" w:hAnsi="Times New Roman" w:cs="Times New Roman"/>
                      <w:bCs/>
                      <w:snapToGrid w:val="0"/>
                      <w:color w:val="auto"/>
                      <w:sz w:val="21"/>
                      <w:szCs w:val="21"/>
                      <w:vertAlign w:val="superscript"/>
                    </w:rPr>
                    <w:t>3</w:t>
                  </w:r>
                  <w:r>
                    <w:rPr>
                      <w:rFonts w:hint="default" w:ascii="Times New Roman" w:hAnsi="Times New Roman" w:cs="Times New Roman"/>
                      <w:color w:val="auto"/>
                      <w:sz w:val="21"/>
                      <w:szCs w:val="21"/>
                    </w:rPr>
                    <w:t>）</w:t>
                  </w:r>
                </w:p>
              </w:tc>
              <w:tc>
                <w:tcPr>
                  <w:tcW w:w="1097" w:type="dxa"/>
                  <w:noWrap w:val="0"/>
                  <w:vAlign w:val="center"/>
                </w:tcPr>
                <w:p w14:paraId="280FC360">
                  <w:pPr>
                    <w:pStyle w:val="3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134</w:t>
                  </w:r>
                </w:p>
              </w:tc>
              <w:tc>
                <w:tcPr>
                  <w:tcW w:w="912" w:type="dxa"/>
                  <w:noWrap w:val="0"/>
                  <w:vAlign w:val="center"/>
                </w:tcPr>
                <w:p w14:paraId="452C1096">
                  <w:pPr>
                    <w:pStyle w:val="3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160</w:t>
                  </w:r>
                </w:p>
              </w:tc>
              <w:tc>
                <w:tcPr>
                  <w:tcW w:w="1335" w:type="dxa"/>
                  <w:noWrap w:val="0"/>
                  <w:vAlign w:val="center"/>
                </w:tcPr>
                <w:p w14:paraId="66D95DA6">
                  <w:pPr>
                    <w:pStyle w:val="3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83.75</w:t>
                  </w:r>
                </w:p>
              </w:tc>
              <w:tc>
                <w:tcPr>
                  <w:tcW w:w="1155" w:type="dxa"/>
                  <w:noWrap w:val="0"/>
                  <w:vAlign w:val="center"/>
                </w:tcPr>
                <w:p w14:paraId="7E4B7822">
                  <w:pPr>
                    <w:pStyle w:val="3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达标</w:t>
                  </w:r>
                </w:p>
              </w:tc>
            </w:tr>
            <w:tr w14:paraId="6FA02E5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2" w:hRule="atLeast"/>
                <w:jc w:val="center"/>
              </w:trPr>
              <w:tc>
                <w:tcPr>
                  <w:tcW w:w="8026" w:type="dxa"/>
                  <w:gridSpan w:val="6"/>
                  <w:noWrap w:val="0"/>
                  <w:vAlign w:val="center"/>
                </w:tcPr>
                <w:p w14:paraId="2C104C39">
                  <w:pPr>
                    <w:pStyle w:val="33"/>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val="en-US" w:eastAsia="zh-CN"/>
                    </w:rPr>
                    <w:t>注：《环境空气质量标准》（GB3095-2026）已于2026年3月1日起实施且自实施之日起至2030年12月31日止，基本污染物执行该标准中过渡阶段浓度限值，但本次评价引用的各项数据为</w:t>
                  </w:r>
                  <w:r>
                    <w:rPr>
                      <w:rFonts w:hint="eastAsia" w:ascii="Times New Roman" w:hAnsi="Times New Roman" w:cs="Times New Roman"/>
                      <w:b w:val="0"/>
                      <w:bCs/>
                      <w:color w:val="auto"/>
                      <w:sz w:val="21"/>
                      <w:szCs w:val="21"/>
                      <w:highlight w:val="none"/>
                      <w:lang w:val="en-US" w:eastAsia="zh-CN"/>
                    </w:rPr>
                    <w:t>陕西省生态环境厅</w:t>
                  </w:r>
                  <w:r>
                    <w:rPr>
                      <w:rFonts w:hint="eastAsia" w:ascii="Times New Roman" w:hAnsi="Times New Roman" w:eastAsia="宋体" w:cs="Times New Roman"/>
                      <w:b w:val="0"/>
                      <w:bCs/>
                      <w:color w:val="auto"/>
                      <w:sz w:val="21"/>
                      <w:szCs w:val="21"/>
                      <w:highlight w:val="none"/>
                      <w:lang w:val="en-US" w:eastAsia="zh-CN"/>
                    </w:rPr>
                    <w:t>发布的2025年1个评价基准年的质量数据，因此本次评价对标</w:t>
                  </w:r>
                  <w:r>
                    <w:rPr>
                      <w:rFonts w:hint="eastAsia" w:ascii="Times New Roman" w:hAnsi="Times New Roman" w:cs="Times New Roman"/>
                      <w:b w:val="0"/>
                      <w:bCs/>
                      <w:color w:val="auto"/>
                      <w:sz w:val="21"/>
                      <w:szCs w:val="21"/>
                      <w:highlight w:val="none"/>
                      <w:lang w:val="en-US" w:eastAsia="zh-CN"/>
                    </w:rPr>
                    <w:t>″</w:t>
                  </w:r>
                  <w:r>
                    <w:rPr>
                      <w:rFonts w:hint="eastAsia" w:ascii="Times New Roman" w:hAnsi="Times New Roman" w:eastAsia="宋体" w:cs="Times New Roman"/>
                      <w:b w:val="0"/>
                      <w:bCs/>
                      <w:color w:val="auto"/>
                      <w:sz w:val="21"/>
                      <w:szCs w:val="21"/>
                      <w:highlight w:val="none"/>
                      <w:lang w:val="en-US" w:eastAsia="zh-CN"/>
                    </w:rPr>
                    <w:t>旧标准</w:t>
                  </w:r>
                  <w:r>
                    <w:rPr>
                      <w:rFonts w:hint="eastAsia" w:ascii="Times New Roman" w:hAnsi="Times New Roman" w:cs="Times New Roman"/>
                      <w:b w:val="0"/>
                      <w:bCs/>
                      <w:color w:val="auto"/>
                      <w:sz w:val="21"/>
                      <w:szCs w:val="21"/>
                      <w:highlight w:val="none"/>
                      <w:lang w:val="en-US" w:eastAsia="zh-CN"/>
                    </w:rPr>
                    <w:t>″</w:t>
                  </w:r>
                  <w:r>
                    <w:rPr>
                      <w:rFonts w:hint="eastAsia" w:ascii="Times New Roman" w:hAnsi="Times New Roman" w:eastAsia="宋体" w:cs="Times New Roman"/>
                      <w:b w:val="0"/>
                      <w:bCs/>
                      <w:color w:val="auto"/>
                      <w:sz w:val="21"/>
                      <w:szCs w:val="21"/>
                      <w:highlight w:val="none"/>
                      <w:lang w:val="en-US" w:eastAsia="zh-CN"/>
                    </w:rPr>
                    <w:t>进行判定。</w:t>
                  </w:r>
                </w:p>
              </w:tc>
            </w:tr>
          </w:tbl>
          <w:p w14:paraId="2735ACFE">
            <w:pPr>
              <w:keepNext w:val="0"/>
              <w:keepLines w:val="0"/>
              <w:pageBreakBefore w:val="0"/>
              <w:widowControl w:val="0"/>
              <w:kinsoku/>
              <w:wordWrap/>
              <w:overflowPunct w:val="0"/>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由上表可知，工程所在区域大气污染物中PM</w:t>
            </w:r>
            <w:r>
              <w:rPr>
                <w:rFonts w:hint="eastAsia" w:ascii="Times New Roman" w:hAnsi="Times New Roman" w:eastAsia="宋体" w:cs="Times New Roman"/>
                <w:color w:val="auto"/>
                <w:sz w:val="24"/>
                <w:szCs w:val="24"/>
                <w:highlight w:val="none"/>
                <w:vertAlign w:val="subscript"/>
                <w:lang w:val="en-US" w:eastAsia="zh-CN"/>
              </w:rPr>
              <w:t>10</w:t>
            </w:r>
            <w:r>
              <w:rPr>
                <w:rFonts w:hint="eastAsia" w:ascii="Times New Roman" w:hAnsi="Times New Roman" w:eastAsia="宋体" w:cs="Times New Roman"/>
                <w:color w:val="auto"/>
                <w:sz w:val="24"/>
                <w:szCs w:val="24"/>
                <w:highlight w:val="none"/>
                <w:lang w:val="en-US" w:eastAsia="zh-CN"/>
              </w:rPr>
              <w:t>年平均质量浓度、PM</w:t>
            </w:r>
            <w:r>
              <w:rPr>
                <w:rFonts w:hint="eastAsia" w:ascii="Times New Roman" w:hAnsi="Times New Roman" w:eastAsia="宋体" w:cs="Times New Roman"/>
                <w:color w:val="auto"/>
                <w:sz w:val="24"/>
                <w:szCs w:val="24"/>
                <w:highlight w:val="none"/>
                <w:vertAlign w:val="subscript"/>
                <w:lang w:val="en-US" w:eastAsia="zh-CN"/>
              </w:rPr>
              <w:t>2.5</w:t>
            </w:r>
            <w:r>
              <w:rPr>
                <w:rFonts w:hint="eastAsia" w:ascii="Times New Roman" w:hAnsi="Times New Roman" w:eastAsia="宋体" w:cs="Times New Roman"/>
                <w:color w:val="auto"/>
                <w:sz w:val="24"/>
                <w:szCs w:val="24"/>
                <w:highlight w:val="none"/>
                <w:lang w:val="en-US" w:eastAsia="zh-CN"/>
              </w:rPr>
              <w:t>年平均质量浓度、SO</w:t>
            </w:r>
            <w:r>
              <w:rPr>
                <w:rFonts w:hint="eastAsia" w:ascii="Times New Roman" w:hAnsi="Times New Roman" w:eastAsia="宋体" w:cs="Times New Roman"/>
                <w:color w:val="auto"/>
                <w:sz w:val="24"/>
                <w:szCs w:val="24"/>
                <w:highlight w:val="none"/>
                <w:vertAlign w:val="subscript"/>
                <w:lang w:val="en-US" w:eastAsia="zh-CN"/>
              </w:rPr>
              <w:t>2</w:t>
            </w:r>
            <w:r>
              <w:rPr>
                <w:rFonts w:hint="eastAsia" w:ascii="Times New Roman" w:hAnsi="Times New Roman" w:eastAsia="宋体" w:cs="Times New Roman"/>
                <w:color w:val="auto"/>
                <w:sz w:val="24"/>
                <w:szCs w:val="24"/>
                <w:highlight w:val="none"/>
                <w:lang w:val="en-US" w:eastAsia="zh-CN"/>
              </w:rPr>
              <w:t>年平均质量浓度、NO</w:t>
            </w:r>
            <w:r>
              <w:rPr>
                <w:rFonts w:hint="eastAsia" w:ascii="Times New Roman" w:hAnsi="Times New Roman" w:eastAsia="宋体" w:cs="Times New Roman"/>
                <w:color w:val="auto"/>
                <w:sz w:val="24"/>
                <w:szCs w:val="24"/>
                <w:highlight w:val="none"/>
                <w:vertAlign w:val="subscript"/>
                <w:lang w:val="en-US" w:eastAsia="zh-CN"/>
              </w:rPr>
              <w:t>2</w:t>
            </w:r>
            <w:r>
              <w:rPr>
                <w:rFonts w:hint="eastAsia" w:ascii="Times New Roman" w:hAnsi="Times New Roman" w:eastAsia="宋体" w:cs="Times New Roman"/>
                <w:color w:val="auto"/>
                <w:sz w:val="24"/>
                <w:szCs w:val="24"/>
                <w:highlight w:val="none"/>
                <w:lang w:val="en-US" w:eastAsia="zh-CN"/>
              </w:rPr>
              <w:t>年平均质量浓度、CO第95百分位浓度、O</w:t>
            </w:r>
            <w:r>
              <w:rPr>
                <w:rFonts w:hint="eastAsia" w:ascii="Times New Roman" w:hAnsi="Times New Roman" w:eastAsia="宋体" w:cs="Times New Roman"/>
                <w:color w:val="auto"/>
                <w:sz w:val="24"/>
                <w:szCs w:val="24"/>
                <w:highlight w:val="none"/>
                <w:vertAlign w:val="subscript"/>
                <w:lang w:val="en-US" w:eastAsia="zh-CN"/>
              </w:rPr>
              <w:t>3</w:t>
            </w:r>
            <w:r>
              <w:rPr>
                <w:rFonts w:hint="eastAsia" w:ascii="Times New Roman" w:hAnsi="Times New Roman" w:eastAsia="宋体" w:cs="Times New Roman"/>
                <w:color w:val="auto"/>
                <w:sz w:val="24"/>
                <w:szCs w:val="24"/>
                <w:highlight w:val="none"/>
                <w:lang w:val="en-US" w:eastAsia="zh-CN"/>
              </w:rPr>
              <w:t>第90百分位浓度均满足《环境空气质量标准》（GB3095-20</w:t>
            </w:r>
            <w:r>
              <w:rPr>
                <w:rFonts w:hint="eastAsia" w:cs="Times New Roman"/>
                <w:color w:val="auto"/>
                <w:sz w:val="24"/>
                <w:szCs w:val="24"/>
                <w:highlight w:val="none"/>
                <w:lang w:val="en-US" w:eastAsia="zh-CN"/>
              </w:rPr>
              <w:t>12</w:t>
            </w:r>
            <w:r>
              <w:rPr>
                <w:rFonts w:hint="eastAsia" w:ascii="Times New Roman" w:hAnsi="Times New Roman" w:eastAsia="宋体" w:cs="Times New Roman"/>
                <w:color w:val="auto"/>
                <w:sz w:val="24"/>
                <w:szCs w:val="24"/>
                <w:highlight w:val="none"/>
                <w:lang w:val="en-US" w:eastAsia="zh-CN"/>
              </w:rPr>
              <w:t>）中二级标准限值要求。因此，本工程所在评价区域属于达标区</w:t>
            </w:r>
            <w:r>
              <w:rPr>
                <w:rFonts w:hint="default" w:ascii="Times New Roman" w:hAnsi="Times New Roman" w:eastAsia="宋体" w:cs="Times New Roman"/>
                <w:color w:val="auto"/>
                <w:sz w:val="24"/>
                <w:szCs w:val="24"/>
                <w:highlight w:val="none"/>
                <w:lang w:val="en-US" w:eastAsia="zh-CN"/>
              </w:rPr>
              <w:t>。</w:t>
            </w:r>
          </w:p>
          <w:bookmarkEnd w:id="6"/>
          <w:p w14:paraId="0E529704">
            <w:pPr>
              <w:keepNext w:val="0"/>
              <w:keepLines w:val="0"/>
              <w:pageBreakBefore w:val="0"/>
              <w:widowControl w:val="0"/>
              <w:kinsoku/>
              <w:wordWrap/>
              <w:overflowPunct w:val="0"/>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（2）地表水环境质量现状</w:t>
            </w:r>
          </w:p>
          <w:p w14:paraId="31EEA79F">
            <w:pPr>
              <w:keepNext w:val="0"/>
              <w:keepLines w:val="0"/>
              <w:pageBreakBefore w:val="0"/>
              <w:widowControl w:val="0"/>
              <w:kinsoku/>
              <w:wordWrap/>
              <w:overflowPunct w:val="0"/>
              <w:topLinePunct w:val="0"/>
              <w:autoSpaceDE/>
              <w:autoSpaceDN/>
              <w:bidi w:val="0"/>
              <w:adjustRightInd/>
              <w:snapToGrid/>
              <w:spacing w:line="360" w:lineRule="auto"/>
              <w:ind w:firstLine="480" w:firstLineChars="200"/>
              <w:contextualSpacing/>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工程所在区域地表水为千河，环境区划</w:t>
            </w:r>
            <w:r>
              <w:rPr>
                <w:rFonts w:hint="default" w:ascii="Times New Roman" w:hAnsi="Times New Roman" w:eastAsia="宋体" w:cs="Times New Roman"/>
                <w:color w:val="auto"/>
                <w:sz w:val="24"/>
                <w:szCs w:val="24"/>
                <w:highlight w:val="none"/>
                <w:lang w:val="en-US" w:eastAsia="zh-CN"/>
              </w:rPr>
              <w:t>为Ⅲ</w:t>
            </w:r>
            <w:r>
              <w:rPr>
                <w:rFonts w:hint="eastAsia" w:ascii="Times New Roman" w:hAnsi="Times New Roman" w:eastAsia="宋体" w:cs="Times New Roman"/>
                <w:color w:val="auto"/>
                <w:sz w:val="24"/>
                <w:szCs w:val="24"/>
                <w:highlight w:val="none"/>
                <w:lang w:val="en-US" w:eastAsia="zh-CN"/>
              </w:rPr>
              <w:t>类</w:t>
            </w:r>
            <w:r>
              <w:rPr>
                <w:rFonts w:hint="default" w:ascii="Times New Roman" w:hAnsi="Times New Roman" w:eastAsia="宋体" w:cs="Times New Roman"/>
                <w:color w:val="auto"/>
                <w:sz w:val="24"/>
                <w:szCs w:val="24"/>
                <w:highlight w:val="none"/>
                <w:lang w:val="en-US" w:eastAsia="zh-CN"/>
              </w:rPr>
              <w:t>功</w:t>
            </w:r>
            <w:r>
              <w:rPr>
                <w:rFonts w:hint="eastAsia" w:ascii="Times New Roman" w:hAnsi="Times New Roman" w:eastAsia="宋体" w:cs="Times New Roman"/>
                <w:color w:val="auto"/>
                <w:sz w:val="24"/>
                <w:szCs w:val="24"/>
                <w:highlight w:val="none"/>
                <w:lang w:val="en-US" w:eastAsia="zh-CN"/>
              </w:rPr>
              <w:t>能区，执行《地表水环境质量》（GB3838-2002）中的</w:t>
            </w:r>
            <w:r>
              <w:rPr>
                <w:rFonts w:hint="default" w:ascii="Times New Roman" w:hAnsi="Times New Roman" w:eastAsia="宋体" w:cs="Times New Roman"/>
                <w:color w:val="auto"/>
                <w:sz w:val="24"/>
                <w:szCs w:val="24"/>
                <w:highlight w:val="none"/>
                <w:lang w:val="en-US" w:eastAsia="zh-CN"/>
              </w:rPr>
              <w:t>Ⅲ</w:t>
            </w:r>
            <w:r>
              <w:rPr>
                <w:rFonts w:hint="eastAsia" w:ascii="Times New Roman" w:hAnsi="Times New Roman" w:eastAsia="宋体" w:cs="Times New Roman"/>
                <w:color w:val="auto"/>
                <w:sz w:val="24"/>
                <w:szCs w:val="24"/>
                <w:highlight w:val="none"/>
                <w:lang w:val="en-US" w:eastAsia="zh-CN"/>
              </w:rPr>
              <w:t>类区标准要求</w:t>
            </w:r>
            <w:r>
              <w:rPr>
                <w:rFonts w:hint="default" w:ascii="Times New Roman" w:hAnsi="Times New Roman" w:eastAsia="宋体" w:cs="Times New Roman"/>
                <w:color w:val="auto"/>
                <w:sz w:val="24"/>
                <w:szCs w:val="24"/>
                <w:highlight w:val="none"/>
                <w:lang w:val="en-US" w:eastAsia="zh-CN"/>
              </w:rPr>
              <w:t>。为了解</w:t>
            </w:r>
            <w:r>
              <w:rPr>
                <w:rFonts w:hint="eastAsia" w:ascii="Times New Roman" w:hAnsi="Times New Roman" w:eastAsia="宋体" w:cs="Times New Roman"/>
                <w:color w:val="auto"/>
                <w:sz w:val="24"/>
                <w:szCs w:val="24"/>
                <w:highlight w:val="none"/>
                <w:lang w:val="en-US" w:eastAsia="zh-CN"/>
              </w:rPr>
              <w:t>工程</w:t>
            </w:r>
            <w:r>
              <w:rPr>
                <w:rFonts w:hint="default" w:ascii="Times New Roman" w:hAnsi="Times New Roman" w:eastAsia="宋体" w:cs="Times New Roman"/>
                <w:color w:val="auto"/>
                <w:sz w:val="24"/>
                <w:szCs w:val="24"/>
                <w:highlight w:val="none"/>
                <w:lang w:val="en-US" w:eastAsia="zh-CN"/>
              </w:rPr>
              <w:t>沿线河流水质现状，本次评价</w:t>
            </w:r>
            <w:r>
              <w:rPr>
                <w:rFonts w:hint="eastAsia" w:ascii="Times New Roman" w:hAnsi="Times New Roman" w:eastAsia="宋体" w:cs="Times New Roman"/>
                <w:color w:val="auto"/>
                <w:sz w:val="24"/>
                <w:szCs w:val="24"/>
                <w:highlight w:val="none"/>
                <w:lang w:val="en-US" w:eastAsia="zh-CN"/>
              </w:rPr>
              <w:t>委托陕西森美佳境环境检测有限公司于2026年4月13日对工程区千河水质进行了监测。监测情况见表3-</w:t>
            </w:r>
            <w:r>
              <w:rPr>
                <w:rFonts w:hint="eastAsia"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和附图4。</w:t>
            </w:r>
          </w:p>
          <w:p w14:paraId="5649C5C1">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w:t>
            </w:r>
            <w:r>
              <w:rPr>
                <w:rFonts w:hint="eastAsia" w:ascii="Times New Roman" w:hAnsi="Times New Roman" w:eastAsia="宋体" w:cs="Times New Roman"/>
                <w:color w:val="auto"/>
                <w:sz w:val="24"/>
                <w:szCs w:val="24"/>
                <w:highlight w:val="none"/>
                <w:lang w:val="en-US" w:eastAsia="zh-CN"/>
              </w:rPr>
              <w:t>监测断面</w:t>
            </w:r>
          </w:p>
          <w:p w14:paraId="06A61CE2">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422" w:firstLineChars="200"/>
              <w:jc w:val="center"/>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表3-2  地表水监测断面布设情况表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2100"/>
              <w:gridCol w:w="1254"/>
              <w:gridCol w:w="1678"/>
              <w:gridCol w:w="2325"/>
            </w:tblGrid>
            <w:tr w14:paraId="118C0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0" w:type="dxa"/>
                  <w:noWrap w:val="0"/>
                  <w:vAlign w:val="center"/>
                </w:tcPr>
                <w:p w14:paraId="650FB9B0">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序号</w:t>
                  </w:r>
                </w:p>
              </w:tc>
              <w:tc>
                <w:tcPr>
                  <w:tcW w:w="2100" w:type="dxa"/>
                  <w:noWrap w:val="0"/>
                  <w:vAlign w:val="center"/>
                </w:tcPr>
                <w:p w14:paraId="0C950B44">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监测断面</w:t>
                  </w:r>
                </w:p>
              </w:tc>
              <w:tc>
                <w:tcPr>
                  <w:tcW w:w="1254" w:type="dxa"/>
                  <w:noWrap w:val="0"/>
                  <w:vAlign w:val="center"/>
                </w:tcPr>
                <w:p w14:paraId="5B7D211D">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监测河流</w:t>
                  </w:r>
                </w:p>
              </w:tc>
              <w:tc>
                <w:tcPr>
                  <w:tcW w:w="1678" w:type="dxa"/>
                  <w:noWrap w:val="0"/>
                  <w:vAlign w:val="center"/>
                </w:tcPr>
                <w:p w14:paraId="779568F1">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水域功能类别</w:t>
                  </w:r>
                </w:p>
              </w:tc>
              <w:tc>
                <w:tcPr>
                  <w:tcW w:w="2325" w:type="dxa"/>
                  <w:noWrap w:val="0"/>
                  <w:vAlign w:val="center"/>
                </w:tcPr>
                <w:p w14:paraId="5FCEB01B">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监测项目</w:t>
                  </w:r>
                </w:p>
              </w:tc>
            </w:tr>
            <w:tr w14:paraId="1A1CB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670" w:type="dxa"/>
                  <w:noWrap w:val="0"/>
                  <w:vAlign w:val="center"/>
                </w:tcPr>
                <w:p w14:paraId="1DB68944">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p>
              </w:tc>
              <w:tc>
                <w:tcPr>
                  <w:tcW w:w="2100" w:type="dxa"/>
                  <w:noWrap w:val="0"/>
                  <w:vAlign w:val="center"/>
                </w:tcPr>
                <w:p w14:paraId="0CA828FC">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项目选址下游500m</w:t>
                  </w:r>
                </w:p>
              </w:tc>
              <w:tc>
                <w:tcPr>
                  <w:tcW w:w="1254" w:type="dxa"/>
                  <w:noWrap w:val="0"/>
                  <w:vAlign w:val="center"/>
                </w:tcPr>
                <w:p w14:paraId="2C362BA7">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千河</w:t>
                  </w:r>
                </w:p>
              </w:tc>
              <w:tc>
                <w:tcPr>
                  <w:tcW w:w="1678" w:type="dxa"/>
                  <w:noWrap w:val="0"/>
                  <w:vAlign w:val="center"/>
                </w:tcPr>
                <w:p w14:paraId="04154D59">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highlight w:val="none"/>
                      <w:lang w:val="en-US" w:eastAsia="zh-CN"/>
                    </w:rPr>
                    <w:t>Ⅲ</w:t>
                  </w:r>
                  <w:r>
                    <w:rPr>
                      <w:rFonts w:hint="eastAsia" w:ascii="Times New Roman" w:hAnsi="Times New Roman" w:eastAsia="宋体" w:cs="Times New Roman"/>
                      <w:color w:val="auto"/>
                      <w:sz w:val="21"/>
                      <w:szCs w:val="21"/>
                      <w:highlight w:val="none"/>
                      <w:lang w:val="en-US" w:eastAsia="zh-CN"/>
                    </w:rPr>
                    <w:t>类</w:t>
                  </w:r>
                </w:p>
              </w:tc>
              <w:tc>
                <w:tcPr>
                  <w:tcW w:w="2325" w:type="dxa"/>
                  <w:noWrap w:val="0"/>
                  <w:vAlign w:val="center"/>
                </w:tcPr>
                <w:p w14:paraId="18545DEF">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pH值、高锰酸盐指数、COD、BOD</w:t>
                  </w:r>
                  <w:r>
                    <w:rPr>
                      <w:rFonts w:hint="default" w:ascii="Times New Roman" w:hAnsi="Times New Roman" w:eastAsia="宋体" w:cs="Times New Roman"/>
                      <w:color w:val="auto"/>
                      <w:sz w:val="21"/>
                      <w:szCs w:val="21"/>
                      <w:vertAlign w:val="subscript"/>
                      <w:lang w:val="en-US" w:eastAsia="zh-CN"/>
                    </w:rPr>
                    <w:t>5</w:t>
                  </w:r>
                  <w:r>
                    <w:rPr>
                      <w:rFonts w:hint="default" w:ascii="Times New Roman" w:hAnsi="Times New Roman" w:eastAsia="宋体" w:cs="Times New Roman"/>
                      <w:color w:val="auto"/>
                      <w:sz w:val="21"/>
                      <w:szCs w:val="21"/>
                      <w:vertAlign w:val="baseline"/>
                      <w:lang w:val="en-US" w:eastAsia="zh-CN"/>
                    </w:rPr>
                    <w:t>、氨氮、总磷、悬浮物、石油类</w:t>
                  </w:r>
                </w:p>
              </w:tc>
            </w:tr>
          </w:tbl>
          <w:p w14:paraId="7E99054F">
            <w:pPr>
              <w:keepNext w:val="0"/>
              <w:keepLines w:val="0"/>
              <w:pageBreakBefore w:val="0"/>
              <w:widowControl w:val="0"/>
              <w:kinsoku/>
              <w:wordWrap/>
              <w:overflowPunct w:val="0"/>
              <w:topLinePunct w:val="0"/>
              <w:autoSpaceDE/>
              <w:autoSpaceDN/>
              <w:bidi w:val="0"/>
              <w:adjustRightInd/>
              <w:snapToGrid/>
              <w:spacing w:line="360" w:lineRule="auto"/>
              <w:ind w:firstLine="480" w:firstLineChars="200"/>
              <w:contextualSpacing/>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②监</w:t>
            </w:r>
            <w:r>
              <w:rPr>
                <w:rFonts w:hint="eastAsia" w:ascii="Times New Roman" w:hAnsi="Times New Roman" w:eastAsia="宋体" w:cs="Times New Roman"/>
                <w:color w:val="auto"/>
                <w:sz w:val="24"/>
                <w:szCs w:val="24"/>
                <w:highlight w:val="none"/>
                <w:lang w:val="en-US" w:eastAsia="zh-CN"/>
              </w:rPr>
              <w:t>测项目</w:t>
            </w:r>
          </w:p>
          <w:p w14:paraId="05B8938E">
            <w:pPr>
              <w:keepNext w:val="0"/>
              <w:keepLines w:val="0"/>
              <w:pageBreakBefore w:val="0"/>
              <w:widowControl w:val="0"/>
              <w:kinsoku/>
              <w:wordWrap/>
              <w:overflowPunct w:val="0"/>
              <w:topLinePunct w:val="0"/>
              <w:autoSpaceDE/>
              <w:autoSpaceDN/>
              <w:bidi w:val="0"/>
              <w:adjustRightInd/>
              <w:snapToGrid/>
              <w:spacing w:line="360" w:lineRule="auto"/>
              <w:ind w:firstLine="480" w:firstLineChars="200"/>
              <w:contextualSpacing/>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pH值、高锰酸盐指数、COD、BOD</w:t>
            </w:r>
            <w:r>
              <w:rPr>
                <w:rFonts w:hint="eastAsia" w:ascii="Times New Roman" w:hAnsi="Times New Roman" w:eastAsia="宋体" w:cs="Times New Roman"/>
                <w:color w:val="auto"/>
                <w:sz w:val="24"/>
                <w:szCs w:val="24"/>
                <w:highlight w:val="none"/>
                <w:vertAlign w:val="subscript"/>
                <w:lang w:val="en-US" w:eastAsia="zh-CN"/>
              </w:rPr>
              <w:t>5</w:t>
            </w:r>
            <w:r>
              <w:rPr>
                <w:rFonts w:hint="eastAsia" w:ascii="Times New Roman" w:hAnsi="Times New Roman" w:eastAsia="宋体" w:cs="Times New Roman"/>
                <w:color w:val="auto"/>
                <w:sz w:val="24"/>
                <w:szCs w:val="24"/>
                <w:highlight w:val="none"/>
                <w:lang w:val="en-US" w:eastAsia="zh-CN"/>
              </w:rPr>
              <w:t>、氨氮、总磷、悬浮物、石油类。</w:t>
            </w:r>
          </w:p>
          <w:p w14:paraId="196F5A4C">
            <w:pPr>
              <w:keepNext w:val="0"/>
              <w:keepLines w:val="0"/>
              <w:pageBreakBefore w:val="0"/>
              <w:widowControl w:val="0"/>
              <w:kinsoku/>
              <w:wordWrap/>
              <w:overflowPunct w:val="0"/>
              <w:topLinePunct w:val="0"/>
              <w:autoSpaceDE/>
              <w:autoSpaceDN/>
              <w:bidi w:val="0"/>
              <w:adjustRightInd/>
              <w:snapToGrid/>
              <w:spacing w:line="360" w:lineRule="auto"/>
              <w:ind w:firstLine="480" w:firstLineChars="200"/>
              <w:contextualSpacing/>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③采样时间</w:t>
            </w:r>
            <w:r>
              <w:rPr>
                <w:rFonts w:hint="eastAsia" w:ascii="Times New Roman" w:hAnsi="Times New Roman" w:eastAsia="宋体" w:cs="Times New Roman"/>
                <w:color w:val="auto"/>
                <w:sz w:val="24"/>
                <w:szCs w:val="24"/>
                <w:highlight w:val="none"/>
                <w:lang w:val="en-US" w:eastAsia="zh-CN"/>
              </w:rPr>
              <w:t>及频次</w:t>
            </w:r>
          </w:p>
          <w:p w14:paraId="699E87D6">
            <w:pPr>
              <w:keepNext w:val="0"/>
              <w:keepLines w:val="0"/>
              <w:pageBreakBefore w:val="0"/>
              <w:widowControl w:val="0"/>
              <w:kinsoku/>
              <w:wordWrap/>
              <w:overflowPunct w:val="0"/>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采样时间为202</w:t>
            </w:r>
            <w:r>
              <w:rPr>
                <w:rFonts w:hint="eastAsia"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13</w:t>
            </w:r>
            <w:r>
              <w:rPr>
                <w:rFonts w:hint="default" w:ascii="Times New Roman" w:hAnsi="Times New Roman" w:eastAsia="宋体" w:cs="Times New Roman"/>
                <w:color w:val="auto"/>
                <w:sz w:val="24"/>
                <w:szCs w:val="24"/>
                <w:highlight w:val="none"/>
                <w:lang w:val="en-US" w:eastAsia="zh-CN"/>
              </w:rPr>
              <w:t>日，</w:t>
            </w:r>
            <w:r>
              <w:rPr>
                <w:rFonts w:hint="eastAsia" w:cs="Times New Roman"/>
                <w:color w:val="auto"/>
                <w:sz w:val="24"/>
                <w:szCs w:val="24"/>
                <w:highlight w:val="none"/>
                <w:lang w:val="en-US" w:eastAsia="zh-CN"/>
              </w:rPr>
              <w:t>监测一天，每天2次</w:t>
            </w:r>
            <w:r>
              <w:rPr>
                <w:rFonts w:hint="default" w:ascii="Times New Roman" w:hAnsi="Times New Roman" w:eastAsia="宋体" w:cs="Times New Roman"/>
                <w:color w:val="auto"/>
                <w:sz w:val="24"/>
                <w:szCs w:val="24"/>
                <w:highlight w:val="none"/>
                <w:lang w:val="en-US" w:eastAsia="zh-CN"/>
              </w:rPr>
              <w:t>。</w:t>
            </w:r>
          </w:p>
          <w:p w14:paraId="618A80BF">
            <w:pPr>
              <w:keepNext w:val="0"/>
              <w:keepLines w:val="0"/>
              <w:pageBreakBefore w:val="0"/>
              <w:widowControl w:val="0"/>
              <w:kinsoku/>
              <w:wordWrap/>
              <w:overflowPunct w:val="0"/>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微软雅黑" w:cs="Times New Roman"/>
                <w:color w:val="auto"/>
                <w:sz w:val="24"/>
                <w:szCs w:val="24"/>
                <w:highlight w:val="none"/>
                <w:lang w:val="en-US" w:eastAsia="zh-CN"/>
              </w:rPr>
              <w:t>④</w:t>
            </w:r>
            <w:r>
              <w:rPr>
                <w:rFonts w:hint="default" w:ascii="Times New Roman" w:hAnsi="Times New Roman" w:eastAsia="宋体" w:cs="Times New Roman"/>
                <w:color w:val="auto"/>
                <w:sz w:val="24"/>
                <w:szCs w:val="24"/>
                <w:highlight w:val="none"/>
                <w:lang w:val="en-US" w:eastAsia="zh-CN"/>
              </w:rPr>
              <w:t>监测分</w:t>
            </w:r>
            <w:r>
              <w:rPr>
                <w:rFonts w:hint="eastAsia" w:ascii="Times New Roman" w:hAnsi="Times New Roman" w:eastAsia="宋体" w:cs="Times New Roman"/>
                <w:color w:val="auto"/>
                <w:sz w:val="24"/>
                <w:szCs w:val="24"/>
                <w:highlight w:val="none"/>
                <w:lang w:val="en-US" w:eastAsia="zh-CN"/>
              </w:rPr>
              <w:t>析方法</w:t>
            </w:r>
          </w:p>
          <w:p w14:paraId="3B4E9F84">
            <w:pPr>
              <w:keepNext w:val="0"/>
              <w:keepLines w:val="0"/>
              <w:pageBreakBefore w:val="0"/>
              <w:widowControl w:val="0"/>
              <w:kinsoku/>
              <w:wordWrap/>
              <w:overflowPunct w:val="0"/>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地表水监测项目及分析方法见表3-</w:t>
            </w:r>
            <w:r>
              <w:rPr>
                <w:rFonts w:hint="eastAsia"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val="en-US" w:eastAsia="zh-CN"/>
              </w:rPr>
              <w:t>。</w:t>
            </w:r>
          </w:p>
          <w:p w14:paraId="5CB146A3">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422" w:firstLineChars="20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w:t>
            </w:r>
            <w:r>
              <w:rPr>
                <w:rFonts w:hint="eastAsia" w:cs="Times New Roman"/>
                <w:b/>
                <w:bCs/>
                <w:color w:val="auto"/>
                <w:sz w:val="21"/>
                <w:szCs w:val="21"/>
                <w:lang w:val="en-US" w:eastAsia="zh-CN"/>
              </w:rPr>
              <w:t xml:space="preserve">3 </w:t>
            </w:r>
            <w:r>
              <w:rPr>
                <w:rFonts w:hint="default" w:ascii="Times New Roman" w:hAnsi="Times New Roman" w:eastAsia="宋体" w:cs="Times New Roman"/>
                <w:b/>
                <w:bCs/>
                <w:color w:val="auto"/>
                <w:sz w:val="21"/>
                <w:szCs w:val="21"/>
                <w:lang w:val="en-US" w:eastAsia="zh-CN"/>
              </w:rPr>
              <w:t xml:space="preserve"> 地表水监测项目及分析方法</w:t>
            </w:r>
          </w:p>
          <w:tbl>
            <w:tblPr>
              <w:tblStyle w:val="17"/>
              <w:tblW w:w="8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127"/>
              <w:gridCol w:w="2584"/>
              <w:gridCol w:w="2659"/>
              <w:gridCol w:w="1002"/>
            </w:tblGrid>
            <w:tr w14:paraId="4A977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666" w:type="dxa"/>
                  <w:noWrap w:val="0"/>
                  <w:vAlign w:val="center"/>
                </w:tcPr>
                <w:p w14:paraId="52E7D6B7">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序号</w:t>
                  </w:r>
                </w:p>
              </w:tc>
              <w:tc>
                <w:tcPr>
                  <w:tcW w:w="1127" w:type="dxa"/>
                  <w:noWrap w:val="0"/>
                  <w:vAlign w:val="center"/>
                </w:tcPr>
                <w:p w14:paraId="2852CB97">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监测项目</w:t>
                  </w:r>
                </w:p>
              </w:tc>
              <w:tc>
                <w:tcPr>
                  <w:tcW w:w="2584" w:type="dxa"/>
                  <w:noWrap w:val="0"/>
                  <w:vAlign w:val="center"/>
                </w:tcPr>
                <w:p w14:paraId="735F3DD8">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分析方法</w:t>
                  </w:r>
                </w:p>
              </w:tc>
              <w:tc>
                <w:tcPr>
                  <w:tcW w:w="2659" w:type="dxa"/>
                  <w:noWrap w:val="0"/>
                  <w:vAlign w:val="center"/>
                </w:tcPr>
                <w:p w14:paraId="2C043355">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仪器设备名称/编号</w:t>
                  </w:r>
                </w:p>
              </w:tc>
              <w:tc>
                <w:tcPr>
                  <w:tcW w:w="1002" w:type="dxa"/>
                  <w:noWrap w:val="0"/>
                  <w:vAlign w:val="center"/>
                </w:tcPr>
                <w:p w14:paraId="7C1F5F29">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检出限</w:t>
                  </w:r>
                </w:p>
              </w:tc>
            </w:tr>
            <w:tr w14:paraId="6FDAD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666" w:type="dxa"/>
                  <w:noWrap w:val="0"/>
                  <w:vAlign w:val="center"/>
                </w:tcPr>
                <w:p w14:paraId="2660723D">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p>
              </w:tc>
              <w:tc>
                <w:tcPr>
                  <w:tcW w:w="1127" w:type="dxa"/>
                  <w:noWrap w:val="0"/>
                  <w:vAlign w:val="center"/>
                </w:tcPr>
                <w:p w14:paraId="4C19B933">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pH值</w:t>
                  </w:r>
                </w:p>
              </w:tc>
              <w:tc>
                <w:tcPr>
                  <w:tcW w:w="2584" w:type="dxa"/>
                  <w:noWrap w:val="0"/>
                  <w:vAlign w:val="center"/>
                </w:tcPr>
                <w:p w14:paraId="5B4C9F16">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水质 pH值的测定</w:t>
                  </w:r>
                  <w:r>
                    <w:rPr>
                      <w:rFonts w:hint="eastAsia" w:cs="Times New Roman"/>
                      <w:color w:val="auto"/>
                      <w:sz w:val="21"/>
                      <w:szCs w:val="21"/>
                      <w:vertAlign w:val="baseline"/>
                      <w:lang w:val="en-US" w:eastAsia="zh-CN"/>
                    </w:rPr>
                    <w:t xml:space="preserve"> </w:t>
                  </w:r>
                  <w:r>
                    <w:rPr>
                      <w:rFonts w:hint="default" w:ascii="Times New Roman" w:hAnsi="Times New Roman" w:eastAsia="宋体" w:cs="Times New Roman"/>
                      <w:color w:val="auto"/>
                      <w:sz w:val="21"/>
                      <w:szCs w:val="21"/>
                      <w:vertAlign w:val="baseline"/>
                      <w:lang w:val="en-US" w:eastAsia="zh-CN"/>
                    </w:rPr>
                    <w:t>电极法HJ 1147-2020</w:t>
                  </w:r>
                </w:p>
              </w:tc>
              <w:tc>
                <w:tcPr>
                  <w:tcW w:w="2659" w:type="dxa"/>
                  <w:noWrap w:val="0"/>
                  <w:vAlign w:val="center"/>
                </w:tcPr>
                <w:p w14:paraId="4E7D2380">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PH-100 metcr笔 </w:t>
                  </w:r>
                  <w:r>
                    <w:rPr>
                      <w:rFonts w:hint="eastAsia" w:ascii="Times New Roman" w:hAnsi="Times New Roman" w:eastAsia="宋体" w:cs="Times New Roman"/>
                      <w:color w:val="auto"/>
                      <w:sz w:val="21"/>
                      <w:szCs w:val="21"/>
                      <w:vertAlign w:val="baseline"/>
                      <w:lang w:val="en-US" w:eastAsia="zh-CN"/>
                    </w:rPr>
                    <w:t>式酸度计</w:t>
                  </w:r>
                </w:p>
                <w:p w14:paraId="3BE02871">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SMJJ-YQ-216(2026.07.02)</w:t>
                  </w:r>
                </w:p>
              </w:tc>
              <w:tc>
                <w:tcPr>
                  <w:tcW w:w="1002" w:type="dxa"/>
                  <w:noWrap w:val="0"/>
                  <w:vAlign w:val="center"/>
                </w:tcPr>
                <w:p w14:paraId="7B578BC7">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r>
            <w:tr w14:paraId="78241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666" w:type="dxa"/>
                  <w:noWrap w:val="0"/>
                  <w:vAlign w:val="center"/>
                </w:tcPr>
                <w:p w14:paraId="7F35C202">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2</w:t>
                  </w:r>
                </w:p>
              </w:tc>
              <w:tc>
                <w:tcPr>
                  <w:tcW w:w="1127" w:type="dxa"/>
                  <w:noWrap w:val="0"/>
                  <w:vAlign w:val="center"/>
                </w:tcPr>
                <w:p w14:paraId="47590D71">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高锰酸盐指数</w:t>
                  </w:r>
                </w:p>
              </w:tc>
              <w:tc>
                <w:tcPr>
                  <w:tcW w:w="2584" w:type="dxa"/>
                  <w:noWrap w:val="0"/>
                  <w:vAlign w:val="center"/>
                </w:tcPr>
                <w:p w14:paraId="53EB58A7">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水质 高锰酸盐指数的测定GB</w:t>
                  </w:r>
                  <w:r>
                    <w:rPr>
                      <w:rFonts w:hint="eastAsia" w:cs="Times New Roman"/>
                      <w:color w:val="auto"/>
                      <w:sz w:val="21"/>
                      <w:szCs w:val="21"/>
                      <w:vertAlign w:val="baseline"/>
                      <w:lang w:val="en-US" w:eastAsia="zh-CN"/>
                    </w:rPr>
                    <w:t xml:space="preserve">/T </w:t>
                  </w:r>
                  <w:r>
                    <w:rPr>
                      <w:rFonts w:hint="default" w:ascii="Times New Roman" w:hAnsi="Times New Roman" w:eastAsia="宋体" w:cs="Times New Roman"/>
                      <w:color w:val="auto"/>
                      <w:sz w:val="21"/>
                      <w:szCs w:val="21"/>
                      <w:vertAlign w:val="baseline"/>
                      <w:lang w:val="en-US" w:eastAsia="zh-CN"/>
                    </w:rPr>
                    <w:t>11892-</w:t>
                  </w:r>
                  <w:r>
                    <w:rPr>
                      <w:rFonts w:hint="eastAsia" w:cs="Times New Roman"/>
                      <w:color w:val="auto"/>
                      <w:sz w:val="21"/>
                      <w:szCs w:val="21"/>
                      <w:vertAlign w:val="baseline"/>
                      <w:lang w:val="en-US" w:eastAsia="zh-CN"/>
                    </w:rPr>
                    <w:t>19</w:t>
                  </w:r>
                  <w:r>
                    <w:rPr>
                      <w:rFonts w:hint="default" w:ascii="Times New Roman" w:hAnsi="Times New Roman" w:eastAsia="宋体" w:cs="Times New Roman"/>
                      <w:color w:val="auto"/>
                      <w:sz w:val="21"/>
                      <w:szCs w:val="21"/>
                      <w:vertAlign w:val="baseline"/>
                      <w:lang w:val="en-US" w:eastAsia="zh-CN"/>
                    </w:rPr>
                    <w:t>89</w:t>
                  </w:r>
                </w:p>
              </w:tc>
              <w:tc>
                <w:tcPr>
                  <w:tcW w:w="2659" w:type="dxa"/>
                  <w:noWrap w:val="0"/>
                  <w:vAlign w:val="center"/>
                </w:tcPr>
                <w:p w14:paraId="55D72F4B">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lang w:val="en-US" w:eastAsia="zh-CN"/>
                    </w:rPr>
                  </w:pPr>
                  <w:r>
                    <w:rPr>
                      <w:rFonts w:hint="eastAsia" w:cs="Times New Roman"/>
                      <w:color w:val="auto"/>
                      <w:sz w:val="21"/>
                      <w:szCs w:val="21"/>
                      <w:vertAlign w:val="baseline"/>
                      <w:lang w:val="en-US" w:eastAsia="zh-CN"/>
                    </w:rPr>
                    <w:t>25mL</w:t>
                  </w:r>
                  <w:r>
                    <w:rPr>
                      <w:rFonts w:hint="default" w:ascii="Times New Roman" w:hAnsi="Times New Roman" w:eastAsia="宋体" w:cs="Times New Roman"/>
                      <w:color w:val="auto"/>
                      <w:sz w:val="21"/>
                      <w:szCs w:val="21"/>
                      <w:vertAlign w:val="baseline"/>
                      <w:lang w:val="en-US" w:eastAsia="zh-CN"/>
                    </w:rPr>
                    <w:t>酸式滴定管</w:t>
                  </w:r>
                </w:p>
              </w:tc>
              <w:tc>
                <w:tcPr>
                  <w:tcW w:w="1002" w:type="dxa"/>
                  <w:noWrap w:val="0"/>
                  <w:vAlign w:val="center"/>
                </w:tcPr>
                <w:p w14:paraId="6D53458D">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lang w:val="en-US" w:eastAsia="zh-CN"/>
                    </w:rPr>
                  </w:pPr>
                  <w:r>
                    <w:rPr>
                      <w:rFonts w:hint="eastAsia"/>
                      <w:color w:val="auto"/>
                      <w:lang w:val="en-US" w:eastAsia="zh-CN"/>
                    </w:rPr>
                    <w:t>0.125</w:t>
                  </w:r>
                </w:p>
              </w:tc>
            </w:tr>
            <w:tr w14:paraId="3049F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666" w:type="dxa"/>
                  <w:noWrap w:val="0"/>
                  <w:vAlign w:val="center"/>
                </w:tcPr>
                <w:p w14:paraId="4779695C">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3</w:t>
                  </w:r>
                </w:p>
              </w:tc>
              <w:tc>
                <w:tcPr>
                  <w:tcW w:w="1127" w:type="dxa"/>
                  <w:noWrap w:val="0"/>
                  <w:vAlign w:val="center"/>
                </w:tcPr>
                <w:p w14:paraId="56916EC5">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COD</w:t>
                  </w:r>
                </w:p>
              </w:tc>
              <w:tc>
                <w:tcPr>
                  <w:tcW w:w="2584" w:type="dxa"/>
                  <w:noWrap w:val="0"/>
                  <w:vAlign w:val="center"/>
                </w:tcPr>
                <w:p w14:paraId="7B52A5C2">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水质 化学需氧量的测定</w:t>
                  </w:r>
                </w:p>
                <w:p w14:paraId="3BD6D443">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重铬酸盐法 HJ 828-2017</w:t>
                  </w:r>
                </w:p>
              </w:tc>
              <w:tc>
                <w:tcPr>
                  <w:tcW w:w="2659" w:type="dxa"/>
                  <w:noWrap w:val="0"/>
                  <w:vAlign w:val="center"/>
                </w:tcPr>
                <w:p w14:paraId="3592A10E">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50mL</w:t>
                  </w:r>
                  <w:r>
                    <w:rPr>
                      <w:rFonts w:hint="default" w:ascii="Times New Roman" w:hAnsi="Times New Roman" w:eastAsia="宋体" w:cs="Times New Roman"/>
                      <w:color w:val="auto"/>
                      <w:sz w:val="21"/>
                      <w:szCs w:val="21"/>
                      <w:vertAlign w:val="baseline"/>
                      <w:lang w:val="en-US" w:eastAsia="zh-CN"/>
                    </w:rPr>
                    <w:t>酸式滴定管</w:t>
                  </w:r>
                </w:p>
              </w:tc>
              <w:tc>
                <w:tcPr>
                  <w:tcW w:w="1002" w:type="dxa"/>
                  <w:noWrap w:val="0"/>
                  <w:vAlign w:val="center"/>
                </w:tcPr>
                <w:p w14:paraId="5AE11AF0">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4mg/L</w:t>
                  </w:r>
                </w:p>
              </w:tc>
            </w:tr>
            <w:tr w14:paraId="1EF18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7" w:hRule="atLeast"/>
                <w:jc w:val="center"/>
              </w:trPr>
              <w:tc>
                <w:tcPr>
                  <w:tcW w:w="666" w:type="dxa"/>
                  <w:noWrap w:val="0"/>
                  <w:vAlign w:val="center"/>
                </w:tcPr>
                <w:p w14:paraId="15DFE007">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4</w:t>
                  </w:r>
                </w:p>
              </w:tc>
              <w:tc>
                <w:tcPr>
                  <w:tcW w:w="1127" w:type="dxa"/>
                  <w:noWrap w:val="0"/>
                  <w:vAlign w:val="center"/>
                </w:tcPr>
                <w:p w14:paraId="186E0DE1">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2584" w:type="dxa"/>
                  <w:noWrap w:val="0"/>
                  <w:vAlign w:val="center"/>
                </w:tcPr>
                <w:p w14:paraId="5E7C4B62">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水质 五日生化需氧量</w:t>
                  </w:r>
                </w:p>
                <w:p w14:paraId="77CFEDBA">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（BOD5）的测定 稀释与接种法 HJ 505-2009</w:t>
                  </w:r>
                </w:p>
              </w:tc>
              <w:tc>
                <w:tcPr>
                  <w:tcW w:w="2659" w:type="dxa"/>
                  <w:noWrap w:val="0"/>
                  <w:vAlign w:val="center"/>
                </w:tcPr>
                <w:p w14:paraId="7F8F4C93">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25mL酸 </w:t>
                  </w:r>
                  <w:r>
                    <w:rPr>
                      <w:rFonts w:hint="eastAsia" w:ascii="Times New Roman" w:hAnsi="Times New Roman" w:eastAsia="宋体" w:cs="Times New Roman"/>
                      <w:color w:val="auto"/>
                      <w:sz w:val="21"/>
                      <w:szCs w:val="21"/>
                      <w:vertAlign w:val="baseline"/>
                      <w:lang w:val="en-US" w:eastAsia="zh-CN"/>
                    </w:rPr>
                    <w:t xml:space="preserve">式滴定管 </w:t>
                  </w:r>
                </w:p>
                <w:p w14:paraId="6CB52568">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 xml:space="preserve">SMJJ-107 (2027.10.29) </w:t>
                  </w:r>
                </w:p>
                <w:p w14:paraId="2C135BE2">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 xml:space="preserve">SPX-150B-Z生化培养箱 </w:t>
                  </w:r>
                </w:p>
                <w:p w14:paraId="4C78BCD1">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SMJJ-YQ-060(2026.10.22)</w:t>
                  </w:r>
                </w:p>
              </w:tc>
              <w:tc>
                <w:tcPr>
                  <w:tcW w:w="1002" w:type="dxa"/>
                  <w:noWrap w:val="0"/>
                  <w:vAlign w:val="center"/>
                </w:tcPr>
                <w:p w14:paraId="333002C4">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0.5mg/L</w:t>
                  </w:r>
                </w:p>
              </w:tc>
            </w:tr>
            <w:tr w14:paraId="4A6E2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666" w:type="dxa"/>
                  <w:noWrap w:val="0"/>
                  <w:vAlign w:val="center"/>
                </w:tcPr>
                <w:p w14:paraId="5931B4EC">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5</w:t>
                  </w:r>
                </w:p>
              </w:tc>
              <w:tc>
                <w:tcPr>
                  <w:tcW w:w="1127" w:type="dxa"/>
                  <w:noWrap w:val="0"/>
                  <w:vAlign w:val="center"/>
                </w:tcPr>
                <w:p w14:paraId="728EF9F4">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氨氮</w:t>
                  </w:r>
                </w:p>
              </w:tc>
              <w:tc>
                <w:tcPr>
                  <w:tcW w:w="2584" w:type="dxa"/>
                  <w:noWrap w:val="0"/>
                  <w:vAlign w:val="center"/>
                </w:tcPr>
                <w:p w14:paraId="68DD0F9A">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水质 氨氮的测定纳氏试剂分光光度法HJ 535-2009</w:t>
                  </w:r>
                </w:p>
              </w:tc>
              <w:tc>
                <w:tcPr>
                  <w:tcW w:w="2659" w:type="dxa"/>
                  <w:noWrap w:val="0"/>
                  <w:vAlign w:val="center"/>
                </w:tcPr>
                <w:p w14:paraId="3DA2BEFD">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UV</w:t>
                  </w:r>
                  <w:r>
                    <w:rPr>
                      <w:rFonts w:hint="eastAsia" w:ascii="Times New Roman" w:hAnsi="Times New Roman" w:eastAsia="宋体" w:cs="Times New Roman"/>
                      <w:color w:val="auto"/>
                      <w:sz w:val="21"/>
                      <w:szCs w:val="21"/>
                      <w:vertAlign w:val="baseline"/>
                      <w:lang w:val="en-US" w:eastAsia="zh-CN"/>
                    </w:rPr>
                    <w:t>-5200</w:t>
                  </w:r>
                  <w:r>
                    <w:rPr>
                      <w:rFonts w:hint="default" w:ascii="Times New Roman" w:hAnsi="Times New Roman" w:eastAsia="宋体" w:cs="Times New Roman"/>
                      <w:color w:val="auto"/>
                      <w:sz w:val="21"/>
                      <w:szCs w:val="21"/>
                      <w:vertAlign w:val="baseline"/>
                      <w:lang w:val="en-US" w:eastAsia="zh-CN"/>
                    </w:rPr>
                    <w:t xml:space="preserve"> 紫外可见分光光度计</w:t>
                  </w:r>
                  <w:r>
                    <w:rPr>
                      <w:rFonts w:hint="eastAsia" w:ascii="Times New Roman" w:hAnsi="Times New Roman" w:eastAsia="宋体" w:cs="Times New Roman"/>
                      <w:color w:val="auto"/>
                      <w:sz w:val="21"/>
                      <w:szCs w:val="21"/>
                      <w:vertAlign w:val="baseline"/>
                      <w:lang w:val="en-US" w:eastAsia="zh-CN"/>
                    </w:rPr>
                    <w:t>S</w:t>
                  </w:r>
                  <w:r>
                    <w:rPr>
                      <w:rFonts w:hint="default" w:ascii="Times New Roman" w:hAnsi="Times New Roman" w:eastAsia="宋体" w:cs="Times New Roman"/>
                      <w:color w:val="auto"/>
                      <w:sz w:val="21"/>
                      <w:szCs w:val="21"/>
                      <w:vertAlign w:val="baseline"/>
                      <w:lang w:val="en-US" w:eastAsia="zh-CN"/>
                    </w:rPr>
                    <w:t>MJ</w:t>
                  </w:r>
                  <w:r>
                    <w:rPr>
                      <w:rFonts w:hint="eastAsia" w:ascii="Times New Roman" w:hAnsi="Times New Roman" w:eastAsia="宋体" w:cs="Times New Roman"/>
                      <w:color w:val="auto"/>
                      <w:sz w:val="21"/>
                      <w:szCs w:val="21"/>
                      <w:vertAlign w:val="baseline"/>
                      <w:lang w:val="en-US" w:eastAsia="zh-CN"/>
                    </w:rPr>
                    <w:t>J-YQ-171(2027.04.01)</w:t>
                  </w:r>
                </w:p>
              </w:tc>
              <w:tc>
                <w:tcPr>
                  <w:tcW w:w="1002" w:type="dxa"/>
                  <w:noWrap w:val="0"/>
                  <w:vAlign w:val="center"/>
                </w:tcPr>
                <w:p w14:paraId="5C243337">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0.025mg/L</w:t>
                  </w:r>
                </w:p>
              </w:tc>
            </w:tr>
            <w:tr w14:paraId="2F14D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666" w:type="dxa"/>
                  <w:noWrap w:val="0"/>
                  <w:vAlign w:val="center"/>
                </w:tcPr>
                <w:p w14:paraId="3739AA41">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6</w:t>
                  </w:r>
                </w:p>
              </w:tc>
              <w:tc>
                <w:tcPr>
                  <w:tcW w:w="1127" w:type="dxa"/>
                  <w:noWrap w:val="0"/>
                  <w:vAlign w:val="center"/>
                </w:tcPr>
                <w:p w14:paraId="5AEBE86D">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总磷</w:t>
                  </w:r>
                </w:p>
              </w:tc>
              <w:tc>
                <w:tcPr>
                  <w:tcW w:w="2584" w:type="dxa"/>
                  <w:noWrap w:val="0"/>
                  <w:vAlign w:val="center"/>
                </w:tcPr>
                <w:p w14:paraId="237A3F61">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水质 总磷的测定</w:t>
                  </w:r>
                  <w:r>
                    <w:rPr>
                      <w:rFonts w:hint="eastAsia" w:cs="Times New Roman"/>
                      <w:color w:val="auto"/>
                      <w:sz w:val="21"/>
                      <w:szCs w:val="21"/>
                      <w:vertAlign w:val="baseline"/>
                      <w:lang w:val="en-US" w:eastAsia="zh-CN"/>
                    </w:rPr>
                    <w:t xml:space="preserve"> </w:t>
                  </w:r>
                  <w:r>
                    <w:rPr>
                      <w:rFonts w:hint="default" w:ascii="Times New Roman" w:hAnsi="Times New Roman" w:eastAsia="宋体" w:cs="Times New Roman"/>
                      <w:color w:val="auto"/>
                      <w:sz w:val="21"/>
                      <w:szCs w:val="21"/>
                      <w:vertAlign w:val="baseline"/>
                      <w:lang w:val="en-US" w:eastAsia="zh-CN"/>
                    </w:rPr>
                    <w:t>钼酸铵分光光度法</w:t>
                  </w:r>
                </w:p>
                <w:p w14:paraId="7B6D3DBA">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GB</w:t>
                  </w:r>
                  <w:r>
                    <w:rPr>
                      <w:rFonts w:hint="eastAsia" w:cs="Times New Roman"/>
                      <w:color w:val="auto"/>
                      <w:sz w:val="21"/>
                      <w:szCs w:val="21"/>
                      <w:vertAlign w:val="baseline"/>
                      <w:lang w:val="en-US" w:eastAsia="zh-CN"/>
                    </w:rPr>
                    <w:t>/T</w:t>
                  </w:r>
                  <w:r>
                    <w:rPr>
                      <w:rFonts w:hint="default" w:ascii="Times New Roman" w:hAnsi="Times New Roman" w:eastAsia="宋体" w:cs="Times New Roman"/>
                      <w:color w:val="auto"/>
                      <w:sz w:val="21"/>
                      <w:szCs w:val="21"/>
                      <w:vertAlign w:val="baseline"/>
                      <w:lang w:val="en-US" w:eastAsia="zh-CN"/>
                    </w:rPr>
                    <w:t xml:space="preserve"> 11893-</w:t>
                  </w:r>
                  <w:r>
                    <w:rPr>
                      <w:rFonts w:hint="eastAsia" w:cs="Times New Roman"/>
                      <w:color w:val="auto"/>
                      <w:sz w:val="21"/>
                      <w:szCs w:val="21"/>
                      <w:vertAlign w:val="baseline"/>
                      <w:lang w:val="en-US" w:eastAsia="zh-CN"/>
                    </w:rPr>
                    <w:t>19</w:t>
                  </w:r>
                  <w:r>
                    <w:rPr>
                      <w:rFonts w:hint="default" w:ascii="Times New Roman" w:hAnsi="Times New Roman" w:eastAsia="宋体" w:cs="Times New Roman"/>
                      <w:color w:val="auto"/>
                      <w:sz w:val="21"/>
                      <w:szCs w:val="21"/>
                      <w:vertAlign w:val="baseline"/>
                      <w:lang w:val="en-US" w:eastAsia="zh-CN"/>
                    </w:rPr>
                    <w:t>89</w:t>
                  </w:r>
                </w:p>
              </w:tc>
              <w:tc>
                <w:tcPr>
                  <w:tcW w:w="2659" w:type="dxa"/>
                  <w:noWrap w:val="0"/>
                  <w:vAlign w:val="center"/>
                </w:tcPr>
                <w:p w14:paraId="06CAD508">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UV</w:t>
                  </w:r>
                  <w:r>
                    <w:rPr>
                      <w:rFonts w:hint="eastAsia" w:ascii="Times New Roman" w:hAnsi="Times New Roman" w:eastAsia="宋体" w:cs="Times New Roman"/>
                      <w:color w:val="auto"/>
                      <w:sz w:val="21"/>
                      <w:szCs w:val="21"/>
                      <w:vertAlign w:val="baseline"/>
                      <w:lang w:val="en-US" w:eastAsia="zh-CN"/>
                    </w:rPr>
                    <w:t>-1700</w:t>
                  </w:r>
                  <w:r>
                    <w:rPr>
                      <w:rFonts w:hint="default" w:ascii="Times New Roman" w:hAnsi="Times New Roman" w:eastAsia="宋体" w:cs="Times New Roman"/>
                      <w:color w:val="auto"/>
                      <w:sz w:val="21"/>
                      <w:szCs w:val="21"/>
                      <w:vertAlign w:val="baseline"/>
                      <w:lang w:val="en-US" w:eastAsia="zh-CN"/>
                    </w:rPr>
                    <w:t xml:space="preserve"> 紫外可见分光光度计SMJJ-YQ-025(2026.09.15)</w:t>
                  </w:r>
                </w:p>
              </w:tc>
              <w:tc>
                <w:tcPr>
                  <w:tcW w:w="1002" w:type="dxa"/>
                  <w:noWrap w:val="0"/>
                  <w:vAlign w:val="center"/>
                </w:tcPr>
                <w:p w14:paraId="47D9F216">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0.01mg/L</w:t>
                  </w:r>
                </w:p>
              </w:tc>
            </w:tr>
            <w:tr w14:paraId="022B4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7" w:hRule="atLeast"/>
                <w:jc w:val="center"/>
              </w:trPr>
              <w:tc>
                <w:tcPr>
                  <w:tcW w:w="666" w:type="dxa"/>
                  <w:noWrap w:val="0"/>
                  <w:vAlign w:val="center"/>
                </w:tcPr>
                <w:p w14:paraId="452F740A">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7</w:t>
                  </w:r>
                </w:p>
              </w:tc>
              <w:tc>
                <w:tcPr>
                  <w:tcW w:w="1127" w:type="dxa"/>
                  <w:noWrap w:val="0"/>
                  <w:vAlign w:val="center"/>
                </w:tcPr>
                <w:p w14:paraId="03727423">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悬浮物</w:t>
                  </w:r>
                </w:p>
              </w:tc>
              <w:tc>
                <w:tcPr>
                  <w:tcW w:w="2584" w:type="dxa"/>
                  <w:noWrap w:val="0"/>
                  <w:vAlign w:val="center"/>
                </w:tcPr>
                <w:p w14:paraId="4A61468B">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水质 悬浮物的测定</w:t>
                  </w:r>
                  <w:r>
                    <w:rPr>
                      <w:rFonts w:hint="eastAsia" w:cs="Times New Roman"/>
                      <w:color w:val="auto"/>
                      <w:sz w:val="21"/>
                      <w:szCs w:val="21"/>
                      <w:vertAlign w:val="baseline"/>
                      <w:lang w:val="en-US" w:eastAsia="zh-CN"/>
                    </w:rPr>
                    <w:t xml:space="preserve"> </w:t>
                  </w:r>
                  <w:r>
                    <w:rPr>
                      <w:rFonts w:hint="default" w:ascii="Times New Roman" w:hAnsi="Times New Roman" w:eastAsia="宋体" w:cs="Times New Roman"/>
                      <w:color w:val="auto"/>
                      <w:sz w:val="21"/>
                      <w:szCs w:val="21"/>
                      <w:vertAlign w:val="baseline"/>
                      <w:lang w:val="en-US" w:eastAsia="zh-CN"/>
                    </w:rPr>
                    <w:t>重量法GB</w:t>
                  </w:r>
                  <w:r>
                    <w:rPr>
                      <w:rFonts w:hint="eastAsia" w:cs="Times New Roman"/>
                      <w:color w:val="auto"/>
                      <w:sz w:val="21"/>
                      <w:szCs w:val="21"/>
                      <w:vertAlign w:val="baseline"/>
                      <w:lang w:val="en-US" w:eastAsia="zh-CN"/>
                    </w:rPr>
                    <w:t>/T</w:t>
                  </w:r>
                  <w:r>
                    <w:rPr>
                      <w:rFonts w:hint="default" w:ascii="Times New Roman" w:hAnsi="Times New Roman" w:eastAsia="宋体" w:cs="Times New Roman"/>
                      <w:color w:val="auto"/>
                      <w:sz w:val="21"/>
                      <w:szCs w:val="21"/>
                      <w:vertAlign w:val="baseline"/>
                      <w:lang w:val="en-US" w:eastAsia="zh-CN"/>
                    </w:rPr>
                    <w:t xml:space="preserve"> 11901-</w:t>
                  </w:r>
                  <w:r>
                    <w:rPr>
                      <w:rFonts w:hint="eastAsia" w:cs="Times New Roman"/>
                      <w:color w:val="auto"/>
                      <w:sz w:val="21"/>
                      <w:szCs w:val="21"/>
                      <w:vertAlign w:val="baseline"/>
                      <w:lang w:val="en-US" w:eastAsia="zh-CN"/>
                    </w:rPr>
                    <w:t>19</w:t>
                  </w:r>
                  <w:r>
                    <w:rPr>
                      <w:rFonts w:hint="default" w:ascii="Times New Roman" w:hAnsi="Times New Roman" w:eastAsia="宋体" w:cs="Times New Roman"/>
                      <w:color w:val="auto"/>
                      <w:sz w:val="21"/>
                      <w:szCs w:val="21"/>
                      <w:vertAlign w:val="baseline"/>
                      <w:lang w:val="en-US" w:eastAsia="zh-CN"/>
                    </w:rPr>
                    <w:t>89</w:t>
                  </w:r>
                </w:p>
              </w:tc>
              <w:tc>
                <w:tcPr>
                  <w:tcW w:w="2659" w:type="dxa"/>
                  <w:noWrap w:val="0"/>
                  <w:vAlign w:val="center"/>
                </w:tcPr>
                <w:p w14:paraId="0FEC6138">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DHG-9240(A</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电</w:t>
                  </w:r>
                </w:p>
                <w:p w14:paraId="63E5F515">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 xml:space="preserve">热鼓风干燥箱 </w:t>
                  </w:r>
                </w:p>
                <w:p w14:paraId="4A8A9090">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 xml:space="preserve">SMJJ-YQ-118(2027.02.04) </w:t>
                  </w:r>
                </w:p>
                <w:p w14:paraId="379BB5F0">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 xml:space="preserve">Zl-6*300ML多联薄膜过滤器 </w:t>
                  </w:r>
                </w:p>
                <w:p w14:paraId="5627895E">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 xml:space="preserve">SMJJ-FZˉ 327 </w:t>
                  </w:r>
                </w:p>
                <w:p w14:paraId="7131E4DD">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 xml:space="preserve">PX225DZH电子天平 </w:t>
                  </w:r>
                </w:p>
                <w:p w14:paraId="6DFE842C">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SMJJ-YQ-050(2026.09.15)</w:t>
                  </w:r>
                </w:p>
              </w:tc>
              <w:tc>
                <w:tcPr>
                  <w:tcW w:w="1002" w:type="dxa"/>
                  <w:noWrap w:val="0"/>
                  <w:vAlign w:val="center"/>
                </w:tcPr>
                <w:p w14:paraId="4D776148">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4mg/L</w:t>
                  </w:r>
                </w:p>
              </w:tc>
            </w:tr>
            <w:tr w14:paraId="175E9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jc w:val="center"/>
              </w:trPr>
              <w:tc>
                <w:tcPr>
                  <w:tcW w:w="666" w:type="dxa"/>
                  <w:noWrap w:val="0"/>
                  <w:vAlign w:val="center"/>
                </w:tcPr>
                <w:p w14:paraId="6862A52E">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8</w:t>
                  </w:r>
                </w:p>
              </w:tc>
              <w:tc>
                <w:tcPr>
                  <w:tcW w:w="1127" w:type="dxa"/>
                  <w:noWrap w:val="0"/>
                  <w:vAlign w:val="center"/>
                </w:tcPr>
                <w:p w14:paraId="1BA0B13B">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石油类</w:t>
                  </w:r>
                </w:p>
              </w:tc>
              <w:tc>
                <w:tcPr>
                  <w:tcW w:w="2584" w:type="dxa"/>
                  <w:noWrap w:val="0"/>
                  <w:vAlign w:val="center"/>
                </w:tcPr>
                <w:p w14:paraId="17FEE73D">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水质 石油类的测定 紫外</w:t>
                  </w:r>
                </w:p>
                <w:p w14:paraId="6A8EEB2C">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分光光度法（试行）HJ970-2018</w:t>
                  </w:r>
                </w:p>
              </w:tc>
              <w:tc>
                <w:tcPr>
                  <w:tcW w:w="2659" w:type="dxa"/>
                  <w:noWrap w:val="0"/>
                  <w:vAlign w:val="center"/>
                </w:tcPr>
                <w:p w14:paraId="4638FF91">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UV</w:t>
                  </w:r>
                  <w:r>
                    <w:rPr>
                      <w:rFonts w:hint="eastAsia" w:ascii="Times New Roman" w:hAnsi="Times New Roman" w:eastAsia="宋体" w:cs="Times New Roman"/>
                      <w:color w:val="auto"/>
                      <w:sz w:val="21"/>
                      <w:szCs w:val="21"/>
                      <w:vertAlign w:val="baseline"/>
                      <w:lang w:val="en-US" w:eastAsia="zh-CN"/>
                    </w:rPr>
                    <w:t>-5200</w:t>
                  </w:r>
                  <w:r>
                    <w:rPr>
                      <w:rFonts w:hint="default" w:ascii="Times New Roman" w:hAnsi="Times New Roman" w:eastAsia="宋体" w:cs="Times New Roman"/>
                      <w:color w:val="auto"/>
                      <w:sz w:val="21"/>
                      <w:szCs w:val="21"/>
                      <w:vertAlign w:val="baseline"/>
                      <w:lang w:val="en-US" w:eastAsia="zh-CN"/>
                    </w:rPr>
                    <w:t xml:space="preserve"> 紫外可见分光光度计</w:t>
                  </w:r>
                  <w:r>
                    <w:rPr>
                      <w:rFonts w:hint="eastAsia" w:ascii="Times New Roman" w:hAnsi="Times New Roman" w:eastAsia="宋体" w:cs="Times New Roman"/>
                      <w:color w:val="auto"/>
                      <w:sz w:val="21"/>
                      <w:szCs w:val="21"/>
                      <w:vertAlign w:val="baseline"/>
                      <w:lang w:val="en-US" w:eastAsia="zh-CN"/>
                    </w:rPr>
                    <w:t>S</w:t>
                  </w:r>
                  <w:r>
                    <w:rPr>
                      <w:rFonts w:hint="default" w:ascii="Times New Roman" w:hAnsi="Times New Roman" w:eastAsia="宋体" w:cs="Times New Roman"/>
                      <w:color w:val="auto"/>
                      <w:sz w:val="21"/>
                      <w:szCs w:val="21"/>
                      <w:vertAlign w:val="baseline"/>
                      <w:lang w:val="en-US" w:eastAsia="zh-CN"/>
                    </w:rPr>
                    <w:t>MJ</w:t>
                  </w:r>
                  <w:r>
                    <w:rPr>
                      <w:rFonts w:hint="eastAsia" w:ascii="Times New Roman" w:hAnsi="Times New Roman" w:eastAsia="宋体" w:cs="Times New Roman"/>
                      <w:color w:val="auto"/>
                      <w:sz w:val="21"/>
                      <w:szCs w:val="21"/>
                      <w:vertAlign w:val="baseline"/>
                      <w:lang w:val="en-US" w:eastAsia="zh-CN"/>
                    </w:rPr>
                    <w:t>J-YQ-171(2027.04.01)</w:t>
                  </w:r>
                </w:p>
              </w:tc>
              <w:tc>
                <w:tcPr>
                  <w:tcW w:w="1002" w:type="dxa"/>
                  <w:noWrap w:val="0"/>
                  <w:vAlign w:val="center"/>
                </w:tcPr>
                <w:p w14:paraId="4563D03F">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0.01mg/L</w:t>
                  </w:r>
                </w:p>
              </w:tc>
            </w:tr>
          </w:tbl>
          <w:p w14:paraId="29A0EA19">
            <w:pPr>
              <w:keepNext w:val="0"/>
              <w:keepLines w:val="0"/>
              <w:pageBreakBefore w:val="0"/>
              <w:widowControl w:val="0"/>
              <w:kinsoku/>
              <w:wordWrap/>
              <w:overflowPunct w:val="0"/>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⑤评价方法</w:t>
            </w:r>
          </w:p>
          <w:p w14:paraId="68835D46">
            <w:pPr>
              <w:keepNext w:val="0"/>
              <w:keepLines w:val="0"/>
              <w:pageBreakBefore w:val="0"/>
              <w:widowControl w:val="0"/>
              <w:kinsoku/>
              <w:wordWrap/>
              <w:overflowPunct w:val="0"/>
              <w:topLinePunct w:val="0"/>
              <w:autoSpaceDE/>
              <w:autoSpaceDN/>
              <w:bidi w:val="0"/>
              <w:adjustRightInd/>
              <w:snapToGrid/>
              <w:spacing w:line="360" w:lineRule="auto"/>
              <w:ind w:firstLine="480" w:firstLineChars="200"/>
              <w:contextualSpacing/>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采用水质指数法评价，一般性水质因子的指数计算公式如下：</w:t>
            </w:r>
          </w:p>
          <w:p w14:paraId="0960DE0F">
            <w:pPr>
              <w:keepNext w:val="0"/>
              <w:keepLines w:val="0"/>
              <w:pageBreakBefore w:val="0"/>
              <w:widowControl w:val="0"/>
              <w:kinsoku/>
              <w:wordWrap/>
              <w:overflowPunct w:val="0"/>
              <w:topLinePunct w:val="0"/>
              <w:autoSpaceDE/>
              <w:autoSpaceDN/>
              <w:bidi w:val="0"/>
              <w:adjustRightInd/>
              <w:snapToGrid/>
              <w:spacing w:line="360" w:lineRule="auto"/>
              <w:ind w:firstLine="0" w:firstLineChars="0"/>
              <w:contextualSpacing/>
              <w:jc w:val="center"/>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S</w:t>
            </w:r>
            <w:r>
              <w:rPr>
                <w:rFonts w:hint="default" w:ascii="Times New Roman" w:hAnsi="Times New Roman" w:eastAsia="宋体" w:cs="Times New Roman"/>
                <w:color w:val="auto"/>
                <w:sz w:val="24"/>
                <w:szCs w:val="24"/>
                <w:highlight w:val="none"/>
                <w:vertAlign w:val="subscript"/>
                <w:lang w:val="en-US" w:eastAsia="zh-CN"/>
              </w:rPr>
              <w:t>i</w:t>
            </w:r>
            <w:r>
              <w:rPr>
                <w:rFonts w:hint="eastAsia" w:ascii="Times New Roman" w:hAnsi="Times New Roman" w:eastAsia="宋体" w:cs="Times New Roman"/>
                <w:color w:val="auto"/>
                <w:sz w:val="24"/>
                <w:szCs w:val="24"/>
                <w:highlight w:val="none"/>
                <w:vertAlign w:val="subscript"/>
                <w:lang w:val="en-US" w:eastAsia="zh-CN"/>
              </w:rPr>
              <w:t>，</w:t>
            </w:r>
            <w:r>
              <w:rPr>
                <w:rFonts w:hint="default" w:ascii="Times New Roman" w:hAnsi="Times New Roman" w:eastAsia="宋体" w:cs="Times New Roman"/>
                <w:color w:val="auto"/>
                <w:sz w:val="24"/>
                <w:szCs w:val="24"/>
                <w:highlight w:val="none"/>
                <w:vertAlign w:val="subscript"/>
                <w:lang w:val="en-US" w:eastAsia="zh-CN"/>
              </w:rPr>
              <w:t>j</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C</w:t>
            </w:r>
            <w:r>
              <w:rPr>
                <w:rFonts w:hint="default" w:ascii="Times New Roman" w:hAnsi="Times New Roman" w:eastAsia="宋体" w:cs="Times New Roman"/>
                <w:color w:val="auto"/>
                <w:sz w:val="24"/>
                <w:szCs w:val="24"/>
                <w:highlight w:val="none"/>
                <w:vertAlign w:val="subscript"/>
                <w:lang w:val="en-US" w:eastAsia="zh-CN"/>
              </w:rPr>
              <w:t>i</w:t>
            </w:r>
            <w:r>
              <w:rPr>
                <w:rFonts w:hint="eastAsia" w:ascii="Times New Roman" w:hAnsi="Times New Roman" w:eastAsia="宋体" w:cs="Times New Roman"/>
                <w:color w:val="auto"/>
                <w:sz w:val="24"/>
                <w:szCs w:val="24"/>
                <w:highlight w:val="none"/>
                <w:vertAlign w:val="subscript"/>
                <w:lang w:val="en-US" w:eastAsia="zh-CN"/>
              </w:rPr>
              <w:t>，</w:t>
            </w:r>
            <w:r>
              <w:rPr>
                <w:rFonts w:hint="default" w:ascii="Times New Roman" w:hAnsi="Times New Roman" w:eastAsia="宋体" w:cs="Times New Roman"/>
                <w:color w:val="auto"/>
                <w:sz w:val="24"/>
                <w:szCs w:val="24"/>
                <w:highlight w:val="none"/>
                <w:vertAlign w:val="subscript"/>
                <w:lang w:val="en-US" w:eastAsia="zh-CN"/>
              </w:rPr>
              <w:t>j</w:t>
            </w:r>
            <w:r>
              <w:rPr>
                <w:rFonts w:hint="default" w:ascii="Times New Roman" w:hAnsi="Times New Roman" w:eastAsia="宋体" w:cs="Times New Roman"/>
                <w:color w:val="auto"/>
                <w:sz w:val="24"/>
                <w:szCs w:val="24"/>
                <w:highlight w:val="none"/>
                <w:lang w:val="en-US" w:eastAsia="zh-CN"/>
              </w:rPr>
              <w:t>/C</w:t>
            </w:r>
            <w:r>
              <w:rPr>
                <w:rFonts w:hint="default" w:ascii="Times New Roman" w:hAnsi="Times New Roman" w:eastAsia="宋体" w:cs="Times New Roman"/>
                <w:color w:val="auto"/>
                <w:sz w:val="24"/>
                <w:szCs w:val="24"/>
                <w:highlight w:val="none"/>
                <w:vertAlign w:val="subscript"/>
                <w:lang w:val="en-US" w:eastAsia="zh-CN"/>
              </w:rPr>
              <w:t>si</w:t>
            </w:r>
          </w:p>
          <w:p w14:paraId="2C63AE15">
            <w:pPr>
              <w:keepNext w:val="0"/>
              <w:keepLines w:val="0"/>
              <w:pageBreakBefore w:val="0"/>
              <w:widowControl w:val="0"/>
              <w:kinsoku/>
              <w:wordWrap/>
              <w:overflowPunct w:val="0"/>
              <w:topLinePunct w:val="0"/>
              <w:autoSpaceDE/>
              <w:autoSpaceDN/>
              <w:bidi w:val="0"/>
              <w:adjustRightInd/>
              <w:snapToGrid/>
              <w:spacing w:line="360" w:lineRule="auto"/>
              <w:ind w:firstLine="480" w:firstLineChars="200"/>
              <w:contextualSpacing/>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式中：</w:t>
            </w:r>
            <w:r>
              <w:rPr>
                <w:rFonts w:hint="default" w:ascii="Times New Roman" w:hAnsi="Times New Roman" w:eastAsia="宋体" w:cs="Times New Roman"/>
                <w:color w:val="auto"/>
                <w:sz w:val="24"/>
                <w:szCs w:val="24"/>
                <w:highlight w:val="none"/>
                <w:lang w:val="en-US" w:eastAsia="zh-CN"/>
              </w:rPr>
              <w:t>S</w:t>
            </w:r>
            <w:r>
              <w:rPr>
                <w:rFonts w:hint="default" w:ascii="Times New Roman" w:hAnsi="Times New Roman" w:eastAsia="宋体" w:cs="Times New Roman"/>
                <w:color w:val="auto"/>
                <w:sz w:val="24"/>
                <w:szCs w:val="24"/>
                <w:highlight w:val="none"/>
                <w:vertAlign w:val="subscript"/>
                <w:lang w:val="en-US" w:eastAsia="zh-CN"/>
              </w:rPr>
              <w:t>i</w:t>
            </w:r>
            <w:r>
              <w:rPr>
                <w:rFonts w:hint="eastAsia" w:ascii="Times New Roman" w:hAnsi="Times New Roman" w:eastAsia="宋体" w:cs="Times New Roman"/>
                <w:color w:val="auto"/>
                <w:sz w:val="24"/>
                <w:szCs w:val="24"/>
                <w:highlight w:val="none"/>
                <w:vertAlign w:val="subscript"/>
                <w:lang w:val="en-US" w:eastAsia="zh-CN"/>
              </w:rPr>
              <w:t>，</w:t>
            </w:r>
            <w:r>
              <w:rPr>
                <w:rFonts w:hint="default" w:ascii="Times New Roman" w:hAnsi="Times New Roman" w:eastAsia="宋体" w:cs="Times New Roman"/>
                <w:color w:val="auto"/>
                <w:sz w:val="24"/>
                <w:szCs w:val="24"/>
                <w:highlight w:val="none"/>
                <w:vertAlign w:val="subscript"/>
                <w:lang w:val="en-US" w:eastAsia="zh-CN"/>
              </w:rPr>
              <w:t>j</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评价因子</w:t>
            </w:r>
            <w:r>
              <w:rPr>
                <w:rFonts w:hint="default" w:ascii="Times New Roman" w:hAnsi="Times New Roman" w:eastAsia="宋体" w:cs="Times New Roman"/>
                <w:color w:val="auto"/>
                <w:sz w:val="24"/>
                <w:szCs w:val="24"/>
                <w:highlight w:val="none"/>
                <w:lang w:val="en-US" w:eastAsia="zh-CN"/>
              </w:rPr>
              <w:t>i</w:t>
            </w:r>
            <w:r>
              <w:rPr>
                <w:rFonts w:hint="eastAsia" w:ascii="Times New Roman" w:hAnsi="Times New Roman" w:eastAsia="宋体" w:cs="Times New Roman"/>
                <w:color w:val="auto"/>
                <w:sz w:val="24"/>
                <w:szCs w:val="24"/>
                <w:highlight w:val="none"/>
                <w:lang w:val="en-US" w:eastAsia="zh-CN"/>
              </w:rPr>
              <w:t>的水质指数，大于</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表明该水质因子超标；</w:t>
            </w:r>
          </w:p>
          <w:p w14:paraId="7C591BFC">
            <w:pPr>
              <w:keepNext w:val="0"/>
              <w:keepLines w:val="0"/>
              <w:pageBreakBefore w:val="0"/>
              <w:widowControl w:val="0"/>
              <w:kinsoku/>
              <w:wordWrap/>
              <w:overflowPunct w:val="0"/>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C</w:t>
            </w:r>
            <w:r>
              <w:rPr>
                <w:rFonts w:hint="default" w:ascii="Times New Roman" w:hAnsi="Times New Roman" w:eastAsia="宋体" w:cs="Times New Roman"/>
                <w:color w:val="auto"/>
                <w:sz w:val="24"/>
                <w:szCs w:val="24"/>
                <w:highlight w:val="none"/>
                <w:vertAlign w:val="subscript"/>
                <w:lang w:val="en-US" w:eastAsia="zh-CN"/>
              </w:rPr>
              <w:t>i</w:t>
            </w:r>
            <w:r>
              <w:rPr>
                <w:rFonts w:hint="eastAsia" w:ascii="Times New Roman" w:hAnsi="Times New Roman" w:eastAsia="宋体" w:cs="Times New Roman"/>
                <w:color w:val="auto"/>
                <w:sz w:val="24"/>
                <w:szCs w:val="24"/>
                <w:highlight w:val="none"/>
                <w:vertAlign w:val="subscript"/>
                <w:lang w:val="en-US" w:eastAsia="zh-CN"/>
              </w:rPr>
              <w:t>，</w:t>
            </w:r>
            <w:r>
              <w:rPr>
                <w:rFonts w:hint="default" w:ascii="Times New Roman" w:hAnsi="Times New Roman" w:eastAsia="宋体" w:cs="Times New Roman"/>
                <w:color w:val="auto"/>
                <w:sz w:val="24"/>
                <w:szCs w:val="24"/>
                <w:highlight w:val="none"/>
                <w:vertAlign w:val="subscript"/>
                <w:lang w:val="en-US" w:eastAsia="zh-CN"/>
              </w:rPr>
              <w:t>j</w:t>
            </w:r>
            <w:r>
              <w:rPr>
                <w:rFonts w:hint="default" w:ascii="Times New Roman" w:hAnsi="Times New Roman" w:eastAsia="宋体" w:cs="Times New Roman"/>
                <w:color w:val="auto"/>
                <w:sz w:val="24"/>
                <w:szCs w:val="24"/>
                <w:highlight w:val="none"/>
                <w:lang w:val="en-US" w:eastAsia="zh-CN"/>
              </w:rPr>
              <w:t>—评价因子i在j点的实测统计代表值，mg/L；</w:t>
            </w:r>
          </w:p>
          <w:p w14:paraId="648BAE2D">
            <w:pPr>
              <w:keepNext w:val="0"/>
              <w:keepLines w:val="0"/>
              <w:pageBreakBefore w:val="0"/>
              <w:widowControl w:val="0"/>
              <w:kinsoku/>
              <w:wordWrap/>
              <w:overflowPunct w:val="0"/>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C</w:t>
            </w:r>
            <w:r>
              <w:rPr>
                <w:rFonts w:hint="default" w:ascii="Times New Roman" w:hAnsi="Times New Roman" w:eastAsia="宋体" w:cs="Times New Roman"/>
                <w:color w:val="auto"/>
                <w:sz w:val="24"/>
                <w:szCs w:val="24"/>
                <w:highlight w:val="none"/>
                <w:vertAlign w:val="subscript"/>
                <w:lang w:val="en-US" w:eastAsia="zh-CN"/>
              </w:rPr>
              <w:t>si</w:t>
            </w:r>
            <w:r>
              <w:rPr>
                <w:rFonts w:hint="default" w:ascii="Times New Roman" w:hAnsi="Times New Roman" w:eastAsia="宋体" w:cs="Times New Roman"/>
                <w:color w:val="auto"/>
                <w:sz w:val="24"/>
                <w:szCs w:val="24"/>
                <w:highlight w:val="none"/>
                <w:lang w:val="en-US" w:eastAsia="zh-CN"/>
              </w:rPr>
              <w:t>—评价因子i的水质评价标准限值，mg/L。</w:t>
            </w:r>
          </w:p>
          <w:p w14:paraId="0338FFB8">
            <w:pPr>
              <w:pStyle w:val="14"/>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溶解氧（DO）的标准指数计算公式如下：</w:t>
            </w:r>
          </w:p>
          <w:p w14:paraId="1728E4E7">
            <w:pPr>
              <w:pStyle w:val="14"/>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color w:val="auto"/>
                <w:sz w:val="24"/>
                <w:szCs w:val="24"/>
                <w:lang w:val="en-US" w:eastAsia="zh-CN"/>
              </w:rPr>
            </w:pPr>
            <w:r>
              <w:rPr>
                <w:color w:val="auto"/>
              </w:rPr>
              <w:drawing>
                <wp:anchor distT="0" distB="0" distL="114300" distR="114300" simplePos="0" relativeHeight="251667456" behindDoc="0" locked="0" layoutInCell="1" allowOverlap="1">
                  <wp:simplePos x="0" y="0"/>
                  <wp:positionH relativeFrom="column">
                    <wp:posOffset>1524000</wp:posOffset>
                  </wp:positionH>
                  <wp:positionV relativeFrom="paragraph">
                    <wp:posOffset>37465</wp:posOffset>
                  </wp:positionV>
                  <wp:extent cx="2259330" cy="742315"/>
                  <wp:effectExtent l="0" t="0" r="7620" b="635"/>
                  <wp:wrapTopAndBottom/>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21"/>
                          <a:stretch>
                            <a:fillRect/>
                          </a:stretch>
                        </pic:blipFill>
                        <pic:spPr>
                          <a:xfrm>
                            <a:off x="0" y="0"/>
                            <a:ext cx="2259330" cy="742315"/>
                          </a:xfrm>
                          <a:prstGeom prst="rect">
                            <a:avLst/>
                          </a:prstGeom>
                          <a:noFill/>
                          <a:ln>
                            <a:noFill/>
                          </a:ln>
                        </pic:spPr>
                      </pic:pic>
                    </a:graphicData>
                  </a:graphic>
                </wp:anchor>
              </w:drawing>
            </w:r>
            <w:r>
              <w:rPr>
                <w:rFonts w:hint="eastAsia" w:cs="Times New Roman"/>
                <w:color w:val="auto"/>
                <w:sz w:val="24"/>
                <w:szCs w:val="24"/>
                <w:lang w:val="en-US" w:eastAsia="zh-CN"/>
              </w:rPr>
              <w:t>式中：S</w:t>
            </w:r>
            <w:r>
              <w:rPr>
                <w:rFonts w:hint="eastAsia" w:cs="Times New Roman"/>
                <w:color w:val="auto"/>
                <w:sz w:val="24"/>
                <w:szCs w:val="24"/>
                <w:vertAlign w:val="subscript"/>
                <w:lang w:val="en-US" w:eastAsia="zh-CN"/>
              </w:rPr>
              <w:t>DO，j</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溶解氧的标准指数，大于1表明该水质因子超标；</w:t>
            </w:r>
          </w:p>
          <w:p w14:paraId="4FA0CBCE">
            <w:pPr>
              <w:pStyle w:val="14"/>
              <w:keepNext w:val="0"/>
              <w:keepLines w:val="0"/>
              <w:pageBreakBefore w:val="0"/>
              <w:widowControl w:val="0"/>
              <w:kinsoku/>
              <w:wordWrap/>
              <w:overflowPunct/>
              <w:topLinePunct w:val="0"/>
              <w:autoSpaceDE/>
              <w:autoSpaceDN/>
              <w:bidi w:val="0"/>
              <w:adjustRightInd/>
              <w:snapToGrid/>
              <w:spacing w:line="360" w:lineRule="auto"/>
              <w:ind w:left="899" w:leftChars="428" w:firstLine="240" w:firstLineChars="1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DO</w:t>
            </w:r>
            <w:r>
              <w:rPr>
                <w:rFonts w:hint="eastAsia" w:cs="Times New Roman"/>
                <w:color w:val="auto"/>
                <w:sz w:val="24"/>
                <w:szCs w:val="24"/>
                <w:vertAlign w:val="subscript"/>
                <w:lang w:val="en-US" w:eastAsia="zh-CN"/>
              </w:rPr>
              <w:t>j</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溶解氧在j点的实测统计代表值，mg/L；</w:t>
            </w:r>
          </w:p>
          <w:p w14:paraId="3836DAA5">
            <w:pPr>
              <w:pStyle w:val="20"/>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1200" w:firstLineChars="500"/>
              <w:textAlignment w:val="baseline"/>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DO</w:t>
            </w:r>
            <w:r>
              <w:rPr>
                <w:rFonts w:hint="eastAsia" w:ascii="Times New Roman" w:hAnsi="Times New Roman" w:cs="Times New Roman"/>
                <w:color w:val="auto"/>
                <w:vertAlign w:val="subscript"/>
                <w:lang w:val="en-US" w:eastAsia="zh-CN"/>
              </w:rPr>
              <w:t>s</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溶解氧的水质评价标准限值，mg/L；</w:t>
            </w:r>
          </w:p>
          <w:p w14:paraId="3911AD99">
            <w:pPr>
              <w:pStyle w:val="20"/>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1200" w:firstLineChars="500"/>
              <w:textAlignment w:val="baseline"/>
              <w:rPr>
                <w:rFonts w:hint="default" w:ascii="Times New Roman" w:hAnsi="Times New Roman" w:cs="Times New Roman"/>
                <w:color w:val="auto"/>
                <w:vertAlign w:val="baseline"/>
                <w:lang w:val="en-US" w:eastAsia="zh-CN"/>
              </w:rPr>
            </w:pPr>
            <w:r>
              <w:rPr>
                <w:rFonts w:hint="eastAsia" w:ascii="Times New Roman" w:hAnsi="Times New Roman" w:cs="Times New Roman"/>
                <w:color w:val="auto"/>
                <w:lang w:val="en-US" w:eastAsia="zh-CN"/>
              </w:rPr>
              <w:t>DO</w:t>
            </w:r>
            <w:r>
              <w:rPr>
                <w:rFonts w:hint="eastAsia" w:ascii="Times New Roman" w:hAnsi="Times New Roman" w:cs="Times New Roman"/>
                <w:color w:val="auto"/>
                <w:vertAlign w:val="subscript"/>
                <w:lang w:val="en-US" w:eastAsia="zh-CN"/>
              </w:rPr>
              <w:t>f</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溶解氧浓度，mg/L，对于河流</w:t>
            </w:r>
            <w:r>
              <w:rPr>
                <w:rFonts w:hint="eastAsia" w:ascii="Times New Roman" w:hAnsi="Times New Roman" w:cs="Times New Roman"/>
                <w:color w:val="auto"/>
                <w:lang w:val="en-US" w:eastAsia="zh-CN"/>
              </w:rPr>
              <w:t>DO</w:t>
            </w:r>
            <w:r>
              <w:rPr>
                <w:rFonts w:hint="eastAsia" w:ascii="Times New Roman" w:hAnsi="Times New Roman" w:cs="Times New Roman"/>
                <w:color w:val="auto"/>
                <w:vertAlign w:val="subscript"/>
                <w:lang w:val="en-US" w:eastAsia="zh-CN"/>
              </w:rPr>
              <w:t>f</w:t>
            </w:r>
            <w:r>
              <w:rPr>
                <w:rFonts w:hint="eastAsia" w:ascii="Times New Roman" w:hAnsi="Times New Roman" w:cs="Times New Roman"/>
                <w:color w:val="auto"/>
                <w:vertAlign w:val="baseline"/>
                <w:lang w:val="en-US" w:eastAsia="zh-CN"/>
              </w:rPr>
              <w:t>=468/（31.6+T）；</w:t>
            </w:r>
          </w:p>
          <w:p w14:paraId="0B710294">
            <w:pPr>
              <w:pStyle w:val="20"/>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1200" w:firstLineChars="500"/>
              <w:textAlignment w:val="baseline"/>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T</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水温，</w:t>
            </w:r>
            <w:r>
              <w:rPr>
                <w:rFonts w:hint="default" w:ascii="Times New Roman" w:hAnsi="Times New Roman" w:cs="Times New Roman"/>
                <w:color w:val="auto"/>
                <w:sz w:val="24"/>
                <w:szCs w:val="24"/>
                <w:highlight w:val="none"/>
                <w:lang w:val="en-US" w:eastAsia="zh-CN"/>
              </w:rPr>
              <w:t>℃</w:t>
            </w:r>
          </w:p>
          <w:p w14:paraId="4476D65F">
            <w:pPr>
              <w:pStyle w:val="14"/>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pH值的指数计算公式：</w:t>
            </w:r>
          </w:p>
          <w:p w14:paraId="738FA611">
            <w:pPr>
              <w:pStyle w:val="14"/>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color w:val="auto"/>
                <w:sz w:val="24"/>
                <w:szCs w:val="24"/>
                <w:lang w:val="en-US" w:eastAsia="zh-CN"/>
              </w:rPr>
            </w:pPr>
            <w:r>
              <w:rPr>
                <w:color w:val="auto"/>
              </w:rPr>
              <w:drawing>
                <wp:anchor distT="0" distB="0" distL="114300" distR="114300" simplePos="0" relativeHeight="251668480" behindDoc="0" locked="0" layoutInCell="1" allowOverlap="1">
                  <wp:simplePos x="0" y="0"/>
                  <wp:positionH relativeFrom="column">
                    <wp:posOffset>1438275</wp:posOffset>
                  </wp:positionH>
                  <wp:positionV relativeFrom="paragraph">
                    <wp:posOffset>55880</wp:posOffset>
                  </wp:positionV>
                  <wp:extent cx="2295525" cy="845185"/>
                  <wp:effectExtent l="0" t="0" r="9525" b="12065"/>
                  <wp:wrapTopAndBottom/>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2"/>
                          <a:stretch>
                            <a:fillRect/>
                          </a:stretch>
                        </pic:blipFill>
                        <pic:spPr>
                          <a:xfrm>
                            <a:off x="0" y="0"/>
                            <a:ext cx="2295525" cy="845185"/>
                          </a:xfrm>
                          <a:prstGeom prst="rect">
                            <a:avLst/>
                          </a:prstGeom>
                          <a:noFill/>
                          <a:ln>
                            <a:noFill/>
                          </a:ln>
                        </pic:spPr>
                      </pic:pic>
                    </a:graphicData>
                  </a:graphic>
                </wp:anchor>
              </w:drawing>
            </w:r>
            <w:r>
              <w:rPr>
                <w:rFonts w:hint="default" w:ascii="Times New Roman" w:hAnsi="Times New Roman" w:eastAsia="宋体" w:cs="Times New Roman"/>
                <w:color w:val="auto"/>
                <w:sz w:val="24"/>
                <w:szCs w:val="24"/>
                <w:lang w:val="en-US" w:eastAsia="zh-CN"/>
              </w:rPr>
              <w:t>式中：S</w:t>
            </w:r>
            <w:r>
              <w:rPr>
                <w:rFonts w:hint="default" w:ascii="Times New Roman" w:hAnsi="Times New Roman" w:eastAsia="宋体" w:cs="Times New Roman"/>
                <w:color w:val="auto"/>
                <w:sz w:val="24"/>
                <w:szCs w:val="24"/>
                <w:vertAlign w:val="subscript"/>
                <w:lang w:val="en-US" w:eastAsia="zh-CN"/>
              </w:rPr>
              <w:t>pH</w:t>
            </w:r>
            <w:r>
              <w:rPr>
                <w:rFonts w:hint="eastAsia" w:cs="Times New Roman"/>
                <w:color w:val="auto"/>
                <w:sz w:val="24"/>
                <w:szCs w:val="24"/>
                <w:vertAlign w:val="subscript"/>
                <w:lang w:val="en-US" w:eastAsia="zh-CN"/>
              </w:rPr>
              <w:t>，</w:t>
            </w:r>
            <w:r>
              <w:rPr>
                <w:rFonts w:hint="default" w:ascii="Times New Roman" w:hAnsi="Times New Roman" w:eastAsia="宋体" w:cs="Times New Roman"/>
                <w:color w:val="auto"/>
                <w:sz w:val="24"/>
                <w:szCs w:val="24"/>
                <w:vertAlign w:val="subscript"/>
                <w:lang w:val="en-US" w:eastAsia="zh-CN"/>
              </w:rPr>
              <w:t>j</w:t>
            </w:r>
            <w:r>
              <w:rPr>
                <w:rFonts w:hint="default" w:ascii="Times New Roman" w:hAnsi="Times New Roman" w:eastAsia="宋体" w:cs="Times New Roman"/>
                <w:color w:val="auto"/>
                <w:sz w:val="24"/>
                <w:szCs w:val="24"/>
                <w:lang w:val="en-US" w:eastAsia="zh-CN"/>
              </w:rPr>
              <w:t>—pH值的指数，大于1表明该水质因子超标；</w:t>
            </w:r>
          </w:p>
          <w:p w14:paraId="30A81A73">
            <w:pPr>
              <w:pStyle w:val="14"/>
              <w:keepNext w:val="0"/>
              <w:keepLines w:val="0"/>
              <w:pageBreakBefore w:val="0"/>
              <w:widowControl w:val="0"/>
              <w:kinsoku/>
              <w:wordWrap/>
              <w:overflowPunct/>
              <w:topLinePunct w:val="0"/>
              <w:autoSpaceDE/>
              <w:autoSpaceDN/>
              <w:bidi w:val="0"/>
              <w:adjustRightInd/>
              <w:snapToGrid/>
              <w:spacing w:line="360" w:lineRule="auto"/>
              <w:ind w:left="0" w:leftChars="0" w:firstLine="1200" w:firstLineChars="5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pH</w:t>
            </w:r>
            <w:r>
              <w:rPr>
                <w:rFonts w:hint="default" w:ascii="Times New Roman" w:hAnsi="Times New Roman" w:eastAsia="宋体" w:cs="Times New Roman"/>
                <w:color w:val="auto"/>
                <w:sz w:val="24"/>
                <w:szCs w:val="24"/>
                <w:vertAlign w:val="subscript"/>
                <w:lang w:val="en-US" w:eastAsia="zh-CN"/>
              </w:rPr>
              <w:t>j</w:t>
            </w:r>
            <w:r>
              <w:rPr>
                <w:rFonts w:hint="default" w:ascii="Times New Roman" w:hAnsi="Times New Roman" w:eastAsia="宋体" w:cs="Times New Roman"/>
                <w:color w:val="auto"/>
                <w:sz w:val="24"/>
                <w:szCs w:val="24"/>
                <w:lang w:val="en-US" w:eastAsia="zh-CN"/>
              </w:rPr>
              <w:t>—pH值实测统计代表值</w:t>
            </w:r>
            <w:r>
              <w:rPr>
                <w:rFonts w:hint="eastAsia" w:cs="Times New Roman"/>
                <w:color w:val="auto"/>
                <w:sz w:val="24"/>
                <w:szCs w:val="24"/>
                <w:lang w:val="en-US" w:eastAsia="zh-CN"/>
              </w:rPr>
              <w:t>；</w:t>
            </w:r>
          </w:p>
          <w:p w14:paraId="6448AB0D">
            <w:pPr>
              <w:pStyle w:val="14"/>
              <w:keepNext w:val="0"/>
              <w:keepLines w:val="0"/>
              <w:pageBreakBefore w:val="0"/>
              <w:widowControl w:val="0"/>
              <w:kinsoku/>
              <w:wordWrap/>
              <w:overflowPunct/>
              <w:topLinePunct w:val="0"/>
              <w:autoSpaceDE/>
              <w:autoSpaceDN/>
              <w:bidi w:val="0"/>
              <w:adjustRightInd/>
              <w:snapToGrid/>
              <w:spacing w:line="360" w:lineRule="auto"/>
              <w:ind w:left="0" w:leftChars="0" w:firstLine="1200" w:firstLineChars="5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pH</w:t>
            </w:r>
            <w:r>
              <w:rPr>
                <w:rFonts w:hint="default" w:ascii="Times New Roman" w:hAnsi="Times New Roman" w:eastAsia="宋体" w:cs="Times New Roman"/>
                <w:color w:val="auto"/>
                <w:sz w:val="24"/>
                <w:szCs w:val="24"/>
                <w:vertAlign w:val="subscript"/>
                <w:lang w:val="en-US" w:eastAsia="zh-CN"/>
              </w:rPr>
              <w:t>sd</w:t>
            </w:r>
            <w:r>
              <w:rPr>
                <w:rFonts w:hint="default" w:ascii="Times New Roman" w:hAnsi="Times New Roman" w:eastAsia="宋体" w:cs="Times New Roman"/>
                <w:color w:val="auto"/>
                <w:sz w:val="24"/>
                <w:szCs w:val="24"/>
                <w:lang w:val="en-US" w:eastAsia="zh-CN"/>
              </w:rPr>
              <w:t>—评价标准中pH值的下限值；</w:t>
            </w:r>
          </w:p>
          <w:p w14:paraId="1CB2A01A">
            <w:pPr>
              <w:pStyle w:val="14"/>
              <w:keepNext w:val="0"/>
              <w:keepLines w:val="0"/>
              <w:pageBreakBefore w:val="0"/>
              <w:widowControl w:val="0"/>
              <w:kinsoku/>
              <w:wordWrap/>
              <w:overflowPunct/>
              <w:topLinePunct w:val="0"/>
              <w:autoSpaceDE/>
              <w:autoSpaceDN/>
              <w:bidi w:val="0"/>
              <w:adjustRightInd/>
              <w:snapToGrid/>
              <w:spacing w:line="360" w:lineRule="auto"/>
              <w:ind w:left="0" w:leftChars="0" w:firstLine="1200" w:firstLineChars="5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pH</w:t>
            </w:r>
            <w:r>
              <w:rPr>
                <w:rFonts w:hint="default" w:ascii="Times New Roman" w:hAnsi="Times New Roman" w:eastAsia="宋体" w:cs="Times New Roman"/>
                <w:color w:val="auto"/>
                <w:sz w:val="24"/>
                <w:szCs w:val="24"/>
                <w:vertAlign w:val="subscript"/>
                <w:lang w:val="en-US" w:eastAsia="zh-CN"/>
              </w:rPr>
              <w:t>su</w:t>
            </w:r>
            <w:r>
              <w:rPr>
                <w:rFonts w:hint="default" w:ascii="Times New Roman" w:hAnsi="Times New Roman" w:eastAsia="宋体" w:cs="Times New Roman"/>
                <w:color w:val="auto"/>
                <w:sz w:val="24"/>
                <w:szCs w:val="24"/>
                <w:lang w:val="en-US" w:eastAsia="zh-CN"/>
              </w:rPr>
              <w:t>—评价标准中pH值的上限值</w:t>
            </w:r>
            <w:r>
              <w:rPr>
                <w:rFonts w:hint="eastAsia" w:cs="Times New Roman"/>
                <w:color w:val="auto"/>
                <w:sz w:val="24"/>
                <w:szCs w:val="24"/>
                <w:lang w:val="en-US" w:eastAsia="zh-CN"/>
              </w:rPr>
              <w:t>。</w:t>
            </w:r>
          </w:p>
          <w:p w14:paraId="2FCDB763">
            <w:pPr>
              <w:pStyle w:val="14"/>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⑥</w:t>
            </w:r>
            <w:r>
              <w:rPr>
                <w:rFonts w:hint="eastAsia" w:ascii="Times New Roman" w:hAnsi="Times New Roman" w:eastAsia="宋体" w:cs="Times New Roman"/>
                <w:color w:val="auto"/>
                <w:sz w:val="24"/>
                <w:szCs w:val="24"/>
                <w:lang w:val="en-US" w:eastAsia="zh-CN"/>
              </w:rPr>
              <w:t>监测结果及评价</w:t>
            </w:r>
          </w:p>
          <w:p w14:paraId="55261D70">
            <w:pPr>
              <w:pStyle w:val="14"/>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地表水环境质量现状监测及评价结果统计见表3-4。</w:t>
            </w:r>
          </w:p>
          <w:p w14:paraId="51A7C769">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2" w:firstLineChars="200"/>
              <w:jc w:val="center"/>
              <w:textAlignment w:val="baseline"/>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b/>
                <w:bCs/>
                <w:color w:val="auto"/>
                <w:sz w:val="21"/>
                <w:szCs w:val="21"/>
                <w:highlight w:val="none"/>
                <w:lang w:val="en-US" w:eastAsia="zh-CN"/>
              </w:rPr>
              <w:t>表3-4  地表水水质监测及评价结果   单位：mg/L（pH值为无量纲）</w:t>
            </w:r>
          </w:p>
          <w:tbl>
            <w:tblPr>
              <w:tblStyle w:val="17"/>
              <w:tblW w:w="80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1383"/>
              <w:gridCol w:w="1367"/>
              <w:gridCol w:w="1633"/>
              <w:gridCol w:w="1267"/>
              <w:gridCol w:w="882"/>
            </w:tblGrid>
            <w:tr w14:paraId="29C43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1500" w:type="dxa"/>
                  <w:vMerge w:val="restart"/>
                  <w:vAlign w:val="center"/>
                </w:tcPr>
                <w:p w14:paraId="3BA01355">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监测项目</w:t>
                  </w:r>
                </w:p>
              </w:tc>
              <w:tc>
                <w:tcPr>
                  <w:tcW w:w="2750" w:type="dxa"/>
                  <w:gridSpan w:val="2"/>
                  <w:vAlign w:val="center"/>
                </w:tcPr>
                <w:p w14:paraId="79B06052">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监测结果</w:t>
                  </w:r>
                </w:p>
              </w:tc>
              <w:tc>
                <w:tcPr>
                  <w:tcW w:w="1633" w:type="dxa"/>
                  <w:vMerge w:val="restart"/>
                  <w:vAlign w:val="center"/>
                </w:tcPr>
                <w:p w14:paraId="3D53782D">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baseline"/>
                    <w:rPr>
                      <w:rFonts w:hint="default" w:ascii="宋体" w:hAnsi="宋体" w:eastAsia="宋体" w:cs="宋体"/>
                      <w:b/>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Ⅲ</w:t>
                  </w:r>
                  <w:r>
                    <w:rPr>
                      <w:rFonts w:hint="eastAsia" w:cs="宋体"/>
                      <w:b/>
                      <w:bCs/>
                      <w:color w:val="auto"/>
                      <w:sz w:val="21"/>
                      <w:szCs w:val="21"/>
                      <w:highlight w:val="none"/>
                      <w:vertAlign w:val="baseline"/>
                      <w:lang w:val="en-US" w:eastAsia="zh-CN"/>
                    </w:rPr>
                    <w:t>类标准限值</w:t>
                  </w:r>
                </w:p>
              </w:tc>
              <w:tc>
                <w:tcPr>
                  <w:tcW w:w="1267" w:type="dxa"/>
                  <w:vMerge w:val="restart"/>
                  <w:vAlign w:val="center"/>
                </w:tcPr>
                <w:p w14:paraId="30F94C5E">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baseline"/>
                    <w:rPr>
                      <w:rFonts w:hint="eastAsia"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最大标准</w:t>
                  </w:r>
                </w:p>
                <w:p w14:paraId="4423E644">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指数</w:t>
                  </w:r>
                </w:p>
              </w:tc>
              <w:tc>
                <w:tcPr>
                  <w:tcW w:w="882" w:type="dxa"/>
                  <w:vMerge w:val="restart"/>
                  <w:vAlign w:val="center"/>
                </w:tcPr>
                <w:p w14:paraId="6C048159">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baseline"/>
                    <w:rPr>
                      <w:rFonts w:hint="eastAsia"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达标</w:t>
                  </w:r>
                </w:p>
                <w:p w14:paraId="6804A6F4">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情况</w:t>
                  </w:r>
                </w:p>
              </w:tc>
            </w:tr>
            <w:tr w14:paraId="59FF0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1500" w:type="dxa"/>
                  <w:vMerge w:val="continue"/>
                  <w:vAlign w:val="center"/>
                </w:tcPr>
                <w:p w14:paraId="07FAD795">
                  <w:pPr>
                    <w:pStyle w:val="20"/>
                    <w:keepNext w:val="0"/>
                    <w:keepLines w:val="0"/>
                    <w:pageBreakBefore w:val="0"/>
                    <w:widowControl w:val="0"/>
                    <w:kinsoku/>
                    <w:wordWrap/>
                    <w:overflowPunct/>
                    <w:topLinePunct w:val="0"/>
                    <w:autoSpaceDE/>
                    <w:autoSpaceDN/>
                    <w:bidi w:val="0"/>
                    <w:adjustRightInd/>
                    <w:snapToGrid/>
                    <w:spacing w:line="240" w:lineRule="auto"/>
                    <w:jc w:val="center"/>
                    <w:textAlignment w:val="baseline"/>
                  </w:pPr>
                </w:p>
              </w:tc>
              <w:tc>
                <w:tcPr>
                  <w:tcW w:w="1383" w:type="dxa"/>
                  <w:vAlign w:val="center"/>
                </w:tcPr>
                <w:p w14:paraId="40C2B449">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第一次</w:t>
                  </w:r>
                </w:p>
              </w:tc>
              <w:tc>
                <w:tcPr>
                  <w:tcW w:w="1367" w:type="dxa"/>
                  <w:vAlign w:val="center"/>
                </w:tcPr>
                <w:p w14:paraId="48B659B3">
                  <w:pPr>
                    <w:pStyle w:val="20"/>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第二次</w:t>
                  </w:r>
                </w:p>
              </w:tc>
              <w:tc>
                <w:tcPr>
                  <w:tcW w:w="1633" w:type="dxa"/>
                  <w:vMerge w:val="continue"/>
                  <w:vAlign w:val="center"/>
                </w:tcPr>
                <w:p w14:paraId="1432D389">
                  <w:pPr>
                    <w:pStyle w:val="20"/>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eastAsia" w:ascii="Times New Roman" w:hAnsi="Times New Roman" w:cs="Times New Roman"/>
                      <w:b/>
                      <w:bCs/>
                      <w:color w:val="auto"/>
                      <w:sz w:val="21"/>
                      <w:szCs w:val="21"/>
                      <w:highlight w:val="none"/>
                      <w:vertAlign w:val="baseline"/>
                      <w:lang w:val="en-US" w:eastAsia="zh-CN"/>
                    </w:rPr>
                  </w:pPr>
                </w:p>
              </w:tc>
              <w:tc>
                <w:tcPr>
                  <w:tcW w:w="1267" w:type="dxa"/>
                  <w:vMerge w:val="continue"/>
                  <w:vAlign w:val="center"/>
                </w:tcPr>
                <w:p w14:paraId="5B410F10">
                  <w:pPr>
                    <w:pStyle w:val="20"/>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eastAsia" w:ascii="Times New Roman" w:hAnsi="Times New Roman" w:cs="Times New Roman"/>
                      <w:b/>
                      <w:bCs/>
                      <w:color w:val="auto"/>
                      <w:sz w:val="21"/>
                      <w:szCs w:val="21"/>
                      <w:highlight w:val="none"/>
                      <w:vertAlign w:val="baseline"/>
                      <w:lang w:val="en-US" w:eastAsia="zh-CN"/>
                    </w:rPr>
                  </w:pPr>
                </w:p>
              </w:tc>
              <w:tc>
                <w:tcPr>
                  <w:tcW w:w="882" w:type="dxa"/>
                  <w:vMerge w:val="continue"/>
                  <w:vAlign w:val="center"/>
                </w:tcPr>
                <w:p w14:paraId="0176A0A6">
                  <w:pPr>
                    <w:pStyle w:val="20"/>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eastAsia" w:ascii="Times New Roman" w:hAnsi="Times New Roman" w:cs="Times New Roman"/>
                      <w:b/>
                      <w:bCs/>
                      <w:color w:val="auto"/>
                      <w:sz w:val="21"/>
                      <w:szCs w:val="21"/>
                      <w:highlight w:val="none"/>
                      <w:vertAlign w:val="baseline"/>
                      <w:lang w:val="en-US" w:eastAsia="zh-CN"/>
                    </w:rPr>
                  </w:pPr>
                </w:p>
              </w:tc>
            </w:tr>
            <w:tr w14:paraId="502A9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exact"/>
                <w:jc w:val="center"/>
              </w:trPr>
              <w:tc>
                <w:tcPr>
                  <w:tcW w:w="1500" w:type="dxa"/>
                  <w:vAlign w:val="center"/>
                </w:tcPr>
                <w:p w14:paraId="75343EF6">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pH值</w:t>
                  </w:r>
                </w:p>
              </w:tc>
              <w:tc>
                <w:tcPr>
                  <w:tcW w:w="1383" w:type="dxa"/>
                  <w:vAlign w:val="center"/>
                </w:tcPr>
                <w:p w14:paraId="5025ECFB">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7.6</w:t>
                  </w:r>
                </w:p>
              </w:tc>
              <w:tc>
                <w:tcPr>
                  <w:tcW w:w="1367" w:type="dxa"/>
                  <w:vAlign w:val="center"/>
                </w:tcPr>
                <w:p w14:paraId="279E0673">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7.4</w:t>
                  </w:r>
                </w:p>
              </w:tc>
              <w:tc>
                <w:tcPr>
                  <w:tcW w:w="1633" w:type="dxa"/>
                  <w:vAlign w:val="center"/>
                </w:tcPr>
                <w:p w14:paraId="7EF22B44">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6-9</w:t>
                  </w:r>
                </w:p>
              </w:tc>
              <w:tc>
                <w:tcPr>
                  <w:tcW w:w="1267" w:type="dxa"/>
                  <w:vAlign w:val="center"/>
                </w:tcPr>
                <w:p w14:paraId="013F1E95">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0.6</w:t>
                  </w:r>
                </w:p>
              </w:tc>
              <w:tc>
                <w:tcPr>
                  <w:tcW w:w="882" w:type="dxa"/>
                  <w:vAlign w:val="center"/>
                </w:tcPr>
                <w:p w14:paraId="4F1650BF">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达标</w:t>
                  </w:r>
                </w:p>
              </w:tc>
            </w:tr>
            <w:tr w14:paraId="07739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exact"/>
                <w:jc w:val="center"/>
              </w:trPr>
              <w:tc>
                <w:tcPr>
                  <w:tcW w:w="1500" w:type="dxa"/>
                  <w:vAlign w:val="center"/>
                </w:tcPr>
                <w:p w14:paraId="5D88A54C">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高锰酸盐指数</w:t>
                  </w:r>
                </w:p>
              </w:tc>
              <w:tc>
                <w:tcPr>
                  <w:tcW w:w="1383" w:type="dxa"/>
                  <w:vAlign w:val="center"/>
                </w:tcPr>
                <w:p w14:paraId="5400E813">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2.16</w:t>
                  </w:r>
                </w:p>
              </w:tc>
              <w:tc>
                <w:tcPr>
                  <w:tcW w:w="1367" w:type="dxa"/>
                  <w:vAlign w:val="center"/>
                </w:tcPr>
                <w:p w14:paraId="76479DAA">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2.38</w:t>
                  </w:r>
                </w:p>
              </w:tc>
              <w:tc>
                <w:tcPr>
                  <w:tcW w:w="1633" w:type="dxa"/>
                  <w:vAlign w:val="center"/>
                </w:tcPr>
                <w:p w14:paraId="3E7D1676">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FF"/>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w:t>
                  </w:r>
                  <w:r>
                    <w:rPr>
                      <w:rFonts w:hint="eastAsia" w:ascii="Times New Roman" w:hAnsi="Times New Roman" w:cs="Times New Roman"/>
                      <w:color w:val="auto"/>
                      <w:sz w:val="21"/>
                      <w:szCs w:val="21"/>
                      <w:highlight w:val="none"/>
                      <w:vertAlign w:val="baseline"/>
                      <w:lang w:val="en-US" w:eastAsia="zh-CN"/>
                    </w:rPr>
                    <w:t>6</w:t>
                  </w:r>
                </w:p>
              </w:tc>
              <w:tc>
                <w:tcPr>
                  <w:tcW w:w="1267" w:type="dxa"/>
                  <w:vAlign w:val="center"/>
                </w:tcPr>
                <w:p w14:paraId="5755C2E2">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0.397</w:t>
                  </w:r>
                </w:p>
              </w:tc>
              <w:tc>
                <w:tcPr>
                  <w:tcW w:w="882" w:type="dxa"/>
                  <w:vAlign w:val="center"/>
                </w:tcPr>
                <w:p w14:paraId="6A779EB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达标</w:t>
                  </w:r>
                </w:p>
              </w:tc>
            </w:tr>
            <w:tr w14:paraId="77AC1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exact"/>
                <w:jc w:val="center"/>
              </w:trPr>
              <w:tc>
                <w:tcPr>
                  <w:tcW w:w="1500" w:type="dxa"/>
                  <w:vAlign w:val="center"/>
                </w:tcPr>
                <w:p w14:paraId="1E646D24">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COD</w:t>
                  </w:r>
                </w:p>
              </w:tc>
              <w:tc>
                <w:tcPr>
                  <w:tcW w:w="1383" w:type="dxa"/>
                  <w:vAlign w:val="center"/>
                </w:tcPr>
                <w:p w14:paraId="18152FEE">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w:t>
                  </w:r>
                </w:p>
              </w:tc>
              <w:tc>
                <w:tcPr>
                  <w:tcW w:w="1367" w:type="dxa"/>
                  <w:vAlign w:val="center"/>
                </w:tcPr>
                <w:p w14:paraId="0BA16BA6">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w:t>
                  </w:r>
                </w:p>
              </w:tc>
              <w:tc>
                <w:tcPr>
                  <w:tcW w:w="1633" w:type="dxa"/>
                  <w:vAlign w:val="center"/>
                </w:tcPr>
                <w:p w14:paraId="4834257E">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w:t>
                  </w:r>
                </w:p>
              </w:tc>
              <w:tc>
                <w:tcPr>
                  <w:tcW w:w="1267" w:type="dxa"/>
                  <w:vAlign w:val="center"/>
                </w:tcPr>
                <w:p w14:paraId="571916D6">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0.5</w:t>
                  </w:r>
                </w:p>
              </w:tc>
              <w:tc>
                <w:tcPr>
                  <w:tcW w:w="882" w:type="dxa"/>
                  <w:vAlign w:val="center"/>
                </w:tcPr>
                <w:p w14:paraId="5DFE02A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达标</w:t>
                  </w:r>
                </w:p>
              </w:tc>
            </w:tr>
            <w:tr w14:paraId="12296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exact"/>
                <w:jc w:val="center"/>
              </w:trPr>
              <w:tc>
                <w:tcPr>
                  <w:tcW w:w="1500" w:type="dxa"/>
                  <w:vAlign w:val="center"/>
                </w:tcPr>
                <w:p w14:paraId="7ADBD635">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BOD</w:t>
                  </w:r>
                  <w:r>
                    <w:rPr>
                      <w:rFonts w:hint="default" w:ascii="Times New Roman" w:hAnsi="Times New Roman" w:eastAsia="宋体" w:cs="Times New Roman"/>
                      <w:color w:val="auto"/>
                      <w:sz w:val="21"/>
                      <w:szCs w:val="21"/>
                      <w:highlight w:val="none"/>
                      <w:vertAlign w:val="subscript"/>
                      <w:lang w:val="en-US" w:eastAsia="zh-CN"/>
                    </w:rPr>
                    <w:t>5</w:t>
                  </w:r>
                </w:p>
              </w:tc>
              <w:tc>
                <w:tcPr>
                  <w:tcW w:w="1383" w:type="dxa"/>
                  <w:vAlign w:val="center"/>
                </w:tcPr>
                <w:p w14:paraId="54266FCD">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2.3</w:t>
                  </w:r>
                </w:p>
              </w:tc>
              <w:tc>
                <w:tcPr>
                  <w:tcW w:w="1367" w:type="dxa"/>
                  <w:vAlign w:val="center"/>
                </w:tcPr>
                <w:p w14:paraId="78C4B6F7">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2.5</w:t>
                  </w:r>
                </w:p>
              </w:tc>
              <w:tc>
                <w:tcPr>
                  <w:tcW w:w="1633" w:type="dxa"/>
                  <w:vAlign w:val="center"/>
                </w:tcPr>
                <w:p w14:paraId="6F04E00F">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w:t>
                  </w:r>
                  <w:r>
                    <w:rPr>
                      <w:rFonts w:hint="eastAsia" w:ascii="Times New Roman" w:hAnsi="Times New Roman" w:cs="Times New Roman"/>
                      <w:color w:val="auto"/>
                      <w:sz w:val="21"/>
                      <w:szCs w:val="21"/>
                      <w:highlight w:val="none"/>
                      <w:vertAlign w:val="baseline"/>
                      <w:lang w:val="en-US" w:eastAsia="zh-CN"/>
                    </w:rPr>
                    <w:t>4</w:t>
                  </w:r>
                </w:p>
              </w:tc>
              <w:tc>
                <w:tcPr>
                  <w:tcW w:w="1267" w:type="dxa"/>
                  <w:vAlign w:val="center"/>
                </w:tcPr>
                <w:p w14:paraId="26A3CBDC">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0.625</w:t>
                  </w:r>
                </w:p>
              </w:tc>
              <w:tc>
                <w:tcPr>
                  <w:tcW w:w="882" w:type="dxa"/>
                  <w:vAlign w:val="center"/>
                </w:tcPr>
                <w:p w14:paraId="62562FF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达标</w:t>
                  </w:r>
                </w:p>
              </w:tc>
            </w:tr>
            <w:tr w14:paraId="1D42E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exact"/>
                <w:jc w:val="center"/>
              </w:trPr>
              <w:tc>
                <w:tcPr>
                  <w:tcW w:w="1500" w:type="dxa"/>
                  <w:vAlign w:val="center"/>
                </w:tcPr>
                <w:p w14:paraId="61F30FBF">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氨氮</w:t>
                  </w:r>
                </w:p>
              </w:tc>
              <w:tc>
                <w:tcPr>
                  <w:tcW w:w="1383" w:type="dxa"/>
                  <w:vAlign w:val="center"/>
                </w:tcPr>
                <w:p w14:paraId="03964FDC">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0.301</w:t>
                  </w:r>
                </w:p>
              </w:tc>
              <w:tc>
                <w:tcPr>
                  <w:tcW w:w="1367" w:type="dxa"/>
                  <w:vAlign w:val="center"/>
                </w:tcPr>
                <w:p w14:paraId="4A7FB6E0">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0.206</w:t>
                  </w:r>
                </w:p>
              </w:tc>
              <w:tc>
                <w:tcPr>
                  <w:tcW w:w="1633" w:type="dxa"/>
                  <w:vAlign w:val="center"/>
                </w:tcPr>
                <w:p w14:paraId="2C30224A">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w:t>
                  </w:r>
                  <w:r>
                    <w:rPr>
                      <w:rFonts w:hint="eastAsia" w:ascii="Times New Roman" w:hAnsi="Times New Roman" w:cs="Times New Roman"/>
                      <w:color w:val="auto"/>
                      <w:sz w:val="21"/>
                      <w:szCs w:val="21"/>
                      <w:highlight w:val="none"/>
                      <w:vertAlign w:val="baseline"/>
                      <w:lang w:val="en-US" w:eastAsia="zh-CN"/>
                    </w:rPr>
                    <w:t>1.0</w:t>
                  </w:r>
                </w:p>
              </w:tc>
              <w:tc>
                <w:tcPr>
                  <w:tcW w:w="1267" w:type="dxa"/>
                  <w:vAlign w:val="center"/>
                </w:tcPr>
                <w:p w14:paraId="6399A3BA">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0.301</w:t>
                  </w:r>
                </w:p>
              </w:tc>
              <w:tc>
                <w:tcPr>
                  <w:tcW w:w="882" w:type="dxa"/>
                  <w:vAlign w:val="center"/>
                </w:tcPr>
                <w:p w14:paraId="7B3BA96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达标</w:t>
                  </w:r>
                </w:p>
              </w:tc>
            </w:tr>
            <w:tr w14:paraId="4B06A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exact"/>
                <w:jc w:val="center"/>
              </w:trPr>
              <w:tc>
                <w:tcPr>
                  <w:tcW w:w="1500" w:type="dxa"/>
                  <w:vAlign w:val="center"/>
                </w:tcPr>
                <w:p w14:paraId="12CB2DA5">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总磷</w:t>
                  </w:r>
                </w:p>
              </w:tc>
              <w:tc>
                <w:tcPr>
                  <w:tcW w:w="1383" w:type="dxa"/>
                  <w:vAlign w:val="center"/>
                </w:tcPr>
                <w:p w14:paraId="5EB79214">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0.03</w:t>
                  </w:r>
                </w:p>
              </w:tc>
              <w:tc>
                <w:tcPr>
                  <w:tcW w:w="1367" w:type="dxa"/>
                  <w:vAlign w:val="center"/>
                </w:tcPr>
                <w:p w14:paraId="7369475C">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0.03</w:t>
                  </w:r>
                </w:p>
              </w:tc>
              <w:tc>
                <w:tcPr>
                  <w:tcW w:w="1633" w:type="dxa"/>
                  <w:vAlign w:val="center"/>
                </w:tcPr>
                <w:p w14:paraId="7BB512A5">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w:t>
                  </w:r>
                  <w:r>
                    <w:rPr>
                      <w:rFonts w:hint="eastAsia" w:ascii="Times New Roman" w:hAnsi="Times New Roman" w:cs="Times New Roman"/>
                      <w:color w:val="auto"/>
                      <w:sz w:val="21"/>
                      <w:szCs w:val="21"/>
                      <w:highlight w:val="none"/>
                      <w:vertAlign w:val="baseline"/>
                      <w:lang w:val="en-US" w:eastAsia="zh-CN"/>
                    </w:rPr>
                    <w:t>0.2</w:t>
                  </w:r>
                </w:p>
              </w:tc>
              <w:tc>
                <w:tcPr>
                  <w:tcW w:w="1267" w:type="dxa"/>
                  <w:vAlign w:val="center"/>
                </w:tcPr>
                <w:p w14:paraId="6F94D156">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0.15</w:t>
                  </w:r>
                </w:p>
              </w:tc>
              <w:tc>
                <w:tcPr>
                  <w:tcW w:w="882" w:type="dxa"/>
                  <w:vAlign w:val="center"/>
                </w:tcPr>
                <w:p w14:paraId="713FAF9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达标</w:t>
                  </w:r>
                </w:p>
              </w:tc>
            </w:tr>
            <w:tr w14:paraId="1AD48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exact"/>
                <w:jc w:val="center"/>
              </w:trPr>
              <w:tc>
                <w:tcPr>
                  <w:tcW w:w="1500" w:type="dxa"/>
                  <w:vAlign w:val="center"/>
                </w:tcPr>
                <w:p w14:paraId="5E85DAE3">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悬浮物</w:t>
                  </w:r>
                </w:p>
              </w:tc>
              <w:tc>
                <w:tcPr>
                  <w:tcW w:w="1383" w:type="dxa"/>
                  <w:vAlign w:val="center"/>
                </w:tcPr>
                <w:p w14:paraId="6A0D826B">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4ND</w:t>
                  </w:r>
                </w:p>
              </w:tc>
              <w:tc>
                <w:tcPr>
                  <w:tcW w:w="1367" w:type="dxa"/>
                  <w:vAlign w:val="center"/>
                </w:tcPr>
                <w:p w14:paraId="66E4D9AD">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4ND</w:t>
                  </w:r>
                </w:p>
              </w:tc>
              <w:tc>
                <w:tcPr>
                  <w:tcW w:w="1633" w:type="dxa"/>
                  <w:vAlign w:val="center"/>
                </w:tcPr>
                <w:p w14:paraId="0575B076">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FF"/>
                      <w:sz w:val="21"/>
                      <w:szCs w:val="21"/>
                      <w:highlight w:val="none"/>
                      <w:vertAlign w:val="baseline"/>
                      <w:lang w:val="en-US" w:eastAsia="zh-CN"/>
                    </w:rPr>
                  </w:pPr>
                  <w:r>
                    <w:rPr>
                      <w:rFonts w:hint="eastAsia" w:ascii="Times New Roman" w:hAnsi="Times New Roman" w:cs="Times New Roman"/>
                      <w:color w:val="0000FF"/>
                      <w:sz w:val="21"/>
                      <w:szCs w:val="21"/>
                      <w:highlight w:val="none"/>
                      <w:vertAlign w:val="baseline"/>
                      <w:lang w:val="en-US" w:eastAsia="zh-CN"/>
                    </w:rPr>
                    <w:t>/</w:t>
                  </w:r>
                </w:p>
              </w:tc>
              <w:tc>
                <w:tcPr>
                  <w:tcW w:w="1267" w:type="dxa"/>
                  <w:vAlign w:val="center"/>
                </w:tcPr>
                <w:p w14:paraId="3BAE5CE2">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882" w:type="dxa"/>
                  <w:vAlign w:val="center"/>
                </w:tcPr>
                <w:p w14:paraId="429579F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r>
            <w:tr w14:paraId="310B8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exact"/>
                <w:jc w:val="center"/>
              </w:trPr>
              <w:tc>
                <w:tcPr>
                  <w:tcW w:w="1500" w:type="dxa"/>
                  <w:vAlign w:val="center"/>
                </w:tcPr>
                <w:p w14:paraId="37689536">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石油类</w:t>
                  </w:r>
                </w:p>
              </w:tc>
              <w:tc>
                <w:tcPr>
                  <w:tcW w:w="1383" w:type="dxa"/>
                  <w:vAlign w:val="center"/>
                </w:tcPr>
                <w:p w14:paraId="4CE05CF9">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0.01ND</w:t>
                  </w:r>
                </w:p>
              </w:tc>
              <w:tc>
                <w:tcPr>
                  <w:tcW w:w="1367" w:type="dxa"/>
                  <w:vAlign w:val="center"/>
                </w:tcPr>
                <w:p w14:paraId="1FD0E63A">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0.01ND</w:t>
                  </w:r>
                </w:p>
              </w:tc>
              <w:tc>
                <w:tcPr>
                  <w:tcW w:w="1633" w:type="dxa"/>
                  <w:vAlign w:val="center"/>
                </w:tcPr>
                <w:p w14:paraId="4E754041">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w:t>
                  </w:r>
                  <w:r>
                    <w:rPr>
                      <w:rFonts w:hint="eastAsia" w:ascii="Times New Roman" w:hAnsi="Times New Roman" w:cs="Times New Roman"/>
                      <w:color w:val="auto"/>
                      <w:sz w:val="21"/>
                      <w:szCs w:val="21"/>
                      <w:highlight w:val="none"/>
                      <w:vertAlign w:val="baseline"/>
                      <w:lang w:val="en-US" w:eastAsia="zh-CN"/>
                    </w:rPr>
                    <w:t>0.05</w:t>
                  </w:r>
                </w:p>
              </w:tc>
              <w:tc>
                <w:tcPr>
                  <w:tcW w:w="1267" w:type="dxa"/>
                  <w:vAlign w:val="center"/>
                </w:tcPr>
                <w:p w14:paraId="33F61FA6">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0.20</w:t>
                  </w:r>
                </w:p>
              </w:tc>
              <w:tc>
                <w:tcPr>
                  <w:tcW w:w="882" w:type="dxa"/>
                  <w:vAlign w:val="center"/>
                </w:tcPr>
                <w:p w14:paraId="5A30FC0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达标</w:t>
                  </w:r>
                </w:p>
              </w:tc>
            </w:tr>
            <w:tr w14:paraId="4BBDF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exact"/>
                <w:jc w:val="center"/>
              </w:trPr>
              <w:tc>
                <w:tcPr>
                  <w:tcW w:w="8032" w:type="dxa"/>
                  <w:gridSpan w:val="6"/>
                  <w:vAlign w:val="center"/>
                </w:tcPr>
                <w:p w14:paraId="28E21CB6">
                  <w:pPr>
                    <w:pStyle w:val="20"/>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baseline"/>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1"/>
                      <w:szCs w:val="21"/>
                      <w:highlight w:val="none"/>
                      <w:vertAlign w:val="baseline"/>
                      <w:lang w:val="en-US" w:eastAsia="zh-CN"/>
                    </w:rPr>
                    <w:t>注：监测结果中″ND″表示低于该方法检出限。</w:t>
                  </w:r>
                </w:p>
                <w:p w14:paraId="06A5255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baseline"/>
                    <w:rPr>
                      <w:rFonts w:hint="eastAsia" w:ascii="Times New Roman" w:hAnsi="Times New Roman" w:cs="Times New Roman"/>
                      <w:color w:val="auto"/>
                      <w:sz w:val="21"/>
                      <w:szCs w:val="21"/>
                      <w:highlight w:val="none"/>
                      <w:vertAlign w:val="baseline"/>
                      <w:lang w:val="en-US" w:eastAsia="zh-CN"/>
                    </w:rPr>
                  </w:pPr>
                </w:p>
              </w:tc>
            </w:tr>
          </w:tbl>
          <w:p w14:paraId="102C7DF3">
            <w:pPr>
              <w:pStyle w:val="20"/>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leftChars="0" w:firstLine="480" w:firstLineChars="200"/>
              <w:textAlignment w:val="baseline"/>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由</w:t>
            </w:r>
            <w:r>
              <w:rPr>
                <w:rFonts w:hint="eastAsia" w:ascii="Times New Roman" w:hAnsi="Times New Roman" w:cs="Times New Roman"/>
                <w:color w:val="auto"/>
                <w:sz w:val="24"/>
                <w:szCs w:val="24"/>
                <w:highlight w:val="none"/>
                <w:lang w:val="en-US" w:eastAsia="zh-CN"/>
              </w:rPr>
              <w:t>上表</w:t>
            </w:r>
            <w:r>
              <w:rPr>
                <w:rFonts w:hint="default" w:ascii="Times New Roman" w:hAnsi="Times New Roman" w:cs="Times New Roman"/>
                <w:color w:val="auto"/>
                <w:sz w:val="24"/>
                <w:szCs w:val="24"/>
                <w:highlight w:val="none"/>
                <w:lang w:val="en-US" w:eastAsia="zh-CN"/>
              </w:rPr>
              <w:t>可知，评价区地表水监测断面各项水质监测指标均满足《地表水环境质量标准》（GB3838-2002）</w:t>
            </w:r>
            <w:r>
              <w:rPr>
                <w:rFonts w:hint="default" w:ascii="Times New Roman" w:hAnsi="Times New Roman" w:eastAsia="宋体" w:cs="Times New Roman"/>
                <w:color w:val="auto"/>
                <w:sz w:val="24"/>
                <w:szCs w:val="24"/>
                <w:highlight w:val="none"/>
                <w:lang w:val="en-US" w:eastAsia="zh-CN"/>
              </w:rPr>
              <w:t>Ⅲ</w:t>
            </w:r>
            <w:r>
              <w:rPr>
                <w:rFonts w:hint="default" w:ascii="Times New Roman" w:hAnsi="Times New Roman" w:cs="Times New Roman"/>
                <w:color w:val="auto"/>
                <w:sz w:val="24"/>
                <w:szCs w:val="24"/>
                <w:highlight w:val="none"/>
                <w:lang w:val="en-US" w:eastAsia="zh-CN"/>
              </w:rPr>
              <w:t>类标准要求，区域地表水水质较好</w:t>
            </w:r>
            <w:r>
              <w:rPr>
                <w:rFonts w:hint="eastAsia" w:ascii="Times New Roman" w:hAnsi="Times New Roman" w:cs="Times New Roman"/>
                <w:color w:val="auto"/>
                <w:sz w:val="24"/>
                <w:szCs w:val="24"/>
                <w:highlight w:val="none"/>
                <w:lang w:val="en-US" w:eastAsia="zh-CN"/>
              </w:rPr>
              <w:t>。</w:t>
            </w:r>
          </w:p>
          <w:p w14:paraId="00FC0158">
            <w:pPr>
              <w:pStyle w:val="14"/>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（3）声环境质量现状</w:t>
            </w:r>
          </w:p>
          <w:p w14:paraId="21EE3C09">
            <w:pPr>
              <w:pStyle w:val="20"/>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baseline"/>
              <w:rPr>
                <w:rFonts w:hint="default"/>
                <w:color w:val="auto"/>
                <w:lang w:val="en-US" w:eastAsia="zh-CN"/>
              </w:rPr>
            </w:pPr>
            <w:r>
              <w:rPr>
                <w:rFonts w:hint="default" w:ascii="Times New Roman" w:hAnsi="Times New Roman" w:cs="Times New Roman"/>
                <w:color w:val="auto"/>
                <w:lang w:val="en-US" w:eastAsia="zh-CN"/>
              </w:rPr>
              <w:t>根据现场调查，</w:t>
            </w:r>
            <w:r>
              <w:rPr>
                <w:rFonts w:hint="eastAsia" w:ascii="Times New Roman" w:hAnsi="Times New Roman" w:cs="Times New Roman"/>
                <w:color w:val="auto"/>
                <w:lang w:val="en-US" w:eastAsia="zh-CN"/>
              </w:rPr>
              <w:t>本工程周边50m范围内无声环境敏感点，根据</w:t>
            </w:r>
            <w:r>
              <w:rPr>
                <w:rFonts w:hint="default" w:ascii="Times New Roman" w:hAnsi="Times New Roman" w:eastAsia="宋体" w:cs="Times New Roman"/>
                <w:color w:val="000000"/>
                <w:kern w:val="0"/>
                <w:sz w:val="24"/>
                <w:szCs w:val="24"/>
                <w:lang w:val="en-US" w:eastAsia="zh-CN" w:bidi="ar"/>
              </w:rPr>
              <w:t>《建设项目环境影响报告表编制技术指南》（污染影响类）</w:t>
            </w:r>
            <w:r>
              <w:rPr>
                <w:rFonts w:hint="eastAsia" w:ascii="Times New Roman" w:hAnsi="Times New Roman" w:cs="Times New Roman"/>
                <w:color w:val="auto"/>
                <w:lang w:val="en-US" w:eastAsia="zh-CN"/>
              </w:rPr>
              <w:t>，可不进行声环境质量现状调查。</w:t>
            </w:r>
          </w:p>
        </w:tc>
      </w:tr>
      <w:tr w14:paraId="34327C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786" w:type="dxa"/>
            <w:noWrap w:val="0"/>
            <w:vAlign w:val="center"/>
          </w:tcPr>
          <w:p w14:paraId="5EF5EF08">
            <w:pPr>
              <w:adjustRightInd w:val="0"/>
              <w:snapToGrid w:val="0"/>
              <w:jc w:val="center"/>
              <w:rPr>
                <w:rFonts w:hint="eastAsia" w:ascii="宋体" w:hAnsi="宋体" w:cs="宋体"/>
                <w:color w:val="auto"/>
                <w:kern w:val="0"/>
                <w:sz w:val="24"/>
                <w:lang w:val="en-US" w:eastAsia="zh-CN"/>
              </w:rPr>
            </w:pPr>
            <w:r>
              <w:rPr>
                <w:rFonts w:hint="eastAsia" w:ascii="宋体" w:hAnsi="宋体" w:eastAsia="宋体" w:cs="宋体"/>
                <w:color w:val="auto"/>
                <w:kern w:val="0"/>
                <w:sz w:val="24"/>
                <w:lang w:val="en-US" w:eastAsia="zh-CN"/>
              </w:rPr>
              <w:t>与项目有关的原有环境污染和生态破坏问题</w:t>
            </w:r>
          </w:p>
        </w:tc>
        <w:tc>
          <w:tcPr>
            <w:tcW w:w="8253" w:type="dxa"/>
            <w:noWrap w:val="0"/>
            <w:vAlign w:val="center"/>
          </w:tcPr>
          <w:p w14:paraId="5CFAB0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本工程为新建项目，</w:t>
            </w:r>
            <w:r>
              <w:rPr>
                <w:rFonts w:hint="eastAsia" w:cs="Times New Roman"/>
                <w:color w:val="auto"/>
                <w:sz w:val="24"/>
                <w:szCs w:val="24"/>
                <w:lang w:val="en-US" w:eastAsia="zh-CN"/>
              </w:rPr>
              <w:t>陇县污水处理厂人工湿地用地类型为</w:t>
            </w:r>
            <w:r>
              <w:rPr>
                <w:rFonts w:hint="eastAsia" w:ascii="Times New Roman" w:hAnsi="Times New Roman" w:eastAsia="宋体" w:cs="Times New Roman"/>
                <w:b w:val="0"/>
                <w:bCs w:val="0"/>
                <w:color w:val="auto"/>
                <w:sz w:val="24"/>
                <w:szCs w:val="24"/>
                <w:highlight w:val="none"/>
                <w:lang w:val="en-US" w:eastAsia="zh-CN"/>
              </w:rPr>
              <w:t>园地、其他林地、其他草地；陇县千河南岸新城污水处理厂人工湿地占地</w:t>
            </w:r>
            <w:r>
              <w:rPr>
                <w:rFonts w:hint="eastAsia" w:cs="Times New Roman"/>
                <w:b w:val="0"/>
                <w:bCs w:val="0"/>
                <w:color w:val="auto"/>
                <w:sz w:val="24"/>
                <w:szCs w:val="24"/>
                <w:highlight w:val="none"/>
                <w:lang w:val="en-US" w:eastAsia="zh-CN"/>
              </w:rPr>
              <w:t>类型</w:t>
            </w:r>
            <w:r>
              <w:rPr>
                <w:rFonts w:hint="eastAsia" w:ascii="Times New Roman" w:hAnsi="Times New Roman" w:eastAsia="宋体" w:cs="Times New Roman"/>
                <w:b w:val="0"/>
                <w:bCs w:val="0"/>
                <w:color w:val="auto"/>
                <w:sz w:val="24"/>
                <w:szCs w:val="24"/>
                <w:highlight w:val="none"/>
                <w:lang w:val="en-US" w:eastAsia="zh-CN"/>
              </w:rPr>
              <w:t>为天然牧草地、公用设施用地、公路用地、乔木林地</w:t>
            </w:r>
            <w:r>
              <w:rPr>
                <w:rFonts w:hint="eastAsia" w:cs="Times New Roman"/>
                <w:b w:val="0"/>
                <w:bCs w:val="0"/>
                <w:color w:val="auto"/>
                <w:sz w:val="24"/>
                <w:szCs w:val="24"/>
                <w:highlight w:val="none"/>
                <w:lang w:val="en-US" w:eastAsia="zh-CN"/>
              </w:rPr>
              <w:t>，项目用地范围内</w:t>
            </w:r>
            <w:r>
              <w:rPr>
                <w:rFonts w:hint="eastAsia" w:ascii="Times New Roman" w:hAnsi="Times New Roman" w:cs="Times New Roman"/>
                <w:color w:val="auto"/>
                <w:sz w:val="24"/>
                <w:szCs w:val="24"/>
                <w:lang w:val="en-US" w:eastAsia="zh-CN"/>
              </w:rPr>
              <w:t>无原有污染情况</w:t>
            </w:r>
            <w:r>
              <w:rPr>
                <w:rFonts w:hint="eastAsia" w:cs="Times New Roman"/>
                <w:color w:val="auto"/>
                <w:sz w:val="24"/>
                <w:szCs w:val="24"/>
                <w:lang w:val="en-US" w:eastAsia="zh-CN"/>
              </w:rPr>
              <w:t>和生态破坏问题。</w:t>
            </w:r>
          </w:p>
          <w:p w14:paraId="07DEA7F0">
            <w:pPr>
              <w:spacing w:before="34" w:line="354" w:lineRule="auto"/>
              <w:ind w:left="121" w:right="33" w:firstLine="496"/>
              <w:jc w:val="both"/>
              <w:rPr>
                <w:rFonts w:hint="eastAsia" w:ascii="宋体" w:hAnsi="宋体" w:eastAsia="宋体" w:cs="宋体"/>
                <w:spacing w:val="17"/>
                <w:sz w:val="24"/>
                <w:szCs w:val="24"/>
                <w:lang w:eastAsia="zh-CN"/>
              </w:rPr>
            </w:pPr>
            <w:r>
              <w:rPr>
                <w:rFonts w:hint="eastAsia" w:cs="Times New Roman"/>
                <w:color w:val="auto"/>
                <w:sz w:val="24"/>
                <w:szCs w:val="24"/>
                <w:lang w:val="en-US" w:eastAsia="zh-CN"/>
              </w:rPr>
              <w:t>陇县污水处理厂和陇县千河南岸新城污水处理厂出水执行</w:t>
            </w:r>
            <w:r>
              <w:rPr>
                <w:rFonts w:ascii="宋体" w:hAnsi="宋体" w:eastAsia="宋体" w:cs="宋体"/>
                <w:color w:val="auto"/>
                <w:spacing w:val="17"/>
                <w:sz w:val="24"/>
                <w:szCs w:val="24"/>
              </w:rPr>
              <w:t>《陕西省黄河流域污水综合排放标准》</w:t>
            </w:r>
            <w:bookmarkStart w:id="7" w:name="bookmark77"/>
            <w:bookmarkEnd w:id="7"/>
            <w:r>
              <w:rPr>
                <w:rFonts w:ascii="宋体" w:hAnsi="宋体" w:eastAsia="宋体" w:cs="宋体"/>
                <w:color w:val="auto"/>
                <w:spacing w:val="-1"/>
                <w:sz w:val="24"/>
                <w:szCs w:val="24"/>
              </w:rPr>
              <w:t>（</w:t>
            </w:r>
            <w:r>
              <w:rPr>
                <w:rFonts w:ascii="Times New Roman" w:hAnsi="Times New Roman" w:eastAsia="Times New Roman" w:cs="Times New Roman"/>
                <w:color w:val="auto"/>
                <w:spacing w:val="-1"/>
                <w:sz w:val="24"/>
                <w:szCs w:val="24"/>
              </w:rPr>
              <w:t>DB61/224-2018</w:t>
            </w:r>
            <w:r>
              <w:rPr>
                <w:rFonts w:ascii="宋体" w:hAnsi="宋体" w:eastAsia="宋体" w:cs="宋体"/>
                <w:color w:val="auto"/>
                <w:spacing w:val="-1"/>
                <w:sz w:val="24"/>
                <w:szCs w:val="24"/>
              </w:rPr>
              <w:t>）中的</w:t>
            </w:r>
            <w:r>
              <w:rPr>
                <w:rFonts w:ascii="宋体" w:hAnsi="宋体" w:eastAsia="宋体" w:cs="宋体"/>
                <w:color w:val="auto"/>
                <w:spacing w:val="-50"/>
                <w:sz w:val="24"/>
                <w:szCs w:val="24"/>
              </w:rPr>
              <w:t xml:space="preserve"> </w:t>
            </w:r>
            <w:r>
              <w:rPr>
                <w:rFonts w:ascii="Times New Roman" w:hAnsi="Times New Roman" w:eastAsia="Times New Roman" w:cs="Times New Roman"/>
                <w:color w:val="auto"/>
                <w:spacing w:val="-1"/>
                <w:sz w:val="24"/>
                <w:szCs w:val="24"/>
              </w:rPr>
              <w:t>A</w:t>
            </w:r>
            <w:r>
              <w:rPr>
                <w:rFonts w:ascii="宋体" w:hAnsi="宋体" w:eastAsia="宋体" w:cs="宋体"/>
                <w:color w:val="auto"/>
                <w:spacing w:val="-1"/>
                <w:sz w:val="24"/>
                <w:szCs w:val="24"/>
              </w:rPr>
              <w:t>类标准</w:t>
            </w:r>
            <w:r>
              <w:rPr>
                <w:rFonts w:hint="eastAsia" w:ascii="宋体" w:hAnsi="宋体" w:eastAsia="宋体" w:cs="宋体"/>
                <w:color w:val="auto"/>
                <w:spacing w:val="-1"/>
                <w:sz w:val="24"/>
                <w:szCs w:val="24"/>
                <w:lang w:eastAsia="zh-CN"/>
              </w:rPr>
              <w:t>，</w:t>
            </w:r>
            <w:r>
              <w:rPr>
                <w:rFonts w:hint="eastAsia" w:cs="Times New Roman"/>
                <w:color w:val="auto"/>
                <w:sz w:val="24"/>
                <w:szCs w:val="24"/>
                <w:lang w:val="en-US" w:eastAsia="zh-CN"/>
              </w:rPr>
              <w:t>根据建设单位提供的</w:t>
            </w:r>
            <w:r>
              <w:rPr>
                <w:rFonts w:ascii="宋体" w:hAnsi="宋体" w:eastAsia="宋体" w:cs="宋体"/>
                <w:color w:val="auto"/>
                <w:spacing w:val="-55"/>
                <w:sz w:val="24"/>
                <w:szCs w:val="24"/>
              </w:rPr>
              <w:t xml:space="preserve"> </w:t>
            </w:r>
            <w:r>
              <w:rPr>
                <w:rFonts w:ascii="Times New Roman" w:hAnsi="Times New Roman" w:eastAsia="Times New Roman" w:cs="Times New Roman"/>
                <w:color w:val="auto"/>
                <w:spacing w:val="-3"/>
                <w:sz w:val="24"/>
                <w:szCs w:val="24"/>
              </w:rPr>
              <w:t>2022</w:t>
            </w:r>
            <w:r>
              <w:rPr>
                <w:rFonts w:ascii="宋体" w:hAnsi="宋体" w:eastAsia="宋体" w:cs="宋体"/>
                <w:color w:val="auto"/>
                <w:spacing w:val="-3"/>
                <w:sz w:val="24"/>
                <w:szCs w:val="24"/>
              </w:rPr>
              <w:t>年</w:t>
            </w:r>
            <w:r>
              <w:rPr>
                <w:rFonts w:ascii="Times New Roman" w:hAnsi="Times New Roman" w:eastAsia="Times New Roman" w:cs="Times New Roman"/>
                <w:spacing w:val="-3"/>
                <w:sz w:val="24"/>
                <w:szCs w:val="24"/>
              </w:rPr>
              <w:t>1</w:t>
            </w:r>
            <w:r>
              <w:rPr>
                <w:rFonts w:ascii="宋体" w:hAnsi="宋体" w:eastAsia="宋体" w:cs="宋体"/>
                <w:spacing w:val="-3"/>
                <w:sz w:val="24"/>
                <w:szCs w:val="24"/>
              </w:rPr>
              <w:t>月～</w:t>
            </w:r>
            <w:r>
              <w:rPr>
                <w:rFonts w:ascii="Times New Roman" w:hAnsi="Times New Roman" w:eastAsia="Times New Roman" w:cs="Times New Roman"/>
                <w:spacing w:val="-3"/>
                <w:sz w:val="24"/>
                <w:szCs w:val="24"/>
              </w:rPr>
              <w:t>2025</w:t>
            </w:r>
            <w:r>
              <w:rPr>
                <w:rFonts w:ascii="宋体" w:hAnsi="宋体" w:eastAsia="宋体" w:cs="宋体"/>
                <w:spacing w:val="-3"/>
                <w:sz w:val="24"/>
                <w:szCs w:val="24"/>
              </w:rPr>
              <w:t>年</w:t>
            </w:r>
            <w:r>
              <w:rPr>
                <w:rFonts w:ascii="Times New Roman" w:hAnsi="Times New Roman" w:eastAsia="Times New Roman" w:cs="Times New Roman"/>
                <w:spacing w:val="-3"/>
                <w:sz w:val="24"/>
                <w:szCs w:val="24"/>
              </w:rPr>
              <w:t>10</w:t>
            </w:r>
            <w:r>
              <w:rPr>
                <w:rFonts w:ascii="宋体" w:hAnsi="宋体" w:eastAsia="宋体" w:cs="宋体"/>
                <w:spacing w:val="-4"/>
                <w:sz w:val="24"/>
                <w:szCs w:val="24"/>
              </w:rPr>
              <w:t>月逐月水质指标统计，</w:t>
            </w:r>
            <w:r>
              <w:rPr>
                <w:rFonts w:ascii="Times New Roman" w:hAnsi="Times New Roman" w:eastAsia="Times New Roman" w:cs="Times New Roman"/>
                <w:spacing w:val="-4"/>
                <w:sz w:val="24"/>
                <w:szCs w:val="24"/>
              </w:rPr>
              <w:t>2</w:t>
            </w:r>
            <w:r>
              <w:rPr>
                <w:rFonts w:ascii="宋体" w:hAnsi="宋体" w:eastAsia="宋体" w:cs="宋体"/>
                <w:spacing w:val="-4"/>
                <w:sz w:val="24"/>
                <w:szCs w:val="24"/>
              </w:rPr>
              <w:t>座污水处理厂出水水质检测</w:t>
            </w:r>
            <w:r>
              <w:rPr>
                <w:rFonts w:ascii="宋体" w:hAnsi="宋体" w:eastAsia="宋体" w:cs="宋体"/>
                <w:spacing w:val="17"/>
                <w:sz w:val="24"/>
                <w:szCs w:val="24"/>
              </w:rPr>
              <w:t>数据中的各项指标均能达标排放</w:t>
            </w:r>
            <w:r>
              <w:rPr>
                <w:rFonts w:ascii="宋体" w:hAnsi="宋体" w:eastAsia="宋体" w:cs="宋体"/>
                <w:spacing w:val="-66"/>
                <w:sz w:val="24"/>
                <w:szCs w:val="24"/>
              </w:rPr>
              <w:t xml:space="preserve"> </w:t>
            </w:r>
            <w:r>
              <w:rPr>
                <w:rFonts w:hint="eastAsia" w:ascii="宋体" w:hAnsi="宋体" w:eastAsia="宋体" w:cs="宋体"/>
                <w:spacing w:val="17"/>
                <w:sz w:val="24"/>
                <w:szCs w:val="24"/>
                <w:lang w:eastAsia="zh-CN"/>
              </w:rPr>
              <w:t>。</w:t>
            </w:r>
          </w:p>
          <w:p w14:paraId="00787577">
            <w:pPr>
              <w:spacing w:before="34" w:line="354" w:lineRule="auto"/>
              <w:ind w:left="121" w:right="33" w:firstLine="496"/>
              <w:jc w:val="both"/>
              <w:rPr>
                <w:rFonts w:ascii="宋体" w:hAnsi="宋体" w:eastAsia="宋体" w:cs="宋体"/>
                <w:sz w:val="24"/>
                <w:szCs w:val="24"/>
              </w:rPr>
            </w:pPr>
            <w:r>
              <w:rPr>
                <w:rFonts w:ascii="宋体" w:hAnsi="宋体" w:eastAsia="宋体" w:cs="宋体"/>
                <w:spacing w:val="-2"/>
                <w:sz w:val="24"/>
                <w:szCs w:val="24"/>
              </w:rPr>
              <w:t>陇县千河南岸新城污水处理厂下游约</w:t>
            </w:r>
            <w:r>
              <w:rPr>
                <w:rFonts w:ascii="Times New Roman" w:hAnsi="Times New Roman" w:eastAsia="Times New Roman" w:cs="Times New Roman"/>
                <w:spacing w:val="-2"/>
                <w:sz w:val="24"/>
                <w:szCs w:val="24"/>
              </w:rPr>
              <w:t>16km</w:t>
            </w:r>
            <w:r>
              <w:rPr>
                <w:rFonts w:ascii="宋体" w:hAnsi="宋体" w:eastAsia="宋体" w:cs="宋体"/>
                <w:spacing w:val="-2"/>
                <w:sz w:val="24"/>
                <w:szCs w:val="24"/>
              </w:rPr>
              <w:t>处，设有千陇交界（水沟桥）水质监测</w:t>
            </w:r>
            <w:r>
              <w:rPr>
                <w:rFonts w:ascii="宋体" w:hAnsi="宋体" w:eastAsia="宋体" w:cs="宋体"/>
                <w:spacing w:val="-11"/>
                <w:sz w:val="24"/>
                <w:szCs w:val="24"/>
              </w:rPr>
              <w:t>断面，其执行《地表水环境质量标准》（</w:t>
            </w:r>
            <w:r>
              <w:rPr>
                <w:rFonts w:ascii="Times New Roman" w:hAnsi="Times New Roman" w:eastAsia="Times New Roman" w:cs="Times New Roman"/>
                <w:spacing w:val="-11"/>
                <w:sz w:val="24"/>
                <w:szCs w:val="24"/>
              </w:rPr>
              <w:t>GB3</w:t>
            </w:r>
            <w:r>
              <w:rPr>
                <w:rFonts w:ascii="Times New Roman" w:hAnsi="Times New Roman" w:eastAsia="Times New Roman" w:cs="Times New Roman"/>
                <w:spacing w:val="-12"/>
                <w:sz w:val="24"/>
                <w:szCs w:val="24"/>
              </w:rPr>
              <w:t>838-2002</w:t>
            </w:r>
            <w:r>
              <w:rPr>
                <w:rFonts w:ascii="宋体" w:hAnsi="宋体" w:eastAsia="宋体" w:cs="宋体"/>
                <w:spacing w:val="-12"/>
                <w:sz w:val="24"/>
                <w:szCs w:val="24"/>
              </w:rPr>
              <w:t>）Ⅲ类水标准。</w:t>
            </w:r>
          </w:p>
          <w:p w14:paraId="59B1FC9E">
            <w:pPr>
              <w:keepNext w:val="0"/>
              <w:keepLines w:val="0"/>
              <w:pageBreakBefore w:val="0"/>
              <w:widowControl w:val="0"/>
              <w:kinsoku/>
              <w:wordWrap/>
              <w:overflowPunct/>
              <w:topLinePunct w:val="0"/>
              <w:autoSpaceDE/>
              <w:autoSpaceDN/>
              <w:bidi w:val="0"/>
              <w:adjustRightInd/>
              <w:snapToGrid/>
              <w:spacing w:line="360" w:lineRule="auto"/>
              <w:ind w:firstLine="548" w:firstLineChars="200"/>
              <w:textAlignment w:val="auto"/>
              <w:rPr>
                <w:rFonts w:hint="eastAsia" w:ascii="宋体" w:hAnsi="宋体" w:eastAsia="宋体" w:cs="宋体"/>
                <w:spacing w:val="17"/>
                <w:sz w:val="24"/>
                <w:szCs w:val="24"/>
                <w:lang w:val="en-US" w:eastAsia="zh-CN"/>
              </w:rPr>
            </w:pPr>
            <w:r>
              <w:rPr>
                <w:rFonts w:hint="eastAsia" w:ascii="宋体" w:hAnsi="宋体" w:eastAsia="宋体" w:cs="宋体"/>
                <w:spacing w:val="17"/>
                <w:sz w:val="24"/>
                <w:szCs w:val="24"/>
                <w:lang w:val="en-US" w:eastAsia="zh-CN"/>
              </w:rPr>
              <w:t>污水处理厂出水监测数据范围及排放标准、地表水环境质量标准值的对比情况见表3-</w:t>
            </w:r>
            <w:r>
              <w:rPr>
                <w:rFonts w:hint="eastAsia" w:ascii="宋体" w:hAnsi="宋体" w:cs="宋体"/>
                <w:spacing w:val="17"/>
                <w:sz w:val="24"/>
                <w:szCs w:val="24"/>
                <w:lang w:val="en-US" w:eastAsia="zh-CN"/>
              </w:rPr>
              <w:t>5</w:t>
            </w:r>
            <w:r>
              <w:rPr>
                <w:rFonts w:hint="eastAsia" w:ascii="宋体" w:hAnsi="宋体" w:eastAsia="宋体" w:cs="宋体"/>
                <w:spacing w:val="17"/>
                <w:sz w:val="24"/>
                <w:szCs w:val="24"/>
                <w:lang w:val="en-US" w:eastAsia="zh-CN"/>
              </w:rPr>
              <w:t>。</w:t>
            </w:r>
          </w:p>
          <w:p w14:paraId="1DAE3195">
            <w:pPr>
              <w:pStyle w:val="20"/>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2" w:firstLineChars="200"/>
              <w:jc w:val="center"/>
              <w:textAlignment w:val="baseline"/>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b/>
                <w:bCs/>
                <w:color w:val="auto"/>
                <w:sz w:val="21"/>
                <w:szCs w:val="21"/>
                <w:highlight w:val="none"/>
                <w:lang w:val="en-US" w:eastAsia="zh-CN"/>
              </w:rPr>
              <w:t>表3-5  污水处理厂出水水质监测情况</w:t>
            </w:r>
          </w:p>
          <w:tbl>
            <w:tblPr>
              <w:tblStyle w:val="36"/>
              <w:tblW w:w="795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3"/>
              <w:gridCol w:w="1305"/>
              <w:gridCol w:w="1290"/>
              <w:gridCol w:w="1245"/>
              <w:gridCol w:w="1377"/>
              <w:gridCol w:w="1316"/>
            </w:tblGrid>
            <w:tr w14:paraId="2508C0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jc w:val="center"/>
              </w:trPr>
              <w:tc>
                <w:tcPr>
                  <w:tcW w:w="2728" w:type="dxa"/>
                  <w:gridSpan w:val="2"/>
                  <w:noWrap w:val="0"/>
                  <w:vAlign w:val="center"/>
                </w:tcPr>
                <w:p w14:paraId="2A885255">
                  <w:pPr>
                    <w:pStyle w:val="35"/>
                    <w:keepNext w:val="0"/>
                    <w:keepLines w:val="0"/>
                    <w:pageBreakBefore w:val="0"/>
                    <w:kinsoku/>
                    <w:wordWrap/>
                    <w:overflowPunct/>
                    <w:topLinePunct w:val="0"/>
                    <w:bidi w:val="0"/>
                    <w:adjustRightInd/>
                    <w:snapToGrid/>
                    <w:spacing w:line="240" w:lineRule="auto"/>
                    <w:jc w:val="center"/>
                    <w:textAlignment w:val="auto"/>
                    <w:rPr>
                      <w:sz w:val="21"/>
                      <w:szCs w:val="21"/>
                    </w:rPr>
                  </w:pPr>
                  <w:r>
                    <w:rPr>
                      <w:spacing w:val="-5"/>
                      <w:sz w:val="21"/>
                      <w:szCs w:val="21"/>
                    </w:rPr>
                    <w:t>指标</w:t>
                  </w:r>
                </w:p>
              </w:tc>
              <w:tc>
                <w:tcPr>
                  <w:tcW w:w="1290" w:type="dxa"/>
                  <w:noWrap w:val="0"/>
                  <w:vAlign w:val="center"/>
                </w:tcPr>
                <w:p w14:paraId="32197158">
                  <w:pPr>
                    <w:keepNext w:val="0"/>
                    <w:keepLines w:val="0"/>
                    <w:pageBreakBefore w:val="0"/>
                    <w:kinsoku/>
                    <w:wordWrap/>
                    <w:overflowPunct/>
                    <w:topLinePunct w:val="0"/>
                    <w:bidi w:val="0"/>
                    <w:adjustRightInd/>
                    <w:snapToGrid/>
                    <w:spacing w:line="240" w:lineRule="auto"/>
                    <w:jc w:val="center"/>
                    <w:textAlignment w:val="auto"/>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COD</w:t>
                  </w:r>
                </w:p>
              </w:tc>
              <w:tc>
                <w:tcPr>
                  <w:tcW w:w="1245" w:type="dxa"/>
                  <w:noWrap w:val="0"/>
                  <w:vAlign w:val="center"/>
                </w:tcPr>
                <w:p w14:paraId="3EA3A624">
                  <w:pPr>
                    <w:keepNext w:val="0"/>
                    <w:keepLines w:val="0"/>
                    <w:pageBreakBefore w:val="0"/>
                    <w:kinsoku/>
                    <w:wordWrap/>
                    <w:overflowPunct/>
                    <w:topLinePunct w:val="0"/>
                    <w:bidi w:val="0"/>
                    <w:adjustRightInd/>
                    <w:snapToGrid/>
                    <w:spacing w:line="240" w:lineRule="auto"/>
                    <w:jc w:val="center"/>
                    <w:textAlignment w:val="auto"/>
                    <w:rPr>
                      <w:rFonts w:ascii="Times New Roman" w:hAnsi="Times New Roman" w:eastAsia="Times New Roman" w:cs="Times New Roman"/>
                      <w:spacing w:val="-3"/>
                      <w:sz w:val="21"/>
                      <w:szCs w:val="21"/>
                    </w:rPr>
                  </w:pPr>
                  <w:r>
                    <w:rPr>
                      <w:rFonts w:ascii="Times New Roman" w:hAnsi="Times New Roman" w:eastAsia="Times New Roman" w:cs="Times New Roman"/>
                      <w:spacing w:val="-3"/>
                      <w:sz w:val="21"/>
                      <w:szCs w:val="21"/>
                    </w:rPr>
                    <w:t>TN</w:t>
                  </w:r>
                </w:p>
              </w:tc>
              <w:tc>
                <w:tcPr>
                  <w:tcW w:w="1377" w:type="dxa"/>
                  <w:noWrap w:val="0"/>
                  <w:vAlign w:val="center"/>
                </w:tcPr>
                <w:p w14:paraId="3B78D527">
                  <w:pPr>
                    <w:keepNext w:val="0"/>
                    <w:keepLines w:val="0"/>
                    <w:pageBreakBefore w:val="0"/>
                    <w:kinsoku/>
                    <w:wordWrap/>
                    <w:overflowPunct/>
                    <w:topLinePunct w:val="0"/>
                    <w:bidi w:val="0"/>
                    <w:adjustRightInd/>
                    <w:snapToGrid/>
                    <w:spacing w:line="240" w:lineRule="auto"/>
                    <w:jc w:val="center"/>
                    <w:textAlignment w:val="auto"/>
                    <w:rPr>
                      <w:rFonts w:ascii="Times New Roman" w:hAnsi="Times New Roman" w:eastAsia="Times New Roman" w:cs="Times New Roman"/>
                      <w:spacing w:val="-3"/>
                      <w:sz w:val="21"/>
                      <w:szCs w:val="21"/>
                    </w:rPr>
                  </w:pPr>
                  <w:r>
                    <w:rPr>
                      <w:rFonts w:ascii="Times New Roman" w:hAnsi="Times New Roman" w:eastAsia="Times New Roman" w:cs="Times New Roman"/>
                      <w:spacing w:val="-3"/>
                      <w:sz w:val="21"/>
                      <w:szCs w:val="21"/>
                    </w:rPr>
                    <w:t>NH</w:t>
                  </w:r>
                  <w:r>
                    <w:rPr>
                      <w:rFonts w:ascii="Times New Roman" w:hAnsi="Times New Roman" w:eastAsia="Times New Roman" w:cs="Times New Roman"/>
                      <w:spacing w:val="-3"/>
                      <w:sz w:val="21"/>
                      <w:szCs w:val="21"/>
                      <w:vertAlign w:val="subscript"/>
                    </w:rPr>
                    <w:t>3</w:t>
                  </w:r>
                  <w:r>
                    <w:rPr>
                      <w:rFonts w:ascii="Times New Roman" w:hAnsi="Times New Roman" w:eastAsia="Times New Roman" w:cs="Times New Roman"/>
                      <w:spacing w:val="-3"/>
                      <w:sz w:val="21"/>
                      <w:szCs w:val="21"/>
                    </w:rPr>
                    <w:t>-N</w:t>
                  </w:r>
                </w:p>
              </w:tc>
              <w:tc>
                <w:tcPr>
                  <w:tcW w:w="1316" w:type="dxa"/>
                  <w:noWrap w:val="0"/>
                  <w:vAlign w:val="center"/>
                </w:tcPr>
                <w:p w14:paraId="1F543A90">
                  <w:pPr>
                    <w:keepNext w:val="0"/>
                    <w:keepLines w:val="0"/>
                    <w:pageBreakBefore w:val="0"/>
                    <w:kinsoku/>
                    <w:wordWrap/>
                    <w:overflowPunct/>
                    <w:topLinePunct w:val="0"/>
                    <w:bidi w:val="0"/>
                    <w:adjustRightInd/>
                    <w:snapToGrid/>
                    <w:spacing w:line="240" w:lineRule="auto"/>
                    <w:jc w:val="center"/>
                    <w:textAlignment w:val="auto"/>
                    <w:rPr>
                      <w:rFonts w:ascii="Times New Roman" w:hAnsi="Times New Roman" w:eastAsia="Times New Roman" w:cs="Times New Roman"/>
                      <w:spacing w:val="-3"/>
                      <w:sz w:val="21"/>
                      <w:szCs w:val="21"/>
                    </w:rPr>
                  </w:pPr>
                  <w:r>
                    <w:rPr>
                      <w:rFonts w:ascii="Times New Roman" w:hAnsi="Times New Roman" w:eastAsia="Times New Roman" w:cs="Times New Roman"/>
                      <w:spacing w:val="-3"/>
                      <w:sz w:val="21"/>
                      <w:szCs w:val="21"/>
                    </w:rPr>
                    <w:t>TP</w:t>
                  </w:r>
                </w:p>
              </w:tc>
            </w:tr>
            <w:tr w14:paraId="4EDCAA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jc w:val="center"/>
              </w:trPr>
              <w:tc>
                <w:tcPr>
                  <w:tcW w:w="2728" w:type="dxa"/>
                  <w:gridSpan w:val="2"/>
                  <w:noWrap w:val="0"/>
                  <w:vAlign w:val="center"/>
                </w:tcPr>
                <w:p w14:paraId="33DE7CD2">
                  <w:pPr>
                    <w:pStyle w:val="35"/>
                    <w:keepNext w:val="0"/>
                    <w:keepLines w:val="0"/>
                    <w:pageBreakBefore w:val="0"/>
                    <w:kinsoku/>
                    <w:wordWrap/>
                    <w:overflowPunct/>
                    <w:topLinePunct w:val="0"/>
                    <w:bidi w:val="0"/>
                    <w:adjustRightInd/>
                    <w:snapToGrid/>
                    <w:spacing w:line="240" w:lineRule="auto"/>
                    <w:jc w:val="center"/>
                    <w:textAlignment w:val="auto"/>
                    <w:rPr>
                      <w:sz w:val="21"/>
                      <w:szCs w:val="21"/>
                    </w:rPr>
                  </w:pPr>
                  <w:r>
                    <w:rPr>
                      <w:spacing w:val="-5"/>
                      <w:sz w:val="21"/>
                      <w:szCs w:val="21"/>
                    </w:rPr>
                    <w:t>单位</w:t>
                  </w:r>
                </w:p>
              </w:tc>
              <w:tc>
                <w:tcPr>
                  <w:tcW w:w="1290" w:type="dxa"/>
                  <w:noWrap w:val="0"/>
                  <w:vAlign w:val="center"/>
                </w:tcPr>
                <w:p w14:paraId="54C02C11">
                  <w:pPr>
                    <w:keepNext w:val="0"/>
                    <w:keepLines w:val="0"/>
                    <w:pageBreakBefore w:val="0"/>
                    <w:kinsoku/>
                    <w:wordWrap/>
                    <w:overflowPunct/>
                    <w:topLinePunct w:val="0"/>
                    <w:bidi w:val="0"/>
                    <w:adjustRightInd/>
                    <w:snapToGrid/>
                    <w:spacing w:line="240" w:lineRule="auto"/>
                    <w:jc w:val="center"/>
                    <w:textAlignment w:val="auto"/>
                    <w:rPr>
                      <w:rFonts w:ascii="Times New Roman" w:hAnsi="Times New Roman" w:eastAsia="Times New Roman" w:cs="Times New Roman"/>
                      <w:spacing w:val="-3"/>
                      <w:sz w:val="21"/>
                      <w:szCs w:val="21"/>
                    </w:rPr>
                  </w:pPr>
                  <w:r>
                    <w:rPr>
                      <w:rFonts w:ascii="Times New Roman" w:hAnsi="Times New Roman" w:eastAsia="Times New Roman" w:cs="Times New Roman"/>
                      <w:spacing w:val="-3"/>
                      <w:sz w:val="21"/>
                      <w:szCs w:val="21"/>
                    </w:rPr>
                    <w:t>mg/L</w:t>
                  </w:r>
                </w:p>
              </w:tc>
              <w:tc>
                <w:tcPr>
                  <w:tcW w:w="1245" w:type="dxa"/>
                  <w:noWrap w:val="0"/>
                  <w:vAlign w:val="center"/>
                </w:tcPr>
                <w:p w14:paraId="58D2F181">
                  <w:pPr>
                    <w:keepNext w:val="0"/>
                    <w:keepLines w:val="0"/>
                    <w:pageBreakBefore w:val="0"/>
                    <w:kinsoku/>
                    <w:wordWrap/>
                    <w:overflowPunct/>
                    <w:topLinePunct w:val="0"/>
                    <w:bidi w:val="0"/>
                    <w:adjustRightInd/>
                    <w:snapToGrid/>
                    <w:spacing w:line="240" w:lineRule="auto"/>
                    <w:jc w:val="center"/>
                    <w:textAlignment w:val="auto"/>
                    <w:rPr>
                      <w:rFonts w:ascii="Times New Roman" w:hAnsi="Times New Roman" w:eastAsia="Times New Roman" w:cs="Times New Roman"/>
                      <w:spacing w:val="-3"/>
                      <w:sz w:val="21"/>
                      <w:szCs w:val="21"/>
                    </w:rPr>
                  </w:pPr>
                  <w:r>
                    <w:rPr>
                      <w:rFonts w:ascii="Times New Roman" w:hAnsi="Times New Roman" w:eastAsia="Times New Roman" w:cs="Times New Roman"/>
                      <w:spacing w:val="-3"/>
                      <w:sz w:val="21"/>
                      <w:szCs w:val="21"/>
                    </w:rPr>
                    <w:t>mg/L</w:t>
                  </w:r>
                </w:p>
              </w:tc>
              <w:tc>
                <w:tcPr>
                  <w:tcW w:w="1377" w:type="dxa"/>
                  <w:noWrap w:val="0"/>
                  <w:vAlign w:val="center"/>
                </w:tcPr>
                <w:p w14:paraId="3CF8758A">
                  <w:pPr>
                    <w:keepNext w:val="0"/>
                    <w:keepLines w:val="0"/>
                    <w:pageBreakBefore w:val="0"/>
                    <w:kinsoku/>
                    <w:wordWrap/>
                    <w:overflowPunct/>
                    <w:topLinePunct w:val="0"/>
                    <w:bidi w:val="0"/>
                    <w:adjustRightInd/>
                    <w:snapToGrid/>
                    <w:spacing w:line="240" w:lineRule="auto"/>
                    <w:jc w:val="center"/>
                    <w:textAlignment w:val="auto"/>
                    <w:rPr>
                      <w:rFonts w:ascii="Times New Roman" w:hAnsi="Times New Roman" w:eastAsia="Times New Roman" w:cs="Times New Roman"/>
                      <w:spacing w:val="-3"/>
                      <w:sz w:val="21"/>
                      <w:szCs w:val="21"/>
                    </w:rPr>
                  </w:pPr>
                  <w:r>
                    <w:rPr>
                      <w:rFonts w:ascii="Times New Roman" w:hAnsi="Times New Roman" w:eastAsia="Times New Roman" w:cs="Times New Roman"/>
                      <w:spacing w:val="-3"/>
                      <w:sz w:val="21"/>
                      <w:szCs w:val="21"/>
                    </w:rPr>
                    <w:t>mg/L</w:t>
                  </w:r>
                </w:p>
              </w:tc>
              <w:tc>
                <w:tcPr>
                  <w:tcW w:w="1316" w:type="dxa"/>
                  <w:noWrap w:val="0"/>
                  <w:vAlign w:val="center"/>
                </w:tcPr>
                <w:p w14:paraId="3B6BDFB9">
                  <w:pPr>
                    <w:keepNext w:val="0"/>
                    <w:keepLines w:val="0"/>
                    <w:pageBreakBefore w:val="0"/>
                    <w:kinsoku/>
                    <w:wordWrap/>
                    <w:overflowPunct/>
                    <w:topLinePunct w:val="0"/>
                    <w:bidi w:val="0"/>
                    <w:adjustRightInd/>
                    <w:snapToGrid/>
                    <w:spacing w:line="240" w:lineRule="auto"/>
                    <w:jc w:val="center"/>
                    <w:textAlignment w:val="auto"/>
                    <w:rPr>
                      <w:rFonts w:ascii="Times New Roman" w:hAnsi="Times New Roman" w:eastAsia="Times New Roman" w:cs="Times New Roman"/>
                      <w:spacing w:val="-3"/>
                      <w:sz w:val="21"/>
                      <w:szCs w:val="21"/>
                    </w:rPr>
                  </w:pPr>
                  <w:r>
                    <w:rPr>
                      <w:rFonts w:ascii="Times New Roman" w:hAnsi="Times New Roman" w:eastAsia="Times New Roman" w:cs="Times New Roman"/>
                      <w:spacing w:val="-3"/>
                      <w:sz w:val="21"/>
                      <w:szCs w:val="21"/>
                    </w:rPr>
                    <w:t>mg/L</w:t>
                  </w:r>
                </w:p>
              </w:tc>
            </w:tr>
            <w:tr w14:paraId="091D0F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exact"/>
                <w:jc w:val="center"/>
              </w:trPr>
              <w:tc>
                <w:tcPr>
                  <w:tcW w:w="1423" w:type="dxa"/>
                  <w:vMerge w:val="restart"/>
                  <w:noWrap w:val="0"/>
                  <w:vAlign w:val="center"/>
                </w:tcPr>
                <w:p w14:paraId="1FCD5C9A">
                  <w:pPr>
                    <w:pStyle w:val="35"/>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default"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监测数据范围</w:t>
                  </w:r>
                </w:p>
              </w:tc>
              <w:tc>
                <w:tcPr>
                  <w:tcW w:w="1305" w:type="dxa"/>
                  <w:noWrap w:val="0"/>
                  <w:vAlign w:val="center"/>
                </w:tcPr>
                <w:p w14:paraId="626A1E43">
                  <w:pPr>
                    <w:pStyle w:val="35"/>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default"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2022年</w:t>
                  </w:r>
                </w:p>
              </w:tc>
              <w:tc>
                <w:tcPr>
                  <w:tcW w:w="1290" w:type="dxa"/>
                  <w:noWrap w:val="0"/>
                  <w:vAlign w:val="center"/>
                </w:tcPr>
                <w:p w14:paraId="498DCCE4">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spacing w:val="-3"/>
                      <w:sz w:val="21"/>
                      <w:szCs w:val="21"/>
                      <w:lang w:val="en-US" w:eastAsia="zh-CN"/>
                    </w:rPr>
                  </w:pPr>
                  <w:r>
                    <w:rPr>
                      <w:rFonts w:hint="eastAsia" w:eastAsia="宋体" w:cs="Times New Roman"/>
                      <w:spacing w:val="-3"/>
                      <w:sz w:val="21"/>
                      <w:szCs w:val="21"/>
                      <w:lang w:val="en-US" w:eastAsia="zh-CN"/>
                    </w:rPr>
                    <w:t>11.48-16.66</w:t>
                  </w:r>
                </w:p>
              </w:tc>
              <w:tc>
                <w:tcPr>
                  <w:tcW w:w="1245" w:type="dxa"/>
                  <w:noWrap w:val="0"/>
                  <w:vAlign w:val="center"/>
                </w:tcPr>
                <w:p w14:paraId="2905ABC1">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spacing w:val="-3"/>
                      <w:sz w:val="21"/>
                      <w:szCs w:val="21"/>
                      <w:lang w:val="en-US" w:eastAsia="zh-CN"/>
                    </w:rPr>
                  </w:pPr>
                  <w:r>
                    <w:rPr>
                      <w:rFonts w:hint="eastAsia" w:eastAsia="宋体" w:cs="Times New Roman"/>
                      <w:spacing w:val="-3"/>
                      <w:sz w:val="21"/>
                      <w:szCs w:val="21"/>
                      <w:lang w:val="en-US" w:eastAsia="zh-CN"/>
                    </w:rPr>
                    <w:t>11.09-13.18</w:t>
                  </w:r>
                </w:p>
              </w:tc>
              <w:tc>
                <w:tcPr>
                  <w:tcW w:w="1377" w:type="dxa"/>
                  <w:noWrap w:val="0"/>
                  <w:vAlign w:val="center"/>
                </w:tcPr>
                <w:p w14:paraId="4C4A4A80">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spacing w:val="-3"/>
                      <w:sz w:val="21"/>
                      <w:szCs w:val="21"/>
                      <w:lang w:val="en-US" w:eastAsia="zh-CN"/>
                    </w:rPr>
                  </w:pPr>
                  <w:r>
                    <w:rPr>
                      <w:rFonts w:hint="eastAsia" w:eastAsia="宋体" w:cs="Times New Roman"/>
                      <w:spacing w:val="-3"/>
                      <w:sz w:val="21"/>
                      <w:szCs w:val="21"/>
                      <w:lang w:val="en-US" w:eastAsia="zh-CN"/>
                    </w:rPr>
                    <w:t>0.1-0.91</w:t>
                  </w:r>
                </w:p>
              </w:tc>
              <w:tc>
                <w:tcPr>
                  <w:tcW w:w="1316" w:type="dxa"/>
                  <w:noWrap w:val="0"/>
                  <w:vAlign w:val="center"/>
                </w:tcPr>
                <w:p w14:paraId="092BD97B">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spacing w:val="-3"/>
                      <w:sz w:val="21"/>
                      <w:szCs w:val="21"/>
                      <w:lang w:val="en-US" w:eastAsia="zh-CN"/>
                    </w:rPr>
                  </w:pPr>
                  <w:r>
                    <w:rPr>
                      <w:rFonts w:hint="eastAsia" w:eastAsia="宋体" w:cs="Times New Roman"/>
                      <w:spacing w:val="-3"/>
                      <w:sz w:val="21"/>
                      <w:szCs w:val="21"/>
                      <w:lang w:val="en-US" w:eastAsia="zh-CN"/>
                    </w:rPr>
                    <w:t>0.14-0.24</w:t>
                  </w:r>
                </w:p>
              </w:tc>
            </w:tr>
            <w:tr w14:paraId="7EA11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exact"/>
                <w:jc w:val="center"/>
              </w:trPr>
              <w:tc>
                <w:tcPr>
                  <w:tcW w:w="1423" w:type="dxa"/>
                  <w:vMerge w:val="continue"/>
                  <w:noWrap w:val="0"/>
                  <w:vAlign w:val="center"/>
                </w:tcPr>
                <w:p w14:paraId="177632F1">
                  <w:pPr>
                    <w:pStyle w:val="35"/>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spacing w:val="-5"/>
                      <w:sz w:val="21"/>
                      <w:szCs w:val="21"/>
                      <w:lang w:val="en-US" w:eastAsia="zh-CN"/>
                    </w:rPr>
                  </w:pPr>
                </w:p>
              </w:tc>
              <w:tc>
                <w:tcPr>
                  <w:tcW w:w="1305" w:type="dxa"/>
                  <w:noWrap w:val="0"/>
                  <w:vAlign w:val="center"/>
                </w:tcPr>
                <w:p w14:paraId="4F042FFB">
                  <w:pPr>
                    <w:pStyle w:val="35"/>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default"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2023年</w:t>
                  </w:r>
                </w:p>
              </w:tc>
              <w:tc>
                <w:tcPr>
                  <w:tcW w:w="1290" w:type="dxa"/>
                  <w:noWrap w:val="0"/>
                  <w:vAlign w:val="center"/>
                </w:tcPr>
                <w:p w14:paraId="19A4C546">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spacing w:val="-3"/>
                      <w:sz w:val="21"/>
                      <w:szCs w:val="21"/>
                      <w:lang w:val="en-US" w:eastAsia="zh-CN"/>
                    </w:rPr>
                  </w:pPr>
                  <w:r>
                    <w:rPr>
                      <w:rFonts w:hint="eastAsia" w:eastAsia="宋体" w:cs="Times New Roman"/>
                      <w:spacing w:val="-3"/>
                      <w:sz w:val="21"/>
                      <w:szCs w:val="21"/>
                      <w:lang w:val="en-US" w:eastAsia="zh-CN"/>
                    </w:rPr>
                    <w:t>11.79-18.38</w:t>
                  </w:r>
                </w:p>
              </w:tc>
              <w:tc>
                <w:tcPr>
                  <w:tcW w:w="1245" w:type="dxa"/>
                  <w:noWrap w:val="0"/>
                  <w:vAlign w:val="center"/>
                </w:tcPr>
                <w:p w14:paraId="7F017ED7">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spacing w:val="-3"/>
                      <w:sz w:val="21"/>
                      <w:szCs w:val="21"/>
                      <w:lang w:val="en-US" w:eastAsia="zh-CN"/>
                    </w:rPr>
                  </w:pPr>
                  <w:r>
                    <w:rPr>
                      <w:rFonts w:hint="eastAsia" w:eastAsia="宋体" w:cs="Times New Roman"/>
                      <w:spacing w:val="-3"/>
                      <w:sz w:val="21"/>
                      <w:szCs w:val="21"/>
                      <w:lang w:val="en-US" w:eastAsia="zh-CN"/>
                    </w:rPr>
                    <w:t>8.52-11.64</w:t>
                  </w:r>
                </w:p>
              </w:tc>
              <w:tc>
                <w:tcPr>
                  <w:tcW w:w="1377" w:type="dxa"/>
                  <w:noWrap w:val="0"/>
                  <w:vAlign w:val="center"/>
                </w:tcPr>
                <w:p w14:paraId="3E6A1838">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spacing w:val="-3"/>
                      <w:sz w:val="21"/>
                      <w:szCs w:val="21"/>
                      <w:lang w:val="en-US" w:eastAsia="zh-CN"/>
                    </w:rPr>
                  </w:pPr>
                  <w:r>
                    <w:rPr>
                      <w:rFonts w:hint="eastAsia" w:eastAsia="宋体" w:cs="Times New Roman"/>
                      <w:spacing w:val="-3"/>
                      <w:sz w:val="21"/>
                      <w:szCs w:val="21"/>
                      <w:lang w:val="en-US" w:eastAsia="zh-CN"/>
                    </w:rPr>
                    <w:t>0.1-0.15</w:t>
                  </w:r>
                </w:p>
              </w:tc>
              <w:tc>
                <w:tcPr>
                  <w:tcW w:w="1316" w:type="dxa"/>
                  <w:noWrap w:val="0"/>
                  <w:vAlign w:val="center"/>
                </w:tcPr>
                <w:p w14:paraId="4822693A">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spacing w:val="-3"/>
                      <w:sz w:val="21"/>
                      <w:szCs w:val="21"/>
                      <w:lang w:val="en-US" w:eastAsia="zh-CN"/>
                    </w:rPr>
                  </w:pPr>
                  <w:r>
                    <w:rPr>
                      <w:rFonts w:hint="eastAsia" w:eastAsia="宋体" w:cs="Times New Roman"/>
                      <w:spacing w:val="-3"/>
                      <w:sz w:val="21"/>
                      <w:szCs w:val="21"/>
                      <w:lang w:val="en-US" w:eastAsia="zh-CN"/>
                    </w:rPr>
                    <w:t>0.2-0.24</w:t>
                  </w:r>
                </w:p>
              </w:tc>
            </w:tr>
            <w:tr w14:paraId="7DA23F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exact"/>
                <w:jc w:val="center"/>
              </w:trPr>
              <w:tc>
                <w:tcPr>
                  <w:tcW w:w="1423" w:type="dxa"/>
                  <w:vMerge w:val="continue"/>
                  <w:noWrap w:val="0"/>
                  <w:vAlign w:val="center"/>
                </w:tcPr>
                <w:p w14:paraId="00D198E2">
                  <w:pPr>
                    <w:pStyle w:val="35"/>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spacing w:val="-5"/>
                      <w:sz w:val="21"/>
                      <w:szCs w:val="21"/>
                      <w:lang w:val="en-US" w:eastAsia="zh-CN"/>
                    </w:rPr>
                  </w:pPr>
                </w:p>
              </w:tc>
              <w:tc>
                <w:tcPr>
                  <w:tcW w:w="1305" w:type="dxa"/>
                  <w:noWrap w:val="0"/>
                  <w:vAlign w:val="center"/>
                </w:tcPr>
                <w:p w14:paraId="2E7AC54C">
                  <w:pPr>
                    <w:pStyle w:val="35"/>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default"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2024年</w:t>
                  </w:r>
                </w:p>
              </w:tc>
              <w:tc>
                <w:tcPr>
                  <w:tcW w:w="1290" w:type="dxa"/>
                  <w:noWrap w:val="0"/>
                  <w:vAlign w:val="center"/>
                </w:tcPr>
                <w:p w14:paraId="63993956">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spacing w:val="-3"/>
                      <w:sz w:val="21"/>
                      <w:szCs w:val="21"/>
                      <w:lang w:val="en-US" w:eastAsia="zh-CN"/>
                    </w:rPr>
                  </w:pPr>
                  <w:r>
                    <w:rPr>
                      <w:rFonts w:hint="eastAsia" w:eastAsia="宋体" w:cs="Times New Roman"/>
                      <w:spacing w:val="-3"/>
                      <w:sz w:val="21"/>
                      <w:szCs w:val="21"/>
                      <w:lang w:val="en-US" w:eastAsia="zh-CN"/>
                    </w:rPr>
                    <w:t>10.38-14.86</w:t>
                  </w:r>
                </w:p>
              </w:tc>
              <w:tc>
                <w:tcPr>
                  <w:tcW w:w="1245" w:type="dxa"/>
                  <w:noWrap w:val="0"/>
                  <w:vAlign w:val="center"/>
                </w:tcPr>
                <w:p w14:paraId="2EDA78F5">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spacing w:val="-3"/>
                      <w:sz w:val="21"/>
                      <w:szCs w:val="21"/>
                      <w:lang w:val="en-US" w:eastAsia="zh-CN"/>
                    </w:rPr>
                  </w:pPr>
                  <w:r>
                    <w:rPr>
                      <w:rFonts w:hint="eastAsia" w:eastAsia="宋体" w:cs="Times New Roman"/>
                      <w:spacing w:val="-3"/>
                      <w:sz w:val="21"/>
                      <w:szCs w:val="21"/>
                      <w:lang w:val="en-US" w:eastAsia="zh-CN"/>
                    </w:rPr>
                    <w:t>5.86-9.59</w:t>
                  </w:r>
                </w:p>
              </w:tc>
              <w:tc>
                <w:tcPr>
                  <w:tcW w:w="1377" w:type="dxa"/>
                  <w:noWrap w:val="0"/>
                  <w:vAlign w:val="center"/>
                </w:tcPr>
                <w:p w14:paraId="53747DB1">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spacing w:val="-3"/>
                      <w:sz w:val="21"/>
                      <w:szCs w:val="21"/>
                      <w:lang w:val="en-US" w:eastAsia="zh-CN"/>
                    </w:rPr>
                  </w:pPr>
                  <w:r>
                    <w:rPr>
                      <w:rFonts w:hint="eastAsia" w:eastAsia="宋体" w:cs="Times New Roman"/>
                      <w:spacing w:val="-3"/>
                      <w:sz w:val="21"/>
                      <w:szCs w:val="21"/>
                      <w:lang w:val="en-US" w:eastAsia="zh-CN"/>
                    </w:rPr>
                    <w:t>0.1-0.22</w:t>
                  </w:r>
                </w:p>
              </w:tc>
              <w:tc>
                <w:tcPr>
                  <w:tcW w:w="1316" w:type="dxa"/>
                  <w:noWrap w:val="0"/>
                  <w:vAlign w:val="center"/>
                </w:tcPr>
                <w:p w14:paraId="7A878CAF">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spacing w:val="-3"/>
                      <w:sz w:val="21"/>
                      <w:szCs w:val="21"/>
                      <w:lang w:val="en-US" w:eastAsia="zh-CN"/>
                    </w:rPr>
                  </w:pPr>
                  <w:r>
                    <w:rPr>
                      <w:rFonts w:hint="eastAsia" w:eastAsia="宋体" w:cs="Times New Roman"/>
                      <w:spacing w:val="-3"/>
                      <w:sz w:val="21"/>
                      <w:szCs w:val="21"/>
                      <w:lang w:val="en-US" w:eastAsia="zh-CN"/>
                    </w:rPr>
                    <w:t>0.12-0.21</w:t>
                  </w:r>
                </w:p>
              </w:tc>
            </w:tr>
            <w:tr w14:paraId="6B3913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exact"/>
                <w:jc w:val="center"/>
              </w:trPr>
              <w:tc>
                <w:tcPr>
                  <w:tcW w:w="1423" w:type="dxa"/>
                  <w:vMerge w:val="continue"/>
                  <w:noWrap w:val="0"/>
                  <w:vAlign w:val="center"/>
                </w:tcPr>
                <w:p w14:paraId="483D4AF8">
                  <w:pPr>
                    <w:pStyle w:val="35"/>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spacing w:val="-5"/>
                      <w:sz w:val="21"/>
                      <w:szCs w:val="21"/>
                      <w:lang w:val="en-US" w:eastAsia="zh-CN"/>
                    </w:rPr>
                  </w:pPr>
                </w:p>
              </w:tc>
              <w:tc>
                <w:tcPr>
                  <w:tcW w:w="1305" w:type="dxa"/>
                  <w:noWrap w:val="0"/>
                  <w:vAlign w:val="center"/>
                </w:tcPr>
                <w:p w14:paraId="7B846CAE">
                  <w:pPr>
                    <w:pStyle w:val="35"/>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default" w:ascii="宋体" w:hAnsi="宋体" w:eastAsia="宋体" w:cs="宋体"/>
                      <w:spacing w:val="-5"/>
                      <w:sz w:val="21"/>
                      <w:szCs w:val="21"/>
                      <w:lang w:val="en-US" w:eastAsia="zh-CN"/>
                    </w:rPr>
                  </w:pPr>
                  <w:r>
                    <w:rPr>
                      <w:rFonts w:hint="eastAsia" w:ascii="宋体" w:hAnsi="宋体" w:eastAsia="宋体" w:cs="宋体"/>
                      <w:spacing w:val="-5"/>
                      <w:sz w:val="21"/>
                      <w:szCs w:val="21"/>
                      <w:lang w:val="en-US" w:eastAsia="zh-CN"/>
                    </w:rPr>
                    <w:t>2025年</w:t>
                  </w:r>
                </w:p>
              </w:tc>
              <w:tc>
                <w:tcPr>
                  <w:tcW w:w="1290" w:type="dxa"/>
                  <w:noWrap w:val="0"/>
                  <w:vAlign w:val="center"/>
                </w:tcPr>
                <w:p w14:paraId="4F539514">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spacing w:val="-3"/>
                      <w:sz w:val="21"/>
                      <w:szCs w:val="21"/>
                      <w:lang w:val="en-US" w:eastAsia="zh-CN"/>
                    </w:rPr>
                  </w:pPr>
                  <w:r>
                    <w:rPr>
                      <w:rFonts w:hint="eastAsia" w:eastAsia="宋体" w:cs="Times New Roman"/>
                      <w:spacing w:val="-3"/>
                      <w:sz w:val="21"/>
                      <w:szCs w:val="21"/>
                      <w:lang w:val="en-US" w:eastAsia="zh-CN"/>
                    </w:rPr>
                    <w:t>10.51-12.58</w:t>
                  </w:r>
                </w:p>
              </w:tc>
              <w:tc>
                <w:tcPr>
                  <w:tcW w:w="1245" w:type="dxa"/>
                  <w:noWrap w:val="0"/>
                  <w:vAlign w:val="center"/>
                </w:tcPr>
                <w:p w14:paraId="7D1DA9A3">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spacing w:val="-3"/>
                      <w:sz w:val="21"/>
                      <w:szCs w:val="21"/>
                      <w:lang w:val="en-US" w:eastAsia="zh-CN"/>
                    </w:rPr>
                  </w:pPr>
                  <w:r>
                    <w:rPr>
                      <w:rFonts w:hint="eastAsia" w:eastAsia="宋体" w:cs="Times New Roman"/>
                      <w:spacing w:val="-3"/>
                      <w:sz w:val="21"/>
                      <w:szCs w:val="21"/>
                      <w:lang w:val="en-US" w:eastAsia="zh-CN"/>
                    </w:rPr>
                    <w:t>7.02-8.52</w:t>
                  </w:r>
                </w:p>
              </w:tc>
              <w:tc>
                <w:tcPr>
                  <w:tcW w:w="1377" w:type="dxa"/>
                  <w:noWrap w:val="0"/>
                  <w:vAlign w:val="center"/>
                </w:tcPr>
                <w:p w14:paraId="732F8396">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spacing w:val="-3"/>
                      <w:sz w:val="21"/>
                      <w:szCs w:val="21"/>
                      <w:lang w:val="en-US" w:eastAsia="zh-CN"/>
                    </w:rPr>
                  </w:pPr>
                  <w:r>
                    <w:rPr>
                      <w:rFonts w:hint="eastAsia" w:eastAsia="宋体" w:cs="Times New Roman"/>
                      <w:spacing w:val="-3"/>
                      <w:sz w:val="21"/>
                      <w:szCs w:val="21"/>
                      <w:lang w:val="en-US" w:eastAsia="zh-CN"/>
                    </w:rPr>
                    <w:t>0.1-0.18</w:t>
                  </w:r>
                </w:p>
              </w:tc>
              <w:tc>
                <w:tcPr>
                  <w:tcW w:w="1316" w:type="dxa"/>
                  <w:noWrap w:val="0"/>
                  <w:vAlign w:val="center"/>
                </w:tcPr>
                <w:p w14:paraId="28D673D3">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spacing w:val="-3"/>
                      <w:sz w:val="21"/>
                      <w:szCs w:val="21"/>
                      <w:lang w:val="en-US" w:eastAsia="zh-CN"/>
                    </w:rPr>
                  </w:pPr>
                  <w:r>
                    <w:rPr>
                      <w:rFonts w:hint="eastAsia" w:eastAsia="宋体" w:cs="Times New Roman"/>
                      <w:spacing w:val="-3"/>
                      <w:sz w:val="21"/>
                      <w:szCs w:val="21"/>
                      <w:lang w:val="en-US" w:eastAsia="zh-CN"/>
                    </w:rPr>
                    <w:t>0.09-0.22</w:t>
                  </w:r>
                </w:p>
              </w:tc>
            </w:tr>
            <w:tr w14:paraId="78982F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2" w:hRule="exact"/>
                <w:jc w:val="center"/>
              </w:trPr>
              <w:tc>
                <w:tcPr>
                  <w:tcW w:w="2728" w:type="dxa"/>
                  <w:gridSpan w:val="2"/>
                  <w:shd w:val="clear" w:color="auto" w:fill="auto"/>
                  <w:noWrap w:val="0"/>
                  <w:vAlign w:val="center"/>
                </w:tcPr>
                <w:p w14:paraId="61F4D149">
                  <w:pPr>
                    <w:keepNext w:val="0"/>
                    <w:keepLines w:val="0"/>
                    <w:pageBreakBefore w:val="0"/>
                    <w:kinsoku/>
                    <w:wordWrap/>
                    <w:overflowPunct/>
                    <w:topLinePunct w:val="0"/>
                    <w:bidi w:val="0"/>
                    <w:adjustRightInd/>
                    <w:snapToGrid/>
                    <w:spacing w:line="240" w:lineRule="auto"/>
                    <w:jc w:val="center"/>
                    <w:textAlignment w:val="auto"/>
                    <w:rPr>
                      <w:rFonts w:hint="eastAsia" w:ascii="Times New Roman" w:hAnsi="Times New Roman" w:eastAsia="Times New Roman" w:cs="Times New Roman"/>
                      <w:spacing w:val="-3"/>
                      <w:kern w:val="2"/>
                      <w:sz w:val="21"/>
                      <w:szCs w:val="21"/>
                      <w:lang w:val="en-US" w:eastAsia="zh-CN" w:bidi="ar-SA"/>
                    </w:rPr>
                  </w:pPr>
                  <w:r>
                    <w:rPr>
                      <w:rFonts w:ascii="宋体" w:hAnsi="宋体" w:eastAsia="宋体" w:cs="宋体"/>
                      <w:spacing w:val="-5"/>
                      <w:sz w:val="21"/>
                      <w:szCs w:val="21"/>
                    </w:rPr>
                    <w:t>《陕西省黄河流域污水综合排放标准》（DB61/224-2018）中的 A 类标准</w:t>
                  </w:r>
                </w:p>
              </w:tc>
              <w:tc>
                <w:tcPr>
                  <w:tcW w:w="1290" w:type="dxa"/>
                  <w:shd w:val="clear" w:color="auto" w:fill="auto"/>
                  <w:noWrap w:val="0"/>
                  <w:vAlign w:val="center"/>
                </w:tcPr>
                <w:p w14:paraId="05BBD95C">
                  <w:pPr>
                    <w:keepNext w:val="0"/>
                    <w:keepLines w:val="0"/>
                    <w:pageBreakBefore w:val="0"/>
                    <w:kinsoku/>
                    <w:wordWrap/>
                    <w:overflowPunct/>
                    <w:topLinePunct w:val="0"/>
                    <w:bidi w:val="0"/>
                    <w:adjustRightInd/>
                    <w:snapToGrid/>
                    <w:spacing w:line="240" w:lineRule="auto"/>
                    <w:jc w:val="center"/>
                    <w:textAlignment w:val="auto"/>
                    <w:rPr>
                      <w:rFonts w:hint="eastAsia" w:ascii="Times New Roman" w:hAnsi="Times New Roman" w:eastAsia="Times New Roman" w:cs="Times New Roman"/>
                      <w:spacing w:val="-3"/>
                      <w:kern w:val="2"/>
                      <w:sz w:val="21"/>
                      <w:szCs w:val="21"/>
                      <w:lang w:val="en-US" w:eastAsia="zh-CN" w:bidi="ar-SA"/>
                    </w:rPr>
                  </w:pPr>
                  <w:r>
                    <w:rPr>
                      <w:rFonts w:ascii="Times New Roman" w:hAnsi="Times New Roman" w:eastAsia="Times New Roman" w:cs="Times New Roman"/>
                      <w:spacing w:val="-3"/>
                      <w:sz w:val="21"/>
                      <w:szCs w:val="21"/>
                    </w:rPr>
                    <w:t>≤30</w:t>
                  </w:r>
                </w:p>
              </w:tc>
              <w:tc>
                <w:tcPr>
                  <w:tcW w:w="1245" w:type="dxa"/>
                  <w:shd w:val="clear" w:color="auto" w:fill="auto"/>
                  <w:noWrap w:val="0"/>
                  <w:vAlign w:val="center"/>
                </w:tcPr>
                <w:p w14:paraId="73F90858">
                  <w:pPr>
                    <w:keepNext w:val="0"/>
                    <w:keepLines w:val="0"/>
                    <w:pageBreakBefore w:val="0"/>
                    <w:kinsoku/>
                    <w:wordWrap/>
                    <w:overflowPunct/>
                    <w:topLinePunct w:val="0"/>
                    <w:bidi w:val="0"/>
                    <w:adjustRightInd/>
                    <w:snapToGrid/>
                    <w:spacing w:line="240" w:lineRule="auto"/>
                    <w:jc w:val="center"/>
                    <w:textAlignment w:val="auto"/>
                    <w:rPr>
                      <w:rFonts w:hint="eastAsia" w:ascii="Times New Roman" w:hAnsi="Times New Roman" w:eastAsia="Times New Roman" w:cs="Times New Roman"/>
                      <w:spacing w:val="-3"/>
                      <w:kern w:val="2"/>
                      <w:sz w:val="21"/>
                      <w:szCs w:val="21"/>
                      <w:lang w:val="en-US" w:eastAsia="zh-CN" w:bidi="ar-SA"/>
                    </w:rPr>
                  </w:pPr>
                  <w:r>
                    <w:rPr>
                      <w:rFonts w:ascii="Times New Roman" w:hAnsi="Times New Roman" w:eastAsia="Times New Roman" w:cs="Times New Roman"/>
                      <w:spacing w:val="-3"/>
                      <w:sz w:val="21"/>
                      <w:szCs w:val="21"/>
                    </w:rPr>
                    <w:t>≤15</w:t>
                  </w:r>
                </w:p>
              </w:tc>
              <w:tc>
                <w:tcPr>
                  <w:tcW w:w="1377" w:type="dxa"/>
                  <w:shd w:val="clear" w:color="auto" w:fill="auto"/>
                  <w:noWrap w:val="0"/>
                  <w:vAlign w:val="center"/>
                </w:tcPr>
                <w:p w14:paraId="3C409E40">
                  <w:pPr>
                    <w:keepNext w:val="0"/>
                    <w:keepLines w:val="0"/>
                    <w:pageBreakBefore w:val="0"/>
                    <w:kinsoku/>
                    <w:wordWrap/>
                    <w:overflowPunct/>
                    <w:topLinePunct w:val="0"/>
                    <w:bidi w:val="0"/>
                    <w:adjustRightInd/>
                    <w:snapToGrid/>
                    <w:spacing w:line="240" w:lineRule="auto"/>
                    <w:jc w:val="center"/>
                    <w:textAlignment w:val="auto"/>
                    <w:rPr>
                      <w:rFonts w:hint="eastAsia" w:ascii="Times New Roman" w:hAnsi="Times New Roman" w:eastAsia="Times New Roman" w:cs="Times New Roman"/>
                      <w:spacing w:val="-3"/>
                      <w:kern w:val="2"/>
                      <w:sz w:val="21"/>
                      <w:szCs w:val="21"/>
                      <w:lang w:val="en-US" w:eastAsia="zh-CN" w:bidi="ar-SA"/>
                    </w:rPr>
                  </w:pPr>
                  <w:r>
                    <w:rPr>
                      <w:rFonts w:ascii="Times New Roman" w:hAnsi="Times New Roman" w:eastAsia="Times New Roman" w:cs="Times New Roman"/>
                      <w:spacing w:val="-3"/>
                      <w:sz w:val="21"/>
                      <w:szCs w:val="21"/>
                    </w:rPr>
                    <w:t>≤1.5（3）</w:t>
                  </w:r>
                </w:p>
              </w:tc>
              <w:tc>
                <w:tcPr>
                  <w:tcW w:w="1316" w:type="dxa"/>
                  <w:noWrap w:val="0"/>
                  <w:vAlign w:val="center"/>
                </w:tcPr>
                <w:p w14:paraId="6721670A">
                  <w:pPr>
                    <w:keepNext w:val="0"/>
                    <w:keepLines w:val="0"/>
                    <w:pageBreakBefore w:val="0"/>
                    <w:kinsoku/>
                    <w:wordWrap/>
                    <w:overflowPunct/>
                    <w:topLinePunct w:val="0"/>
                    <w:bidi w:val="0"/>
                    <w:adjustRightInd/>
                    <w:snapToGrid/>
                    <w:spacing w:line="240" w:lineRule="auto"/>
                    <w:jc w:val="center"/>
                    <w:textAlignment w:val="auto"/>
                    <w:rPr>
                      <w:rFonts w:hint="eastAsia" w:eastAsia="宋体" w:cs="Times New Roman"/>
                      <w:spacing w:val="-3"/>
                      <w:sz w:val="21"/>
                      <w:szCs w:val="21"/>
                      <w:lang w:val="en-US" w:eastAsia="zh-CN"/>
                    </w:rPr>
                  </w:pPr>
                  <w:r>
                    <w:rPr>
                      <w:rFonts w:ascii="Times New Roman" w:hAnsi="Times New Roman" w:eastAsia="Times New Roman" w:cs="Times New Roman"/>
                      <w:spacing w:val="-3"/>
                      <w:sz w:val="21"/>
                      <w:szCs w:val="21"/>
                    </w:rPr>
                    <w:t>≤0.3</w:t>
                  </w:r>
                </w:p>
              </w:tc>
            </w:tr>
            <w:tr w14:paraId="354BB5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exact"/>
                <w:jc w:val="center"/>
              </w:trPr>
              <w:tc>
                <w:tcPr>
                  <w:tcW w:w="2728" w:type="dxa"/>
                  <w:gridSpan w:val="2"/>
                  <w:shd w:val="clear" w:color="auto" w:fill="auto"/>
                  <w:noWrap w:val="0"/>
                  <w:vAlign w:val="center"/>
                </w:tcPr>
                <w:p w14:paraId="7308E06A">
                  <w:pPr>
                    <w:pStyle w:val="35"/>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ascii="宋体" w:hAnsi="宋体" w:eastAsia="宋体" w:cs="宋体"/>
                      <w:spacing w:val="-5"/>
                      <w:sz w:val="21"/>
                      <w:szCs w:val="21"/>
                    </w:rPr>
                  </w:pPr>
                  <w:r>
                    <w:rPr>
                      <w:rFonts w:ascii="宋体" w:hAnsi="宋体" w:eastAsia="宋体" w:cs="宋体"/>
                      <w:spacing w:val="-5"/>
                      <w:sz w:val="21"/>
                      <w:szCs w:val="21"/>
                    </w:rPr>
                    <w:t>《地表水环境质量标准》</w:t>
                  </w:r>
                </w:p>
                <w:p w14:paraId="4237FA46">
                  <w:pPr>
                    <w:keepNext w:val="0"/>
                    <w:keepLines w:val="0"/>
                    <w:pageBreakBefore w:val="0"/>
                    <w:kinsoku/>
                    <w:wordWrap/>
                    <w:overflowPunct/>
                    <w:topLinePunct w:val="0"/>
                    <w:bidi w:val="0"/>
                    <w:adjustRightInd/>
                    <w:snapToGrid/>
                    <w:spacing w:line="240" w:lineRule="auto"/>
                    <w:jc w:val="center"/>
                    <w:textAlignment w:val="auto"/>
                    <w:rPr>
                      <w:rFonts w:hint="eastAsia" w:ascii="Times New Roman" w:hAnsi="Times New Roman" w:eastAsia="Times New Roman" w:cs="Times New Roman"/>
                      <w:spacing w:val="-3"/>
                      <w:kern w:val="2"/>
                      <w:sz w:val="21"/>
                      <w:szCs w:val="21"/>
                      <w:lang w:val="en-US" w:eastAsia="zh-CN" w:bidi="ar-SA"/>
                    </w:rPr>
                  </w:pPr>
                  <w:r>
                    <w:rPr>
                      <w:rFonts w:ascii="宋体" w:hAnsi="宋体" w:eastAsia="宋体" w:cs="宋体"/>
                      <w:spacing w:val="-5"/>
                      <w:sz w:val="21"/>
                      <w:szCs w:val="21"/>
                    </w:rPr>
                    <w:t>（GB3838-2002）Ⅲ类水标准</w:t>
                  </w:r>
                </w:p>
              </w:tc>
              <w:tc>
                <w:tcPr>
                  <w:tcW w:w="1290" w:type="dxa"/>
                  <w:shd w:val="clear" w:color="auto" w:fill="auto"/>
                  <w:noWrap w:val="0"/>
                  <w:vAlign w:val="center"/>
                </w:tcPr>
                <w:p w14:paraId="3B6C6679">
                  <w:pPr>
                    <w:keepNext w:val="0"/>
                    <w:keepLines w:val="0"/>
                    <w:pageBreakBefore w:val="0"/>
                    <w:kinsoku/>
                    <w:wordWrap/>
                    <w:overflowPunct/>
                    <w:topLinePunct w:val="0"/>
                    <w:bidi w:val="0"/>
                    <w:adjustRightInd/>
                    <w:snapToGrid/>
                    <w:spacing w:line="240" w:lineRule="auto"/>
                    <w:jc w:val="center"/>
                    <w:textAlignment w:val="auto"/>
                    <w:rPr>
                      <w:rFonts w:hint="eastAsia" w:ascii="Times New Roman" w:hAnsi="Times New Roman" w:eastAsia="Times New Roman" w:cs="Times New Roman"/>
                      <w:spacing w:val="-3"/>
                      <w:kern w:val="2"/>
                      <w:sz w:val="21"/>
                      <w:szCs w:val="21"/>
                      <w:lang w:val="en-US" w:eastAsia="zh-CN" w:bidi="ar-SA"/>
                    </w:rPr>
                  </w:pPr>
                  <w:r>
                    <w:rPr>
                      <w:rFonts w:ascii="Times New Roman" w:hAnsi="Times New Roman" w:eastAsia="Times New Roman" w:cs="Times New Roman"/>
                      <w:spacing w:val="-3"/>
                      <w:sz w:val="21"/>
                      <w:szCs w:val="21"/>
                    </w:rPr>
                    <w:t>≤20</w:t>
                  </w:r>
                </w:p>
              </w:tc>
              <w:tc>
                <w:tcPr>
                  <w:tcW w:w="1245" w:type="dxa"/>
                  <w:shd w:val="clear" w:color="auto" w:fill="auto"/>
                  <w:noWrap w:val="0"/>
                  <w:vAlign w:val="center"/>
                </w:tcPr>
                <w:p w14:paraId="27E7DE8D">
                  <w:pPr>
                    <w:keepNext w:val="0"/>
                    <w:keepLines w:val="0"/>
                    <w:pageBreakBefore w:val="0"/>
                    <w:kinsoku/>
                    <w:wordWrap/>
                    <w:overflowPunct/>
                    <w:topLinePunct w:val="0"/>
                    <w:bidi w:val="0"/>
                    <w:adjustRightInd/>
                    <w:snapToGrid/>
                    <w:spacing w:line="240" w:lineRule="auto"/>
                    <w:jc w:val="center"/>
                    <w:textAlignment w:val="auto"/>
                    <w:rPr>
                      <w:rFonts w:hint="eastAsia" w:ascii="Times New Roman" w:hAnsi="Times New Roman" w:eastAsia="Times New Roman" w:cs="Times New Roman"/>
                      <w:spacing w:val="-3"/>
                      <w:kern w:val="2"/>
                      <w:sz w:val="21"/>
                      <w:szCs w:val="21"/>
                      <w:lang w:val="en-US" w:eastAsia="zh-CN" w:bidi="ar-SA"/>
                    </w:rPr>
                  </w:pPr>
                  <w:r>
                    <w:rPr>
                      <w:rFonts w:ascii="Times New Roman" w:hAnsi="Times New Roman" w:eastAsia="Times New Roman" w:cs="Times New Roman"/>
                      <w:spacing w:val="-3"/>
                      <w:sz w:val="21"/>
                      <w:szCs w:val="21"/>
                    </w:rPr>
                    <w:t>≤1.0</w:t>
                  </w:r>
                </w:p>
              </w:tc>
              <w:tc>
                <w:tcPr>
                  <w:tcW w:w="1377" w:type="dxa"/>
                  <w:shd w:val="clear" w:color="auto" w:fill="auto"/>
                  <w:noWrap w:val="0"/>
                  <w:vAlign w:val="center"/>
                </w:tcPr>
                <w:p w14:paraId="6EBCA418">
                  <w:pPr>
                    <w:keepNext w:val="0"/>
                    <w:keepLines w:val="0"/>
                    <w:pageBreakBefore w:val="0"/>
                    <w:kinsoku/>
                    <w:wordWrap/>
                    <w:overflowPunct/>
                    <w:topLinePunct w:val="0"/>
                    <w:bidi w:val="0"/>
                    <w:adjustRightInd/>
                    <w:snapToGrid/>
                    <w:spacing w:line="240" w:lineRule="auto"/>
                    <w:jc w:val="center"/>
                    <w:textAlignment w:val="auto"/>
                    <w:rPr>
                      <w:rFonts w:hint="eastAsia" w:ascii="Times New Roman" w:hAnsi="Times New Roman" w:eastAsia="Times New Roman" w:cs="Times New Roman"/>
                      <w:spacing w:val="-3"/>
                      <w:kern w:val="2"/>
                      <w:sz w:val="21"/>
                      <w:szCs w:val="21"/>
                      <w:lang w:val="en-US" w:eastAsia="zh-CN" w:bidi="ar-SA"/>
                    </w:rPr>
                  </w:pPr>
                  <w:r>
                    <w:rPr>
                      <w:rFonts w:ascii="Times New Roman" w:hAnsi="Times New Roman" w:eastAsia="Times New Roman" w:cs="Times New Roman"/>
                      <w:spacing w:val="-3"/>
                      <w:sz w:val="21"/>
                      <w:szCs w:val="21"/>
                    </w:rPr>
                    <w:t>≤1.0</w:t>
                  </w:r>
                </w:p>
              </w:tc>
              <w:tc>
                <w:tcPr>
                  <w:tcW w:w="1316" w:type="dxa"/>
                  <w:noWrap w:val="0"/>
                  <w:vAlign w:val="center"/>
                </w:tcPr>
                <w:p w14:paraId="63ABA307">
                  <w:pPr>
                    <w:keepNext w:val="0"/>
                    <w:keepLines w:val="0"/>
                    <w:pageBreakBefore w:val="0"/>
                    <w:kinsoku/>
                    <w:wordWrap/>
                    <w:overflowPunct/>
                    <w:topLinePunct w:val="0"/>
                    <w:bidi w:val="0"/>
                    <w:adjustRightInd/>
                    <w:snapToGrid/>
                    <w:spacing w:line="240" w:lineRule="auto"/>
                    <w:jc w:val="center"/>
                    <w:textAlignment w:val="auto"/>
                    <w:rPr>
                      <w:rFonts w:hint="eastAsia" w:eastAsia="宋体" w:cs="Times New Roman"/>
                      <w:spacing w:val="-3"/>
                      <w:sz w:val="21"/>
                      <w:szCs w:val="21"/>
                      <w:lang w:val="en-US" w:eastAsia="zh-CN"/>
                    </w:rPr>
                  </w:pPr>
                  <w:r>
                    <w:rPr>
                      <w:rFonts w:ascii="Times New Roman" w:hAnsi="Times New Roman" w:eastAsia="Times New Roman" w:cs="Times New Roman"/>
                      <w:spacing w:val="-3"/>
                      <w:sz w:val="21"/>
                      <w:szCs w:val="21"/>
                    </w:rPr>
                    <w:t>≤0.2</w:t>
                  </w:r>
                </w:p>
              </w:tc>
            </w:tr>
          </w:tbl>
          <w:p w14:paraId="54A97C42">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color w:val="auto"/>
                <w:lang w:val="en-US" w:eastAsia="zh-CN"/>
              </w:rPr>
            </w:pPr>
            <w:r>
              <w:rPr>
                <w:rFonts w:hint="eastAsia" w:cs="Times New Roman"/>
                <w:color w:val="auto"/>
                <w:sz w:val="24"/>
                <w:szCs w:val="24"/>
                <w:lang w:val="en-US" w:eastAsia="zh-CN"/>
              </w:rPr>
              <w:t>分析上表可以看出，</w:t>
            </w:r>
            <w:r>
              <w:rPr>
                <w:rFonts w:ascii="Times New Roman" w:hAnsi="Times New Roman" w:eastAsia="Times New Roman" w:cs="Times New Roman"/>
                <w:color w:val="auto"/>
                <w:spacing w:val="-4"/>
                <w:sz w:val="24"/>
                <w:szCs w:val="24"/>
              </w:rPr>
              <w:t>2</w:t>
            </w:r>
            <w:r>
              <w:rPr>
                <w:rFonts w:ascii="宋体" w:hAnsi="宋体" w:eastAsia="宋体" w:cs="宋体"/>
                <w:color w:val="auto"/>
                <w:spacing w:val="-4"/>
                <w:sz w:val="24"/>
                <w:szCs w:val="24"/>
              </w:rPr>
              <w:t>座污水处理厂出水</w:t>
            </w:r>
            <w:r>
              <w:rPr>
                <w:rFonts w:hint="eastAsia" w:ascii="宋体" w:hAnsi="宋体" w:cs="宋体"/>
                <w:color w:val="auto"/>
                <w:spacing w:val="-4"/>
                <w:sz w:val="24"/>
                <w:szCs w:val="24"/>
                <w:lang w:val="en-US" w:eastAsia="zh-CN"/>
              </w:rPr>
              <w:t>虽然达到排放标准，但与</w:t>
            </w:r>
            <w:r>
              <w:rPr>
                <w:rFonts w:ascii="宋体" w:hAnsi="宋体" w:eastAsia="宋体" w:cs="宋体"/>
                <w:color w:val="auto"/>
                <w:spacing w:val="-11"/>
                <w:sz w:val="24"/>
                <w:szCs w:val="24"/>
              </w:rPr>
              <w:t>《地表水环境质量标准》（</w:t>
            </w:r>
            <w:r>
              <w:rPr>
                <w:rFonts w:ascii="Times New Roman" w:hAnsi="Times New Roman" w:eastAsia="Times New Roman" w:cs="Times New Roman"/>
                <w:color w:val="auto"/>
                <w:spacing w:val="-11"/>
                <w:sz w:val="24"/>
                <w:szCs w:val="24"/>
              </w:rPr>
              <w:t>GB3</w:t>
            </w:r>
            <w:r>
              <w:rPr>
                <w:rFonts w:ascii="Times New Roman" w:hAnsi="Times New Roman" w:eastAsia="Times New Roman" w:cs="Times New Roman"/>
                <w:color w:val="auto"/>
                <w:spacing w:val="-12"/>
                <w:sz w:val="24"/>
                <w:szCs w:val="24"/>
              </w:rPr>
              <w:t>838-2002</w:t>
            </w:r>
            <w:r>
              <w:rPr>
                <w:rFonts w:ascii="宋体" w:hAnsi="宋体" w:eastAsia="宋体" w:cs="宋体"/>
                <w:color w:val="auto"/>
                <w:spacing w:val="-12"/>
                <w:sz w:val="24"/>
                <w:szCs w:val="24"/>
              </w:rPr>
              <w:t>）Ⅲ类标准</w:t>
            </w:r>
            <w:r>
              <w:rPr>
                <w:rFonts w:hint="eastAsia" w:ascii="宋体" w:hAnsi="宋体" w:cs="宋体"/>
                <w:color w:val="auto"/>
                <w:spacing w:val="-12"/>
                <w:sz w:val="24"/>
                <w:szCs w:val="24"/>
                <w:lang w:val="en-US" w:eastAsia="zh-CN"/>
              </w:rPr>
              <w:t>相比，总氮和总磷的最大排放值超过</w:t>
            </w:r>
            <w:r>
              <w:rPr>
                <w:rFonts w:ascii="宋体" w:hAnsi="宋体" w:eastAsia="宋体" w:cs="宋体"/>
                <w:color w:val="auto"/>
                <w:spacing w:val="-2"/>
                <w:sz w:val="24"/>
                <w:szCs w:val="24"/>
              </w:rPr>
              <w:t>千陇交界（水沟桥）水质监测</w:t>
            </w:r>
            <w:r>
              <w:rPr>
                <w:rFonts w:ascii="宋体" w:hAnsi="宋体" w:eastAsia="宋体" w:cs="宋体"/>
                <w:color w:val="auto"/>
                <w:spacing w:val="-11"/>
                <w:sz w:val="24"/>
                <w:szCs w:val="24"/>
              </w:rPr>
              <w:t>断面</w:t>
            </w:r>
            <w:r>
              <w:rPr>
                <w:rFonts w:ascii="宋体" w:hAnsi="宋体" w:eastAsia="宋体" w:cs="宋体"/>
                <w:color w:val="auto"/>
                <w:spacing w:val="-12"/>
                <w:sz w:val="24"/>
                <w:szCs w:val="24"/>
              </w:rPr>
              <w:t>Ⅲ类</w:t>
            </w:r>
            <w:r>
              <w:rPr>
                <w:rFonts w:hint="eastAsia" w:ascii="宋体" w:hAnsi="宋体" w:cs="宋体"/>
                <w:color w:val="auto"/>
                <w:spacing w:val="-12"/>
                <w:sz w:val="24"/>
                <w:szCs w:val="24"/>
                <w:lang w:val="en-US" w:eastAsia="zh-CN"/>
              </w:rPr>
              <w:t>水</w:t>
            </w:r>
            <w:r>
              <w:rPr>
                <w:rFonts w:ascii="宋体" w:hAnsi="宋体" w:eastAsia="宋体" w:cs="宋体"/>
                <w:color w:val="auto"/>
                <w:spacing w:val="-12"/>
                <w:sz w:val="24"/>
                <w:szCs w:val="24"/>
              </w:rPr>
              <w:t>标准</w:t>
            </w:r>
            <w:r>
              <w:rPr>
                <w:rFonts w:hint="eastAsia" w:ascii="宋体" w:hAnsi="宋体" w:cs="宋体"/>
                <w:color w:val="auto"/>
                <w:spacing w:val="-12"/>
                <w:sz w:val="24"/>
                <w:szCs w:val="24"/>
                <w:lang w:eastAsia="zh-CN"/>
              </w:rPr>
              <w:t>，</w:t>
            </w:r>
            <w:r>
              <w:rPr>
                <w:rFonts w:hint="eastAsia" w:ascii="宋体" w:hAnsi="宋体" w:cs="宋体"/>
                <w:color w:val="auto"/>
                <w:spacing w:val="-12"/>
                <w:sz w:val="24"/>
                <w:szCs w:val="24"/>
                <w:lang w:val="en-US" w:eastAsia="zh-CN"/>
              </w:rPr>
              <w:t>污水处理厂排水加重了千河水质总氮和总磷的自净负荷，使得下游水环境容量变小。</w:t>
            </w:r>
          </w:p>
        </w:tc>
      </w:tr>
      <w:tr w14:paraId="67BABB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26" w:hRule="atLeast"/>
          <w:jc w:val="center"/>
        </w:trPr>
        <w:tc>
          <w:tcPr>
            <w:tcW w:w="786" w:type="dxa"/>
            <w:noWrap w:val="0"/>
            <w:vAlign w:val="center"/>
          </w:tcPr>
          <w:p w14:paraId="7986F148">
            <w:pPr>
              <w:adjustRightInd w:val="0"/>
              <w:snapToGrid w:val="0"/>
              <w:jc w:val="center"/>
              <w:rPr>
                <w:rFonts w:hint="default" w:ascii="宋体" w:hAnsi="宋体" w:cs="宋体"/>
                <w:color w:val="auto"/>
                <w:kern w:val="0"/>
                <w:sz w:val="24"/>
                <w:lang w:val="en-US" w:eastAsia="zh-CN"/>
              </w:rPr>
            </w:pPr>
            <w:r>
              <w:rPr>
                <w:rFonts w:hint="eastAsia" w:ascii="宋体" w:hAnsi="宋体" w:cs="宋体"/>
                <w:color w:val="auto"/>
                <w:kern w:val="0"/>
                <w:sz w:val="24"/>
                <w:lang w:val="en-US" w:eastAsia="zh-CN"/>
              </w:rPr>
              <w:t>生态环境保护目标</w:t>
            </w:r>
          </w:p>
        </w:tc>
        <w:tc>
          <w:tcPr>
            <w:tcW w:w="8253" w:type="dxa"/>
            <w:noWrap w:val="0"/>
            <w:vAlign w:val="center"/>
          </w:tcPr>
          <w:p w14:paraId="378FC0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根据现场调查，工程不涉及自然保护区、森林公园、风景名胜区、珍稀濒危动植物保护区等敏感区域。</w:t>
            </w:r>
          </w:p>
          <w:p w14:paraId="00DB68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工程沿线分布的保护目标具体如下：</w:t>
            </w:r>
          </w:p>
          <w:p w14:paraId="063BD0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①大气环境：主要为工程沿线500m</w:t>
            </w:r>
            <w:r>
              <w:rPr>
                <w:rFonts w:hint="eastAsia" w:cs="Times New Roman"/>
                <w:color w:val="auto"/>
                <w:sz w:val="24"/>
                <w:szCs w:val="24"/>
                <w:lang w:val="en-US" w:eastAsia="zh-CN"/>
              </w:rPr>
              <w:t>范围</w:t>
            </w:r>
            <w:r>
              <w:rPr>
                <w:rFonts w:hint="eastAsia" w:ascii="Times New Roman" w:hAnsi="Times New Roman" w:cs="Times New Roman"/>
                <w:color w:val="auto"/>
                <w:sz w:val="24"/>
                <w:szCs w:val="24"/>
                <w:lang w:val="en-US" w:eastAsia="zh-CN"/>
              </w:rPr>
              <w:t>内</w:t>
            </w:r>
            <w:r>
              <w:rPr>
                <w:rFonts w:hint="eastAsia" w:cs="Times New Roman"/>
                <w:color w:val="auto"/>
                <w:sz w:val="24"/>
                <w:szCs w:val="24"/>
                <w:lang w:val="en-US" w:eastAsia="zh-CN"/>
              </w:rPr>
              <w:t>的</w:t>
            </w:r>
            <w:r>
              <w:rPr>
                <w:rFonts w:hint="eastAsia" w:ascii="Times New Roman" w:hAnsi="Times New Roman" w:cs="Times New Roman"/>
                <w:color w:val="auto"/>
                <w:sz w:val="24"/>
                <w:szCs w:val="24"/>
                <w:lang w:val="en-US" w:eastAsia="zh-CN"/>
              </w:rPr>
              <w:t>村庄。</w:t>
            </w:r>
          </w:p>
          <w:p w14:paraId="6A2A4D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②声环境：工程沿线50m</w:t>
            </w:r>
            <w:r>
              <w:rPr>
                <w:rFonts w:hint="eastAsia" w:cs="Times New Roman"/>
                <w:color w:val="auto"/>
                <w:sz w:val="24"/>
                <w:szCs w:val="24"/>
                <w:lang w:val="en-US" w:eastAsia="zh-CN"/>
              </w:rPr>
              <w:t>范围</w:t>
            </w:r>
            <w:r>
              <w:rPr>
                <w:rFonts w:hint="eastAsia" w:ascii="Times New Roman" w:hAnsi="Times New Roman" w:cs="Times New Roman"/>
                <w:color w:val="auto"/>
                <w:sz w:val="24"/>
                <w:szCs w:val="24"/>
                <w:lang w:val="en-US" w:eastAsia="zh-CN"/>
              </w:rPr>
              <w:t>内</w:t>
            </w:r>
            <w:r>
              <w:rPr>
                <w:rFonts w:hint="eastAsia" w:cs="Times New Roman"/>
                <w:color w:val="auto"/>
                <w:sz w:val="24"/>
                <w:szCs w:val="24"/>
                <w:lang w:val="en-US" w:eastAsia="zh-CN"/>
              </w:rPr>
              <w:t>无声环境敏感点</w:t>
            </w:r>
            <w:r>
              <w:rPr>
                <w:rFonts w:hint="eastAsia" w:ascii="Times New Roman" w:hAnsi="Times New Roman" w:cs="Times New Roman"/>
                <w:color w:val="auto"/>
                <w:sz w:val="24"/>
                <w:szCs w:val="24"/>
                <w:lang w:val="en-US" w:eastAsia="zh-CN"/>
              </w:rPr>
              <w:t>。</w:t>
            </w:r>
          </w:p>
          <w:p w14:paraId="6F37559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③生态环境：</w:t>
            </w:r>
            <w:r>
              <w:rPr>
                <w:rFonts w:hint="eastAsia" w:cs="Times New Roman"/>
                <w:color w:val="auto"/>
                <w:sz w:val="24"/>
                <w:szCs w:val="24"/>
                <w:lang w:val="en-US" w:eastAsia="zh-CN"/>
              </w:rPr>
              <w:t>主要为工程范围外延500m范围内</w:t>
            </w:r>
            <w:r>
              <w:rPr>
                <w:rFonts w:hint="eastAsia" w:ascii="Times New Roman" w:hAnsi="Times New Roman" w:cs="Times New Roman"/>
                <w:color w:val="auto"/>
                <w:sz w:val="24"/>
                <w:szCs w:val="24"/>
                <w:lang w:val="en-US" w:eastAsia="zh-CN"/>
              </w:rPr>
              <w:t>陆生动植物</w:t>
            </w:r>
            <w:r>
              <w:rPr>
                <w:rFonts w:hint="eastAsia" w:cs="Times New Roman"/>
                <w:color w:val="auto"/>
                <w:sz w:val="24"/>
                <w:szCs w:val="24"/>
                <w:lang w:val="en-US" w:eastAsia="zh-CN"/>
              </w:rPr>
              <w:t>、土壤、千河水质及水生生态系统。</w:t>
            </w:r>
          </w:p>
          <w:p w14:paraId="3070ACBC">
            <w:pPr>
              <w:pStyle w:val="29"/>
              <w:ind w:firstLine="480"/>
              <w:rPr>
                <w:rFonts w:hint="eastAsia" w:ascii="Times New Roman" w:hAnsi="宋体" w:eastAsia="宋体" w:cs="宋体"/>
                <w:color w:val="auto"/>
                <w:sz w:val="24"/>
                <w:lang w:val="en-US" w:eastAsia="zh-CN"/>
              </w:rPr>
            </w:pPr>
            <w:r>
              <w:rPr>
                <w:rFonts w:hint="eastAsia" w:ascii="Times New Roman" w:hAnsi="宋体" w:eastAsia="宋体" w:cs="宋体"/>
                <w:color w:val="auto"/>
                <w:sz w:val="24"/>
                <w:lang w:val="en-US" w:eastAsia="zh-CN"/>
              </w:rPr>
              <w:t>本工程主要环境保护目标</w:t>
            </w:r>
            <w:r>
              <w:rPr>
                <w:rFonts w:hint="eastAsia" w:cs="宋体"/>
                <w:color w:val="auto"/>
                <w:sz w:val="24"/>
                <w:lang w:val="en-US" w:eastAsia="zh-CN"/>
              </w:rPr>
              <w:t>详</w:t>
            </w:r>
            <w:r>
              <w:rPr>
                <w:rFonts w:hint="eastAsia" w:ascii="Times New Roman" w:hAnsi="宋体" w:eastAsia="宋体" w:cs="宋体"/>
                <w:color w:val="auto"/>
                <w:sz w:val="24"/>
                <w:lang w:val="en-US" w:eastAsia="zh-CN"/>
              </w:rPr>
              <w:t>见表3-</w:t>
            </w:r>
            <w:r>
              <w:rPr>
                <w:rFonts w:hint="eastAsia" w:cs="宋体"/>
                <w:color w:val="auto"/>
                <w:sz w:val="24"/>
                <w:lang w:val="en-US" w:eastAsia="zh-CN"/>
              </w:rPr>
              <w:t>6，环境保护目标图见附图3.1和附图3.2</w:t>
            </w:r>
            <w:r>
              <w:rPr>
                <w:rFonts w:hint="eastAsia" w:ascii="Times New Roman" w:hAnsi="宋体" w:eastAsia="宋体" w:cs="宋体"/>
                <w:color w:val="auto"/>
                <w:sz w:val="24"/>
                <w:lang w:val="en-US" w:eastAsia="zh-CN"/>
              </w:rPr>
              <w:t>。</w:t>
            </w:r>
          </w:p>
          <w:p w14:paraId="645CF01B">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16"/>
                <w:lang w:val="en-US" w:eastAsia="zh-CN" w:bidi="ar-SA"/>
              </w:rPr>
            </w:pPr>
            <w:r>
              <w:rPr>
                <w:rFonts w:hint="eastAsia" w:ascii="Times New Roman" w:hAnsi="Times New Roman" w:eastAsia="宋体" w:cs="Times New Roman"/>
                <w:b/>
                <w:bCs/>
                <w:color w:val="auto"/>
                <w:kern w:val="2"/>
                <w:sz w:val="21"/>
                <w:szCs w:val="16"/>
                <w:lang w:val="en-US" w:eastAsia="zh-CN" w:bidi="ar-SA"/>
              </w:rPr>
              <w:t>表3-</w:t>
            </w:r>
            <w:r>
              <w:rPr>
                <w:rFonts w:hint="eastAsia" w:cs="Times New Roman"/>
                <w:b/>
                <w:bCs/>
                <w:color w:val="auto"/>
                <w:kern w:val="2"/>
                <w:sz w:val="21"/>
                <w:szCs w:val="16"/>
                <w:lang w:val="en-US" w:eastAsia="zh-CN" w:bidi="ar-SA"/>
              </w:rPr>
              <w:t>6</w:t>
            </w:r>
            <w:r>
              <w:rPr>
                <w:rFonts w:hint="eastAsia" w:ascii="Times New Roman" w:hAnsi="Times New Roman" w:eastAsia="宋体" w:cs="Times New Roman"/>
                <w:b/>
                <w:bCs/>
                <w:color w:val="auto"/>
                <w:kern w:val="2"/>
                <w:sz w:val="21"/>
                <w:szCs w:val="16"/>
                <w:lang w:val="en-US" w:eastAsia="zh-CN" w:bidi="ar-SA"/>
              </w:rPr>
              <w:t xml:space="preserve">  本工程环境保护目标一览表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910"/>
              <w:gridCol w:w="1087"/>
              <w:gridCol w:w="750"/>
              <w:gridCol w:w="645"/>
              <w:gridCol w:w="660"/>
              <w:gridCol w:w="37"/>
              <w:gridCol w:w="698"/>
              <w:gridCol w:w="1080"/>
              <w:gridCol w:w="675"/>
              <w:gridCol w:w="844"/>
            </w:tblGrid>
            <w:tr w14:paraId="4707C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99" w:type="pct"/>
                  <w:vMerge w:val="restart"/>
                  <w:tcBorders>
                    <w:tl2br w:val="nil"/>
                    <w:tr2bl w:val="nil"/>
                  </w:tcBorders>
                  <w:noWrap w:val="0"/>
                  <w:vAlign w:val="center"/>
                </w:tcPr>
                <w:p w14:paraId="41ECEA1B">
                  <w:pPr>
                    <w:jc w:val="center"/>
                    <w:rPr>
                      <w:rFonts w:hint="eastAsia"/>
                      <w:color w:val="auto"/>
                    </w:rPr>
                  </w:pPr>
                  <w:r>
                    <w:rPr>
                      <w:rFonts w:hint="eastAsia"/>
                      <w:color w:val="auto"/>
                    </w:rPr>
                    <w:t>环境</w:t>
                  </w:r>
                </w:p>
                <w:p w14:paraId="3BF0B108">
                  <w:pPr>
                    <w:jc w:val="center"/>
                    <w:rPr>
                      <w:rFonts w:hint="eastAsia"/>
                      <w:color w:val="auto"/>
                    </w:rPr>
                  </w:pPr>
                  <w:r>
                    <w:rPr>
                      <w:rFonts w:hint="eastAsia"/>
                      <w:color w:val="auto"/>
                    </w:rPr>
                    <w:t>要素</w:t>
                  </w:r>
                </w:p>
              </w:tc>
              <w:tc>
                <w:tcPr>
                  <w:tcW w:w="566" w:type="pct"/>
                  <w:vMerge w:val="restart"/>
                  <w:tcBorders>
                    <w:tl2br w:val="nil"/>
                    <w:tr2bl w:val="nil"/>
                  </w:tcBorders>
                  <w:noWrap w:val="0"/>
                  <w:vAlign w:val="center"/>
                </w:tcPr>
                <w:p w14:paraId="4BF5F73D">
                  <w:pPr>
                    <w:jc w:val="center"/>
                    <w:rPr>
                      <w:rFonts w:hint="eastAsia"/>
                      <w:color w:val="auto"/>
                    </w:rPr>
                  </w:pPr>
                  <w:r>
                    <w:rPr>
                      <w:rFonts w:hint="eastAsia"/>
                      <w:color w:val="auto"/>
                    </w:rPr>
                    <w:t>工程区段</w:t>
                  </w:r>
                </w:p>
              </w:tc>
              <w:tc>
                <w:tcPr>
                  <w:tcW w:w="677" w:type="pct"/>
                  <w:vMerge w:val="restart"/>
                  <w:tcBorders>
                    <w:tl2br w:val="nil"/>
                    <w:tr2bl w:val="nil"/>
                  </w:tcBorders>
                  <w:noWrap w:val="0"/>
                  <w:vAlign w:val="center"/>
                </w:tcPr>
                <w:p w14:paraId="342E578B">
                  <w:pPr>
                    <w:jc w:val="center"/>
                    <w:rPr>
                      <w:color w:val="auto"/>
                    </w:rPr>
                  </w:pPr>
                  <w:r>
                    <w:rPr>
                      <w:rFonts w:hint="eastAsia"/>
                      <w:color w:val="auto"/>
                    </w:rPr>
                    <w:t>环保</w:t>
                  </w:r>
                </w:p>
                <w:p w14:paraId="1931EA1C">
                  <w:pPr>
                    <w:jc w:val="center"/>
                    <w:rPr>
                      <w:rFonts w:hint="eastAsia"/>
                      <w:color w:val="auto"/>
                    </w:rPr>
                  </w:pPr>
                  <w:r>
                    <w:rPr>
                      <w:rFonts w:hint="eastAsia"/>
                      <w:color w:val="auto"/>
                    </w:rPr>
                    <w:t>目标</w:t>
                  </w:r>
                </w:p>
              </w:tc>
              <w:tc>
                <w:tcPr>
                  <w:tcW w:w="868" w:type="pct"/>
                  <w:gridSpan w:val="2"/>
                  <w:tcBorders>
                    <w:tl2br w:val="nil"/>
                    <w:tr2bl w:val="nil"/>
                  </w:tcBorders>
                  <w:shd w:val="clear" w:color="auto" w:fill="auto"/>
                  <w:noWrap w:val="0"/>
                  <w:vAlign w:val="center"/>
                </w:tcPr>
                <w:p w14:paraId="6EEBF3D2">
                  <w:pPr>
                    <w:jc w:val="center"/>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坐标（度）</w:t>
                  </w:r>
                </w:p>
              </w:tc>
              <w:tc>
                <w:tcPr>
                  <w:tcW w:w="868" w:type="pct"/>
                  <w:gridSpan w:val="3"/>
                  <w:tcBorders>
                    <w:tl2br w:val="nil"/>
                    <w:tr2bl w:val="nil"/>
                  </w:tcBorders>
                  <w:noWrap w:val="0"/>
                  <w:vAlign w:val="center"/>
                </w:tcPr>
                <w:p w14:paraId="65DD996E">
                  <w:pPr>
                    <w:jc w:val="center"/>
                    <w:rPr>
                      <w:rFonts w:hint="eastAsia"/>
                      <w:color w:val="auto"/>
                    </w:rPr>
                  </w:pPr>
                  <w:r>
                    <w:rPr>
                      <w:rFonts w:hint="eastAsia"/>
                      <w:color w:val="auto"/>
                    </w:rPr>
                    <w:t>与工程方位、</w:t>
                  </w:r>
                </w:p>
                <w:p w14:paraId="7E7927D4">
                  <w:pPr>
                    <w:jc w:val="center"/>
                    <w:rPr>
                      <w:rFonts w:hint="eastAsia"/>
                      <w:color w:val="auto"/>
                    </w:rPr>
                  </w:pPr>
                  <w:r>
                    <w:rPr>
                      <w:rFonts w:hint="eastAsia"/>
                      <w:color w:val="auto"/>
                    </w:rPr>
                    <w:t>最近距离</w:t>
                  </w:r>
                </w:p>
              </w:tc>
              <w:tc>
                <w:tcPr>
                  <w:tcW w:w="672" w:type="pct"/>
                  <w:vMerge w:val="restart"/>
                  <w:tcBorders>
                    <w:tl2br w:val="nil"/>
                    <w:tr2bl w:val="nil"/>
                  </w:tcBorders>
                  <w:noWrap w:val="0"/>
                  <w:vAlign w:val="center"/>
                </w:tcPr>
                <w:p w14:paraId="3F324A7E">
                  <w:pPr>
                    <w:jc w:val="center"/>
                    <w:rPr>
                      <w:rFonts w:hint="eastAsia"/>
                      <w:color w:val="auto"/>
                    </w:rPr>
                  </w:pPr>
                  <w:r>
                    <w:rPr>
                      <w:rFonts w:hint="eastAsia"/>
                      <w:color w:val="auto"/>
                    </w:rPr>
                    <w:t>规模</w:t>
                  </w:r>
                </w:p>
              </w:tc>
              <w:tc>
                <w:tcPr>
                  <w:tcW w:w="420" w:type="pct"/>
                  <w:vMerge w:val="restart"/>
                  <w:tcBorders>
                    <w:tl2br w:val="nil"/>
                    <w:tr2bl w:val="nil"/>
                  </w:tcBorders>
                  <w:noWrap w:val="0"/>
                  <w:vAlign w:val="center"/>
                </w:tcPr>
                <w:p w14:paraId="12F80872">
                  <w:pPr>
                    <w:jc w:val="center"/>
                    <w:rPr>
                      <w:rFonts w:hint="eastAsia"/>
                      <w:color w:val="auto"/>
                    </w:rPr>
                  </w:pPr>
                  <w:r>
                    <w:rPr>
                      <w:rFonts w:hint="eastAsia"/>
                      <w:color w:val="auto"/>
                    </w:rPr>
                    <w:t>保护对象</w:t>
                  </w:r>
                </w:p>
              </w:tc>
              <w:tc>
                <w:tcPr>
                  <w:tcW w:w="525" w:type="pct"/>
                  <w:vMerge w:val="restart"/>
                  <w:tcBorders>
                    <w:tl2br w:val="nil"/>
                    <w:tr2bl w:val="nil"/>
                  </w:tcBorders>
                  <w:noWrap w:val="0"/>
                  <w:vAlign w:val="center"/>
                </w:tcPr>
                <w:p w14:paraId="2902C047">
                  <w:pPr>
                    <w:jc w:val="center"/>
                    <w:rPr>
                      <w:rFonts w:hint="eastAsia"/>
                      <w:color w:val="auto"/>
                    </w:rPr>
                  </w:pPr>
                  <w:r>
                    <w:rPr>
                      <w:rFonts w:hint="eastAsia"/>
                      <w:color w:val="auto"/>
                    </w:rPr>
                    <w:t>功能</w:t>
                  </w:r>
                </w:p>
                <w:p w14:paraId="217E3D60">
                  <w:pPr>
                    <w:jc w:val="center"/>
                    <w:rPr>
                      <w:rFonts w:hint="eastAsia"/>
                      <w:color w:val="auto"/>
                    </w:rPr>
                  </w:pPr>
                  <w:r>
                    <w:rPr>
                      <w:rFonts w:hint="eastAsia"/>
                      <w:color w:val="auto"/>
                    </w:rPr>
                    <w:t>分区</w:t>
                  </w:r>
                </w:p>
              </w:tc>
            </w:tr>
            <w:tr w14:paraId="21300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99" w:type="pct"/>
                  <w:vMerge w:val="continue"/>
                  <w:tcBorders>
                    <w:tl2br w:val="nil"/>
                    <w:tr2bl w:val="nil"/>
                  </w:tcBorders>
                  <w:noWrap w:val="0"/>
                  <w:vAlign w:val="center"/>
                </w:tcPr>
                <w:p w14:paraId="72EC667B">
                  <w:pPr>
                    <w:jc w:val="center"/>
                    <w:rPr>
                      <w:rFonts w:hint="eastAsia"/>
                      <w:color w:val="auto"/>
                    </w:rPr>
                  </w:pPr>
                </w:p>
              </w:tc>
              <w:tc>
                <w:tcPr>
                  <w:tcW w:w="566" w:type="pct"/>
                  <w:vMerge w:val="continue"/>
                  <w:tcBorders>
                    <w:tl2br w:val="nil"/>
                    <w:tr2bl w:val="nil"/>
                  </w:tcBorders>
                  <w:noWrap w:val="0"/>
                  <w:vAlign w:val="center"/>
                </w:tcPr>
                <w:p w14:paraId="273B7EDE">
                  <w:pPr>
                    <w:jc w:val="center"/>
                    <w:rPr>
                      <w:rFonts w:hint="eastAsia"/>
                      <w:color w:val="auto"/>
                    </w:rPr>
                  </w:pPr>
                </w:p>
              </w:tc>
              <w:tc>
                <w:tcPr>
                  <w:tcW w:w="677" w:type="pct"/>
                  <w:vMerge w:val="continue"/>
                  <w:tcBorders>
                    <w:tl2br w:val="nil"/>
                    <w:tr2bl w:val="nil"/>
                  </w:tcBorders>
                  <w:noWrap w:val="0"/>
                  <w:vAlign w:val="center"/>
                </w:tcPr>
                <w:p w14:paraId="1248B014">
                  <w:pPr>
                    <w:jc w:val="center"/>
                    <w:rPr>
                      <w:rFonts w:hint="eastAsia"/>
                      <w:color w:val="auto"/>
                    </w:rPr>
                  </w:pPr>
                </w:p>
              </w:tc>
              <w:tc>
                <w:tcPr>
                  <w:tcW w:w="467" w:type="pct"/>
                  <w:tcBorders>
                    <w:tl2br w:val="nil"/>
                    <w:tr2bl w:val="nil"/>
                  </w:tcBorders>
                  <w:shd w:val="clear" w:color="auto" w:fill="auto"/>
                  <w:noWrap w:val="0"/>
                  <w:vAlign w:val="center"/>
                </w:tcPr>
                <w:p w14:paraId="758B6562">
                  <w:pPr>
                    <w:jc w:val="center"/>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经度</w:t>
                  </w:r>
                </w:p>
              </w:tc>
              <w:tc>
                <w:tcPr>
                  <w:tcW w:w="401" w:type="pct"/>
                  <w:tcBorders>
                    <w:tl2br w:val="nil"/>
                    <w:tr2bl w:val="nil"/>
                  </w:tcBorders>
                  <w:shd w:val="clear" w:color="auto" w:fill="auto"/>
                  <w:noWrap w:val="0"/>
                  <w:vAlign w:val="center"/>
                </w:tcPr>
                <w:p w14:paraId="7FC4A868">
                  <w:pPr>
                    <w:jc w:val="center"/>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维度</w:t>
                  </w:r>
                </w:p>
              </w:tc>
              <w:tc>
                <w:tcPr>
                  <w:tcW w:w="411" w:type="pct"/>
                  <w:tcBorders>
                    <w:tl2br w:val="nil"/>
                    <w:tr2bl w:val="nil"/>
                  </w:tcBorders>
                  <w:noWrap w:val="0"/>
                  <w:vAlign w:val="center"/>
                </w:tcPr>
                <w:p w14:paraId="0AB7193D">
                  <w:pPr>
                    <w:jc w:val="center"/>
                    <w:rPr>
                      <w:rFonts w:hint="eastAsia"/>
                      <w:color w:val="auto"/>
                    </w:rPr>
                  </w:pPr>
                  <w:r>
                    <w:rPr>
                      <w:rFonts w:hint="eastAsia"/>
                      <w:color w:val="auto"/>
                    </w:rPr>
                    <w:t>方位</w:t>
                  </w:r>
                </w:p>
              </w:tc>
              <w:tc>
                <w:tcPr>
                  <w:tcW w:w="457" w:type="pct"/>
                  <w:gridSpan w:val="2"/>
                  <w:tcBorders>
                    <w:tl2br w:val="nil"/>
                    <w:tr2bl w:val="nil"/>
                  </w:tcBorders>
                  <w:noWrap w:val="0"/>
                  <w:vAlign w:val="center"/>
                </w:tcPr>
                <w:p w14:paraId="340FC627">
                  <w:pPr>
                    <w:jc w:val="center"/>
                    <w:rPr>
                      <w:rFonts w:hint="eastAsia"/>
                      <w:color w:val="auto"/>
                    </w:rPr>
                  </w:pPr>
                  <w:r>
                    <w:rPr>
                      <w:rFonts w:hint="eastAsia"/>
                      <w:color w:val="auto"/>
                    </w:rPr>
                    <w:t>距离（m）</w:t>
                  </w:r>
                </w:p>
              </w:tc>
              <w:tc>
                <w:tcPr>
                  <w:tcW w:w="672" w:type="pct"/>
                  <w:vMerge w:val="continue"/>
                  <w:tcBorders>
                    <w:tl2br w:val="nil"/>
                    <w:tr2bl w:val="nil"/>
                  </w:tcBorders>
                  <w:noWrap w:val="0"/>
                  <w:vAlign w:val="center"/>
                </w:tcPr>
                <w:p w14:paraId="0BA5B81D">
                  <w:pPr>
                    <w:jc w:val="center"/>
                    <w:rPr>
                      <w:rFonts w:hint="eastAsia"/>
                      <w:color w:val="auto"/>
                    </w:rPr>
                  </w:pPr>
                </w:p>
              </w:tc>
              <w:tc>
                <w:tcPr>
                  <w:tcW w:w="420" w:type="pct"/>
                  <w:vMerge w:val="continue"/>
                  <w:tcBorders>
                    <w:tl2br w:val="nil"/>
                    <w:tr2bl w:val="nil"/>
                  </w:tcBorders>
                  <w:noWrap w:val="0"/>
                  <w:vAlign w:val="center"/>
                </w:tcPr>
                <w:p w14:paraId="250E4A7D">
                  <w:pPr>
                    <w:jc w:val="center"/>
                    <w:rPr>
                      <w:rFonts w:hint="eastAsia"/>
                      <w:color w:val="auto"/>
                    </w:rPr>
                  </w:pPr>
                </w:p>
              </w:tc>
              <w:tc>
                <w:tcPr>
                  <w:tcW w:w="525" w:type="pct"/>
                  <w:vMerge w:val="continue"/>
                  <w:tcBorders>
                    <w:tl2br w:val="nil"/>
                    <w:tr2bl w:val="nil"/>
                  </w:tcBorders>
                  <w:noWrap w:val="0"/>
                  <w:vAlign w:val="center"/>
                </w:tcPr>
                <w:p w14:paraId="3836018B">
                  <w:pPr>
                    <w:jc w:val="center"/>
                    <w:rPr>
                      <w:rFonts w:hint="eastAsia"/>
                      <w:color w:val="auto"/>
                    </w:rPr>
                  </w:pPr>
                </w:p>
              </w:tc>
            </w:tr>
            <w:tr w14:paraId="629CB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399" w:type="pct"/>
                  <w:vMerge w:val="restart"/>
                  <w:tcBorders>
                    <w:tl2br w:val="nil"/>
                    <w:tr2bl w:val="nil"/>
                  </w:tcBorders>
                  <w:noWrap w:val="0"/>
                  <w:vAlign w:val="center"/>
                </w:tcPr>
                <w:p w14:paraId="167D4FA9">
                  <w:pPr>
                    <w:jc w:val="center"/>
                    <w:rPr>
                      <w:rFonts w:hint="default" w:eastAsia="宋体"/>
                      <w:color w:val="auto"/>
                      <w:lang w:val="en-US" w:eastAsia="zh-CN"/>
                    </w:rPr>
                  </w:pPr>
                  <w:r>
                    <w:rPr>
                      <w:rFonts w:hint="eastAsia"/>
                      <w:color w:val="auto"/>
                    </w:rPr>
                    <w:t>环境空气</w:t>
                  </w:r>
                </w:p>
              </w:tc>
              <w:tc>
                <w:tcPr>
                  <w:tcW w:w="566" w:type="pct"/>
                  <w:vMerge w:val="restart"/>
                  <w:tcBorders>
                    <w:tl2br w:val="nil"/>
                    <w:tr2bl w:val="nil"/>
                  </w:tcBorders>
                  <w:noWrap w:val="0"/>
                  <w:vAlign w:val="center"/>
                </w:tcPr>
                <w:p w14:paraId="0053677D">
                  <w:pPr>
                    <w:jc w:val="center"/>
                    <w:rPr>
                      <w:rFonts w:hint="default" w:eastAsia="宋体"/>
                      <w:color w:val="auto"/>
                      <w:lang w:val="en-US" w:eastAsia="zh-CN"/>
                    </w:rPr>
                  </w:pPr>
                  <w:r>
                    <w:rPr>
                      <w:rFonts w:hint="eastAsia"/>
                      <w:color w:val="auto"/>
                      <w:lang w:val="en-US" w:eastAsia="zh-CN"/>
                    </w:rPr>
                    <w:t>陇县污水处理厂人工湿地</w:t>
                  </w:r>
                </w:p>
              </w:tc>
              <w:tc>
                <w:tcPr>
                  <w:tcW w:w="677" w:type="pct"/>
                  <w:tcBorders>
                    <w:tl2br w:val="nil"/>
                    <w:tr2bl w:val="nil"/>
                  </w:tcBorders>
                  <w:noWrap w:val="0"/>
                  <w:vAlign w:val="center"/>
                </w:tcPr>
                <w:p w14:paraId="584BB19D">
                  <w:pPr>
                    <w:jc w:val="center"/>
                    <w:rPr>
                      <w:rFonts w:hint="default" w:eastAsia="宋体"/>
                      <w:color w:val="auto"/>
                      <w:lang w:val="en-US" w:eastAsia="zh-CN"/>
                    </w:rPr>
                  </w:pPr>
                  <w:r>
                    <w:rPr>
                      <w:rFonts w:hint="eastAsia"/>
                      <w:color w:val="auto"/>
                      <w:lang w:val="en-US" w:eastAsia="zh-CN"/>
                    </w:rPr>
                    <w:t>兆兴景都</w:t>
                  </w:r>
                </w:p>
              </w:tc>
              <w:tc>
                <w:tcPr>
                  <w:tcW w:w="467" w:type="pct"/>
                  <w:tcBorders>
                    <w:tl2br w:val="nil"/>
                    <w:tr2bl w:val="nil"/>
                  </w:tcBorders>
                  <w:noWrap w:val="0"/>
                  <w:vAlign w:val="center"/>
                </w:tcPr>
                <w:p w14:paraId="698C2463">
                  <w:pPr>
                    <w:jc w:val="center"/>
                    <w:rPr>
                      <w:rFonts w:hint="default"/>
                      <w:color w:val="auto"/>
                      <w:lang w:val="en-US" w:eastAsia="zh-CN"/>
                    </w:rPr>
                  </w:pPr>
                  <w:r>
                    <w:rPr>
                      <w:rFonts w:hint="eastAsia"/>
                      <w:color w:val="auto"/>
                      <w:lang w:val="en-US" w:eastAsia="zh-CN"/>
                    </w:rPr>
                    <w:t>106.86867</w:t>
                  </w:r>
                </w:p>
              </w:tc>
              <w:tc>
                <w:tcPr>
                  <w:tcW w:w="401" w:type="pct"/>
                  <w:tcBorders>
                    <w:tl2br w:val="nil"/>
                    <w:tr2bl w:val="nil"/>
                  </w:tcBorders>
                  <w:noWrap w:val="0"/>
                  <w:vAlign w:val="center"/>
                </w:tcPr>
                <w:p w14:paraId="4F2E3D0F">
                  <w:pPr>
                    <w:jc w:val="center"/>
                    <w:rPr>
                      <w:rFonts w:hint="default"/>
                      <w:color w:val="auto"/>
                      <w:lang w:val="en-US" w:eastAsia="zh-CN"/>
                    </w:rPr>
                  </w:pPr>
                  <w:r>
                    <w:rPr>
                      <w:rFonts w:hint="eastAsia"/>
                      <w:color w:val="auto"/>
                      <w:lang w:val="en-US" w:eastAsia="zh-CN"/>
                    </w:rPr>
                    <w:t>34.88536</w:t>
                  </w:r>
                </w:p>
              </w:tc>
              <w:tc>
                <w:tcPr>
                  <w:tcW w:w="411" w:type="pct"/>
                  <w:tcBorders>
                    <w:tl2br w:val="nil"/>
                    <w:tr2bl w:val="nil"/>
                  </w:tcBorders>
                  <w:noWrap w:val="0"/>
                  <w:vAlign w:val="center"/>
                </w:tcPr>
                <w:p w14:paraId="1F61B735">
                  <w:pPr>
                    <w:jc w:val="center"/>
                    <w:rPr>
                      <w:rFonts w:hint="default" w:eastAsia="宋体"/>
                      <w:color w:val="auto"/>
                      <w:lang w:val="en-US" w:eastAsia="zh-CN"/>
                    </w:rPr>
                  </w:pPr>
                  <w:r>
                    <w:rPr>
                      <w:rFonts w:hint="eastAsia"/>
                      <w:color w:val="auto"/>
                      <w:lang w:val="en-US" w:eastAsia="zh-CN"/>
                    </w:rPr>
                    <w:t>S</w:t>
                  </w:r>
                </w:p>
              </w:tc>
              <w:tc>
                <w:tcPr>
                  <w:tcW w:w="457" w:type="pct"/>
                  <w:gridSpan w:val="2"/>
                  <w:tcBorders>
                    <w:tl2br w:val="nil"/>
                    <w:tr2bl w:val="nil"/>
                  </w:tcBorders>
                  <w:noWrap w:val="0"/>
                  <w:vAlign w:val="center"/>
                </w:tcPr>
                <w:p w14:paraId="6ADA2A03">
                  <w:pPr>
                    <w:jc w:val="center"/>
                    <w:rPr>
                      <w:rFonts w:hint="default" w:eastAsia="宋体"/>
                      <w:color w:val="auto"/>
                      <w:lang w:val="en-US" w:eastAsia="zh-CN"/>
                    </w:rPr>
                  </w:pPr>
                  <w:r>
                    <w:rPr>
                      <w:rFonts w:hint="eastAsia"/>
                      <w:color w:val="auto"/>
                      <w:lang w:val="en-US" w:eastAsia="zh-CN"/>
                    </w:rPr>
                    <w:t>306</w:t>
                  </w:r>
                </w:p>
              </w:tc>
              <w:tc>
                <w:tcPr>
                  <w:tcW w:w="672" w:type="pct"/>
                  <w:tcBorders>
                    <w:tl2br w:val="nil"/>
                    <w:tr2bl w:val="nil"/>
                  </w:tcBorders>
                  <w:noWrap w:val="0"/>
                  <w:vAlign w:val="center"/>
                </w:tcPr>
                <w:p w14:paraId="611CA2AF">
                  <w:pPr>
                    <w:jc w:val="center"/>
                    <w:rPr>
                      <w:rFonts w:hint="default" w:eastAsia="宋体"/>
                      <w:color w:val="auto"/>
                      <w:lang w:val="en-US" w:eastAsia="zh-CN"/>
                    </w:rPr>
                  </w:pPr>
                  <w:r>
                    <w:rPr>
                      <w:rFonts w:hint="eastAsia"/>
                      <w:color w:val="auto"/>
                    </w:rPr>
                    <w:t>约</w:t>
                  </w:r>
                  <w:r>
                    <w:rPr>
                      <w:rFonts w:hint="eastAsia"/>
                      <w:color w:val="auto"/>
                      <w:lang w:val="en-US" w:eastAsia="zh-CN"/>
                    </w:rPr>
                    <w:t>12</w:t>
                  </w:r>
                  <w:r>
                    <w:rPr>
                      <w:rFonts w:hint="eastAsia"/>
                      <w:color w:val="auto"/>
                    </w:rPr>
                    <w:t>0户</w:t>
                  </w:r>
                  <w:r>
                    <w:rPr>
                      <w:rFonts w:hint="eastAsia"/>
                      <w:color w:val="auto"/>
                      <w:lang w:val="en-US" w:eastAsia="zh-CN"/>
                    </w:rPr>
                    <w:t>450人</w:t>
                  </w:r>
                </w:p>
              </w:tc>
              <w:tc>
                <w:tcPr>
                  <w:tcW w:w="420" w:type="pct"/>
                  <w:vMerge w:val="restart"/>
                  <w:tcBorders>
                    <w:tl2br w:val="nil"/>
                    <w:tr2bl w:val="nil"/>
                  </w:tcBorders>
                  <w:noWrap w:val="0"/>
                  <w:vAlign w:val="center"/>
                </w:tcPr>
                <w:p w14:paraId="52195A23">
                  <w:pPr>
                    <w:jc w:val="center"/>
                    <w:rPr>
                      <w:rFonts w:hint="eastAsia"/>
                      <w:color w:val="auto"/>
                    </w:rPr>
                  </w:pPr>
                  <w:r>
                    <w:rPr>
                      <w:rFonts w:hint="eastAsia"/>
                      <w:color w:val="auto"/>
                    </w:rPr>
                    <w:t>环境</w:t>
                  </w:r>
                </w:p>
                <w:p w14:paraId="5D03A420">
                  <w:pPr>
                    <w:jc w:val="center"/>
                    <w:rPr>
                      <w:rFonts w:hint="default" w:eastAsia="宋体"/>
                      <w:color w:val="auto"/>
                      <w:lang w:val="en-US" w:eastAsia="zh-CN"/>
                    </w:rPr>
                  </w:pPr>
                  <w:r>
                    <w:rPr>
                      <w:rFonts w:hint="eastAsia"/>
                      <w:color w:val="auto"/>
                    </w:rPr>
                    <w:t>空气</w:t>
                  </w:r>
                </w:p>
              </w:tc>
              <w:tc>
                <w:tcPr>
                  <w:tcW w:w="525" w:type="pct"/>
                  <w:vMerge w:val="restart"/>
                  <w:tcBorders>
                    <w:tl2br w:val="nil"/>
                    <w:tr2bl w:val="nil"/>
                  </w:tcBorders>
                  <w:noWrap w:val="0"/>
                  <w:vAlign w:val="center"/>
                </w:tcPr>
                <w:p w14:paraId="1ADC623A">
                  <w:pPr>
                    <w:jc w:val="center"/>
                    <w:rPr>
                      <w:rFonts w:hint="eastAsia"/>
                      <w:color w:val="auto"/>
                    </w:rPr>
                  </w:pPr>
                  <w:r>
                    <w:rPr>
                      <w:rFonts w:hint="eastAsia"/>
                      <w:color w:val="auto"/>
                    </w:rPr>
                    <w:t>环境空气二类区</w:t>
                  </w:r>
                </w:p>
              </w:tc>
            </w:tr>
            <w:tr w14:paraId="2316A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399" w:type="pct"/>
                  <w:vMerge w:val="continue"/>
                  <w:tcBorders>
                    <w:tl2br w:val="nil"/>
                    <w:tr2bl w:val="nil"/>
                  </w:tcBorders>
                  <w:noWrap w:val="0"/>
                  <w:vAlign w:val="center"/>
                </w:tcPr>
                <w:p w14:paraId="55CBBE93">
                  <w:pPr>
                    <w:jc w:val="center"/>
                    <w:rPr>
                      <w:rFonts w:hint="eastAsia"/>
                      <w:color w:val="auto"/>
                    </w:rPr>
                  </w:pPr>
                </w:p>
              </w:tc>
              <w:tc>
                <w:tcPr>
                  <w:tcW w:w="566" w:type="pct"/>
                  <w:vMerge w:val="continue"/>
                  <w:tcBorders>
                    <w:tl2br w:val="nil"/>
                    <w:tr2bl w:val="nil"/>
                  </w:tcBorders>
                  <w:noWrap w:val="0"/>
                  <w:vAlign w:val="center"/>
                </w:tcPr>
                <w:p w14:paraId="3D8EDA17">
                  <w:pPr>
                    <w:jc w:val="center"/>
                    <w:rPr>
                      <w:rFonts w:hint="default" w:eastAsia="宋体"/>
                      <w:color w:val="auto"/>
                      <w:kern w:val="2"/>
                      <w:sz w:val="21"/>
                      <w:szCs w:val="24"/>
                      <w:lang w:val="en-US" w:eastAsia="zh-CN" w:bidi="ar-SA"/>
                    </w:rPr>
                  </w:pPr>
                </w:p>
              </w:tc>
              <w:tc>
                <w:tcPr>
                  <w:tcW w:w="677" w:type="pct"/>
                  <w:tcBorders>
                    <w:tl2br w:val="nil"/>
                    <w:tr2bl w:val="nil"/>
                  </w:tcBorders>
                  <w:noWrap w:val="0"/>
                  <w:vAlign w:val="center"/>
                </w:tcPr>
                <w:p w14:paraId="06549964">
                  <w:pPr>
                    <w:jc w:val="center"/>
                    <w:rPr>
                      <w:rFonts w:hint="default" w:eastAsia="宋体"/>
                      <w:color w:val="auto"/>
                      <w:kern w:val="2"/>
                      <w:sz w:val="21"/>
                      <w:szCs w:val="24"/>
                      <w:lang w:val="en-US" w:eastAsia="zh-CN" w:bidi="ar-SA"/>
                    </w:rPr>
                  </w:pPr>
                  <w:r>
                    <w:rPr>
                      <w:rFonts w:hint="eastAsia"/>
                      <w:color w:val="auto"/>
                      <w:kern w:val="2"/>
                      <w:sz w:val="21"/>
                      <w:szCs w:val="24"/>
                      <w:lang w:val="en-US" w:eastAsia="zh-CN" w:bidi="ar-SA"/>
                    </w:rPr>
                    <w:t>陇县实验小学</w:t>
                  </w:r>
                </w:p>
              </w:tc>
              <w:tc>
                <w:tcPr>
                  <w:tcW w:w="467" w:type="pct"/>
                  <w:tcBorders>
                    <w:tl2br w:val="nil"/>
                    <w:tr2bl w:val="nil"/>
                  </w:tcBorders>
                  <w:noWrap w:val="0"/>
                  <w:vAlign w:val="center"/>
                </w:tcPr>
                <w:p w14:paraId="6A0E80BF">
                  <w:pPr>
                    <w:jc w:val="center"/>
                    <w:rPr>
                      <w:rFonts w:hint="default" w:eastAsia="宋体"/>
                      <w:color w:val="auto"/>
                      <w:kern w:val="2"/>
                      <w:sz w:val="21"/>
                      <w:szCs w:val="24"/>
                      <w:lang w:val="en-US" w:eastAsia="zh-CN" w:bidi="ar-SA"/>
                    </w:rPr>
                  </w:pPr>
                  <w:r>
                    <w:rPr>
                      <w:rFonts w:hint="eastAsia"/>
                      <w:color w:val="auto"/>
                      <w:kern w:val="2"/>
                      <w:sz w:val="21"/>
                      <w:szCs w:val="24"/>
                      <w:lang w:val="en-US" w:eastAsia="zh-CN" w:bidi="ar-SA"/>
                    </w:rPr>
                    <w:t>106.87165</w:t>
                  </w:r>
                </w:p>
              </w:tc>
              <w:tc>
                <w:tcPr>
                  <w:tcW w:w="401" w:type="pct"/>
                  <w:tcBorders>
                    <w:tl2br w:val="nil"/>
                    <w:tr2bl w:val="nil"/>
                  </w:tcBorders>
                  <w:noWrap w:val="0"/>
                  <w:vAlign w:val="center"/>
                </w:tcPr>
                <w:p w14:paraId="20C18304">
                  <w:pPr>
                    <w:jc w:val="center"/>
                    <w:rPr>
                      <w:rFonts w:hint="default" w:eastAsia="宋体"/>
                      <w:color w:val="auto"/>
                      <w:kern w:val="2"/>
                      <w:sz w:val="21"/>
                      <w:szCs w:val="24"/>
                      <w:lang w:val="en-US" w:eastAsia="zh-CN" w:bidi="ar-SA"/>
                    </w:rPr>
                  </w:pPr>
                  <w:r>
                    <w:rPr>
                      <w:rFonts w:hint="eastAsia"/>
                      <w:color w:val="auto"/>
                      <w:kern w:val="2"/>
                      <w:sz w:val="21"/>
                      <w:szCs w:val="24"/>
                      <w:lang w:val="en-US" w:eastAsia="zh-CN" w:bidi="ar-SA"/>
                    </w:rPr>
                    <w:t>34.88469</w:t>
                  </w:r>
                </w:p>
              </w:tc>
              <w:tc>
                <w:tcPr>
                  <w:tcW w:w="411" w:type="pct"/>
                  <w:tcBorders>
                    <w:tl2br w:val="nil"/>
                    <w:tr2bl w:val="nil"/>
                  </w:tcBorders>
                  <w:noWrap w:val="0"/>
                  <w:vAlign w:val="center"/>
                </w:tcPr>
                <w:p w14:paraId="32D1F235">
                  <w:pPr>
                    <w:jc w:val="center"/>
                    <w:rPr>
                      <w:rFonts w:hint="eastAsia" w:eastAsia="宋体"/>
                      <w:color w:val="auto"/>
                      <w:kern w:val="2"/>
                      <w:sz w:val="21"/>
                      <w:szCs w:val="24"/>
                      <w:lang w:val="en-US" w:eastAsia="zh-CN" w:bidi="ar-SA"/>
                    </w:rPr>
                  </w:pPr>
                  <w:r>
                    <w:rPr>
                      <w:rFonts w:hint="eastAsia"/>
                      <w:color w:val="auto"/>
                      <w:lang w:val="en-US" w:eastAsia="zh-CN"/>
                    </w:rPr>
                    <w:t>SE</w:t>
                  </w:r>
                </w:p>
              </w:tc>
              <w:tc>
                <w:tcPr>
                  <w:tcW w:w="457" w:type="pct"/>
                  <w:gridSpan w:val="2"/>
                  <w:tcBorders>
                    <w:tl2br w:val="nil"/>
                    <w:tr2bl w:val="nil"/>
                  </w:tcBorders>
                  <w:noWrap w:val="0"/>
                  <w:vAlign w:val="center"/>
                </w:tcPr>
                <w:p w14:paraId="7D3C0568">
                  <w:pPr>
                    <w:jc w:val="center"/>
                    <w:rPr>
                      <w:rFonts w:hint="default" w:eastAsia="宋体"/>
                      <w:color w:val="auto"/>
                      <w:kern w:val="2"/>
                      <w:sz w:val="21"/>
                      <w:szCs w:val="24"/>
                      <w:lang w:val="en-US" w:eastAsia="zh-CN" w:bidi="ar-SA"/>
                    </w:rPr>
                  </w:pPr>
                  <w:r>
                    <w:rPr>
                      <w:rFonts w:hint="eastAsia"/>
                      <w:color w:val="auto"/>
                      <w:lang w:val="en-US" w:eastAsia="zh-CN"/>
                    </w:rPr>
                    <w:t>478</w:t>
                  </w:r>
                </w:p>
              </w:tc>
              <w:tc>
                <w:tcPr>
                  <w:tcW w:w="672" w:type="pct"/>
                  <w:tcBorders>
                    <w:tl2br w:val="nil"/>
                    <w:tr2bl w:val="nil"/>
                  </w:tcBorders>
                  <w:noWrap w:val="0"/>
                  <w:vAlign w:val="center"/>
                </w:tcPr>
                <w:p w14:paraId="45CC23DB">
                  <w:pPr>
                    <w:jc w:val="center"/>
                    <w:rPr>
                      <w:rFonts w:hint="eastAsia" w:eastAsia="宋体"/>
                      <w:color w:val="auto"/>
                      <w:kern w:val="2"/>
                      <w:sz w:val="21"/>
                      <w:szCs w:val="24"/>
                      <w:lang w:val="en-US" w:eastAsia="zh-CN" w:bidi="ar-SA"/>
                    </w:rPr>
                  </w:pPr>
                  <w:r>
                    <w:rPr>
                      <w:rFonts w:hint="eastAsia"/>
                      <w:color w:val="auto"/>
                      <w:lang w:val="en-US" w:eastAsia="zh-CN"/>
                    </w:rPr>
                    <w:t>约250人</w:t>
                  </w:r>
                </w:p>
              </w:tc>
              <w:tc>
                <w:tcPr>
                  <w:tcW w:w="420" w:type="pct"/>
                  <w:vMerge w:val="continue"/>
                  <w:tcBorders>
                    <w:tl2br w:val="nil"/>
                    <w:tr2bl w:val="nil"/>
                  </w:tcBorders>
                  <w:noWrap w:val="0"/>
                  <w:vAlign w:val="center"/>
                </w:tcPr>
                <w:p w14:paraId="4D87852C">
                  <w:pPr>
                    <w:jc w:val="center"/>
                    <w:rPr>
                      <w:rFonts w:hint="eastAsia"/>
                      <w:color w:val="auto"/>
                    </w:rPr>
                  </w:pPr>
                </w:p>
              </w:tc>
              <w:tc>
                <w:tcPr>
                  <w:tcW w:w="525" w:type="pct"/>
                  <w:vMerge w:val="continue"/>
                  <w:tcBorders>
                    <w:tl2br w:val="nil"/>
                    <w:tr2bl w:val="nil"/>
                  </w:tcBorders>
                  <w:noWrap w:val="0"/>
                  <w:vAlign w:val="center"/>
                </w:tcPr>
                <w:p w14:paraId="6BD2BBFD">
                  <w:pPr>
                    <w:jc w:val="center"/>
                    <w:rPr>
                      <w:rFonts w:hint="eastAsia"/>
                      <w:color w:val="auto"/>
                    </w:rPr>
                  </w:pPr>
                </w:p>
              </w:tc>
            </w:tr>
            <w:tr w14:paraId="5D59E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399" w:type="pct"/>
                  <w:vMerge w:val="continue"/>
                  <w:tcBorders>
                    <w:tl2br w:val="nil"/>
                    <w:tr2bl w:val="nil"/>
                  </w:tcBorders>
                  <w:noWrap w:val="0"/>
                  <w:vAlign w:val="center"/>
                </w:tcPr>
                <w:p w14:paraId="0B5ED342">
                  <w:pPr>
                    <w:jc w:val="center"/>
                    <w:rPr>
                      <w:rFonts w:hint="eastAsia"/>
                      <w:color w:val="auto"/>
                    </w:rPr>
                  </w:pPr>
                </w:p>
              </w:tc>
              <w:tc>
                <w:tcPr>
                  <w:tcW w:w="566" w:type="pct"/>
                  <w:vMerge w:val="continue"/>
                  <w:tcBorders>
                    <w:tl2br w:val="nil"/>
                    <w:tr2bl w:val="nil"/>
                  </w:tcBorders>
                  <w:noWrap w:val="0"/>
                  <w:vAlign w:val="center"/>
                </w:tcPr>
                <w:p w14:paraId="5EC312C0">
                  <w:pPr>
                    <w:jc w:val="center"/>
                    <w:rPr>
                      <w:rFonts w:hint="default" w:eastAsia="宋体"/>
                      <w:color w:val="auto"/>
                      <w:kern w:val="2"/>
                      <w:sz w:val="21"/>
                      <w:szCs w:val="24"/>
                      <w:lang w:val="en-US" w:eastAsia="zh-CN" w:bidi="ar-SA"/>
                    </w:rPr>
                  </w:pPr>
                </w:p>
              </w:tc>
              <w:tc>
                <w:tcPr>
                  <w:tcW w:w="677" w:type="pct"/>
                  <w:tcBorders>
                    <w:tl2br w:val="nil"/>
                    <w:tr2bl w:val="nil"/>
                  </w:tcBorders>
                  <w:noWrap w:val="0"/>
                  <w:vAlign w:val="center"/>
                </w:tcPr>
                <w:p w14:paraId="7F7C174F">
                  <w:pPr>
                    <w:jc w:val="center"/>
                    <w:rPr>
                      <w:rFonts w:hint="default"/>
                      <w:color w:val="auto"/>
                      <w:kern w:val="2"/>
                      <w:sz w:val="21"/>
                      <w:szCs w:val="24"/>
                      <w:lang w:val="en-US" w:eastAsia="zh-CN" w:bidi="ar-SA"/>
                    </w:rPr>
                  </w:pPr>
                  <w:r>
                    <w:rPr>
                      <w:rFonts w:hint="eastAsia"/>
                      <w:color w:val="auto"/>
                      <w:kern w:val="2"/>
                      <w:sz w:val="21"/>
                      <w:szCs w:val="24"/>
                      <w:lang w:val="en-US" w:eastAsia="zh-CN" w:bidi="ar-SA"/>
                    </w:rPr>
                    <w:t>陇县秦和医院</w:t>
                  </w:r>
                </w:p>
              </w:tc>
              <w:tc>
                <w:tcPr>
                  <w:tcW w:w="467" w:type="pct"/>
                  <w:tcBorders>
                    <w:tl2br w:val="nil"/>
                    <w:tr2bl w:val="nil"/>
                  </w:tcBorders>
                  <w:noWrap w:val="0"/>
                  <w:vAlign w:val="center"/>
                </w:tcPr>
                <w:p w14:paraId="68C52D59">
                  <w:pPr>
                    <w:jc w:val="center"/>
                    <w:rPr>
                      <w:rFonts w:hint="default"/>
                      <w:color w:val="auto"/>
                      <w:kern w:val="2"/>
                      <w:sz w:val="21"/>
                      <w:szCs w:val="24"/>
                      <w:lang w:val="en-US" w:eastAsia="zh-CN" w:bidi="ar-SA"/>
                    </w:rPr>
                  </w:pPr>
                  <w:r>
                    <w:rPr>
                      <w:rFonts w:hint="eastAsia"/>
                      <w:color w:val="auto"/>
                      <w:kern w:val="2"/>
                      <w:sz w:val="21"/>
                      <w:szCs w:val="24"/>
                      <w:lang w:val="en-US" w:eastAsia="zh-CN" w:bidi="ar-SA"/>
                    </w:rPr>
                    <w:t>106.87171</w:t>
                  </w:r>
                </w:p>
              </w:tc>
              <w:tc>
                <w:tcPr>
                  <w:tcW w:w="401" w:type="pct"/>
                  <w:tcBorders>
                    <w:tl2br w:val="nil"/>
                    <w:tr2bl w:val="nil"/>
                  </w:tcBorders>
                  <w:noWrap w:val="0"/>
                  <w:vAlign w:val="center"/>
                </w:tcPr>
                <w:p w14:paraId="4684C73F">
                  <w:pPr>
                    <w:jc w:val="center"/>
                    <w:rPr>
                      <w:rFonts w:hint="default"/>
                      <w:color w:val="auto"/>
                      <w:kern w:val="2"/>
                      <w:sz w:val="21"/>
                      <w:szCs w:val="24"/>
                      <w:lang w:val="en-US" w:eastAsia="zh-CN" w:bidi="ar-SA"/>
                    </w:rPr>
                  </w:pPr>
                  <w:r>
                    <w:rPr>
                      <w:rFonts w:hint="eastAsia"/>
                      <w:color w:val="auto"/>
                      <w:kern w:val="2"/>
                      <w:sz w:val="21"/>
                      <w:szCs w:val="24"/>
                      <w:lang w:val="en-US" w:eastAsia="zh-CN" w:bidi="ar-SA"/>
                    </w:rPr>
                    <w:t>34.89284</w:t>
                  </w:r>
                </w:p>
              </w:tc>
              <w:tc>
                <w:tcPr>
                  <w:tcW w:w="411" w:type="pct"/>
                  <w:tcBorders>
                    <w:tl2br w:val="nil"/>
                    <w:tr2bl w:val="nil"/>
                  </w:tcBorders>
                  <w:noWrap w:val="0"/>
                  <w:vAlign w:val="center"/>
                </w:tcPr>
                <w:p w14:paraId="3D1A3519">
                  <w:pPr>
                    <w:jc w:val="center"/>
                    <w:rPr>
                      <w:rFonts w:hint="default"/>
                      <w:color w:val="auto"/>
                      <w:lang w:val="en-US" w:eastAsia="zh-CN"/>
                    </w:rPr>
                  </w:pPr>
                  <w:r>
                    <w:rPr>
                      <w:rFonts w:hint="eastAsia"/>
                      <w:color w:val="auto"/>
                      <w:lang w:val="en-US" w:eastAsia="zh-CN"/>
                    </w:rPr>
                    <w:t>N</w:t>
                  </w:r>
                </w:p>
              </w:tc>
              <w:tc>
                <w:tcPr>
                  <w:tcW w:w="457" w:type="pct"/>
                  <w:gridSpan w:val="2"/>
                  <w:tcBorders>
                    <w:tl2br w:val="nil"/>
                    <w:tr2bl w:val="nil"/>
                  </w:tcBorders>
                  <w:noWrap w:val="0"/>
                  <w:vAlign w:val="center"/>
                </w:tcPr>
                <w:p w14:paraId="2A134976">
                  <w:pPr>
                    <w:jc w:val="center"/>
                    <w:rPr>
                      <w:rFonts w:hint="default"/>
                      <w:color w:val="auto"/>
                      <w:lang w:val="en-US" w:eastAsia="zh-CN"/>
                    </w:rPr>
                  </w:pPr>
                  <w:r>
                    <w:rPr>
                      <w:rFonts w:hint="eastAsia"/>
                      <w:color w:val="auto"/>
                      <w:lang w:val="en-US" w:eastAsia="zh-CN"/>
                    </w:rPr>
                    <w:t>413</w:t>
                  </w:r>
                </w:p>
              </w:tc>
              <w:tc>
                <w:tcPr>
                  <w:tcW w:w="672" w:type="pct"/>
                  <w:tcBorders>
                    <w:tl2br w:val="nil"/>
                    <w:tr2bl w:val="nil"/>
                  </w:tcBorders>
                  <w:noWrap w:val="0"/>
                  <w:vAlign w:val="center"/>
                </w:tcPr>
                <w:p w14:paraId="61DB84F8">
                  <w:pPr>
                    <w:jc w:val="center"/>
                    <w:rPr>
                      <w:rFonts w:hint="eastAsia"/>
                      <w:color w:val="auto"/>
                      <w:lang w:val="en-US" w:eastAsia="zh-CN"/>
                    </w:rPr>
                  </w:pPr>
                  <w:r>
                    <w:rPr>
                      <w:rFonts w:hint="eastAsia"/>
                      <w:color w:val="auto"/>
                      <w:lang w:val="en-US" w:eastAsia="zh-CN"/>
                    </w:rPr>
                    <w:t>约100人</w:t>
                  </w:r>
                </w:p>
              </w:tc>
              <w:tc>
                <w:tcPr>
                  <w:tcW w:w="420" w:type="pct"/>
                  <w:vMerge w:val="continue"/>
                  <w:tcBorders>
                    <w:tl2br w:val="nil"/>
                    <w:tr2bl w:val="nil"/>
                  </w:tcBorders>
                  <w:noWrap w:val="0"/>
                  <w:vAlign w:val="center"/>
                </w:tcPr>
                <w:p w14:paraId="53CCB02A">
                  <w:pPr>
                    <w:jc w:val="center"/>
                    <w:rPr>
                      <w:rFonts w:hint="eastAsia"/>
                      <w:color w:val="auto"/>
                    </w:rPr>
                  </w:pPr>
                </w:p>
              </w:tc>
              <w:tc>
                <w:tcPr>
                  <w:tcW w:w="525" w:type="pct"/>
                  <w:vMerge w:val="continue"/>
                  <w:tcBorders>
                    <w:tl2br w:val="nil"/>
                    <w:tr2bl w:val="nil"/>
                  </w:tcBorders>
                  <w:noWrap w:val="0"/>
                  <w:vAlign w:val="center"/>
                </w:tcPr>
                <w:p w14:paraId="7CEB790D">
                  <w:pPr>
                    <w:jc w:val="center"/>
                    <w:rPr>
                      <w:rFonts w:hint="eastAsia"/>
                      <w:color w:val="auto"/>
                    </w:rPr>
                  </w:pPr>
                </w:p>
              </w:tc>
            </w:tr>
            <w:tr w14:paraId="23B5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399" w:type="pct"/>
                  <w:vMerge w:val="continue"/>
                  <w:tcBorders>
                    <w:tl2br w:val="nil"/>
                    <w:tr2bl w:val="nil"/>
                  </w:tcBorders>
                  <w:noWrap w:val="0"/>
                  <w:vAlign w:val="center"/>
                </w:tcPr>
                <w:p w14:paraId="1855E5E0">
                  <w:pPr>
                    <w:jc w:val="center"/>
                    <w:rPr>
                      <w:rFonts w:hint="eastAsia"/>
                      <w:color w:val="auto"/>
                    </w:rPr>
                  </w:pPr>
                </w:p>
              </w:tc>
              <w:tc>
                <w:tcPr>
                  <w:tcW w:w="566" w:type="pct"/>
                  <w:vMerge w:val="continue"/>
                  <w:tcBorders>
                    <w:tl2br w:val="nil"/>
                    <w:tr2bl w:val="nil"/>
                  </w:tcBorders>
                  <w:noWrap w:val="0"/>
                  <w:vAlign w:val="center"/>
                </w:tcPr>
                <w:p w14:paraId="6F3F7295">
                  <w:pPr>
                    <w:jc w:val="center"/>
                    <w:rPr>
                      <w:rFonts w:hint="default" w:eastAsia="宋体"/>
                      <w:color w:val="auto"/>
                      <w:kern w:val="2"/>
                      <w:sz w:val="21"/>
                      <w:szCs w:val="24"/>
                      <w:lang w:val="en-US" w:eastAsia="zh-CN" w:bidi="ar-SA"/>
                    </w:rPr>
                  </w:pPr>
                </w:p>
              </w:tc>
              <w:tc>
                <w:tcPr>
                  <w:tcW w:w="677" w:type="pct"/>
                  <w:tcBorders>
                    <w:tl2br w:val="nil"/>
                    <w:tr2bl w:val="nil"/>
                  </w:tcBorders>
                  <w:noWrap w:val="0"/>
                  <w:vAlign w:val="center"/>
                </w:tcPr>
                <w:p w14:paraId="13586158">
                  <w:pPr>
                    <w:jc w:val="center"/>
                    <w:rPr>
                      <w:rFonts w:hint="default"/>
                      <w:color w:val="auto"/>
                      <w:kern w:val="2"/>
                      <w:sz w:val="21"/>
                      <w:szCs w:val="24"/>
                      <w:lang w:val="en-US" w:eastAsia="zh-CN" w:bidi="ar-SA"/>
                    </w:rPr>
                  </w:pPr>
                  <w:r>
                    <w:rPr>
                      <w:rFonts w:hint="eastAsia"/>
                      <w:color w:val="auto"/>
                      <w:kern w:val="2"/>
                      <w:sz w:val="21"/>
                      <w:szCs w:val="24"/>
                      <w:lang w:val="en-US" w:eastAsia="zh-CN" w:bidi="ar-SA"/>
                    </w:rPr>
                    <w:t>陇县社会保障服务中心</w:t>
                  </w:r>
                </w:p>
              </w:tc>
              <w:tc>
                <w:tcPr>
                  <w:tcW w:w="467" w:type="pct"/>
                  <w:tcBorders>
                    <w:tl2br w:val="nil"/>
                    <w:tr2bl w:val="nil"/>
                  </w:tcBorders>
                  <w:noWrap w:val="0"/>
                  <w:vAlign w:val="center"/>
                </w:tcPr>
                <w:p w14:paraId="4B35473E">
                  <w:pPr>
                    <w:jc w:val="center"/>
                    <w:rPr>
                      <w:rFonts w:hint="default"/>
                      <w:color w:val="auto"/>
                      <w:kern w:val="2"/>
                      <w:sz w:val="21"/>
                      <w:szCs w:val="24"/>
                      <w:lang w:val="en-US" w:eastAsia="zh-CN" w:bidi="ar-SA"/>
                    </w:rPr>
                  </w:pPr>
                  <w:r>
                    <w:rPr>
                      <w:rFonts w:hint="eastAsia"/>
                      <w:color w:val="auto"/>
                      <w:kern w:val="2"/>
                      <w:sz w:val="21"/>
                      <w:szCs w:val="24"/>
                      <w:lang w:val="en-US" w:eastAsia="zh-CN" w:bidi="ar-SA"/>
                    </w:rPr>
                    <w:t>106.87017</w:t>
                  </w:r>
                </w:p>
              </w:tc>
              <w:tc>
                <w:tcPr>
                  <w:tcW w:w="401" w:type="pct"/>
                  <w:tcBorders>
                    <w:tl2br w:val="nil"/>
                    <w:tr2bl w:val="nil"/>
                  </w:tcBorders>
                  <w:noWrap w:val="0"/>
                  <w:vAlign w:val="center"/>
                </w:tcPr>
                <w:p w14:paraId="2F09002A">
                  <w:pPr>
                    <w:jc w:val="center"/>
                    <w:rPr>
                      <w:rFonts w:hint="default"/>
                      <w:color w:val="auto"/>
                      <w:kern w:val="2"/>
                      <w:sz w:val="21"/>
                      <w:szCs w:val="24"/>
                      <w:lang w:val="en-US" w:eastAsia="zh-CN" w:bidi="ar-SA"/>
                    </w:rPr>
                  </w:pPr>
                  <w:r>
                    <w:rPr>
                      <w:rFonts w:hint="eastAsia"/>
                      <w:color w:val="auto"/>
                      <w:kern w:val="2"/>
                      <w:sz w:val="21"/>
                      <w:szCs w:val="24"/>
                      <w:lang w:val="en-US" w:eastAsia="zh-CN" w:bidi="ar-SA"/>
                    </w:rPr>
                    <w:t>34.89367</w:t>
                  </w:r>
                </w:p>
              </w:tc>
              <w:tc>
                <w:tcPr>
                  <w:tcW w:w="411" w:type="pct"/>
                  <w:tcBorders>
                    <w:tl2br w:val="nil"/>
                    <w:tr2bl w:val="nil"/>
                  </w:tcBorders>
                  <w:noWrap w:val="0"/>
                  <w:vAlign w:val="center"/>
                </w:tcPr>
                <w:p w14:paraId="23A4FC99">
                  <w:pPr>
                    <w:jc w:val="center"/>
                    <w:rPr>
                      <w:rFonts w:hint="default"/>
                      <w:color w:val="auto"/>
                      <w:lang w:val="en-US" w:eastAsia="zh-CN"/>
                    </w:rPr>
                  </w:pPr>
                  <w:r>
                    <w:rPr>
                      <w:rFonts w:hint="eastAsia"/>
                      <w:color w:val="auto"/>
                      <w:lang w:val="en-US" w:eastAsia="zh-CN"/>
                    </w:rPr>
                    <w:t>N</w:t>
                  </w:r>
                </w:p>
              </w:tc>
              <w:tc>
                <w:tcPr>
                  <w:tcW w:w="457" w:type="pct"/>
                  <w:gridSpan w:val="2"/>
                  <w:tcBorders>
                    <w:tl2br w:val="nil"/>
                    <w:tr2bl w:val="nil"/>
                  </w:tcBorders>
                  <w:noWrap w:val="0"/>
                  <w:vAlign w:val="center"/>
                </w:tcPr>
                <w:p w14:paraId="0598E995">
                  <w:pPr>
                    <w:jc w:val="center"/>
                    <w:rPr>
                      <w:rFonts w:hint="default"/>
                      <w:color w:val="auto"/>
                      <w:lang w:val="en-US" w:eastAsia="zh-CN"/>
                    </w:rPr>
                  </w:pPr>
                  <w:r>
                    <w:rPr>
                      <w:rFonts w:hint="eastAsia"/>
                      <w:color w:val="auto"/>
                      <w:lang w:val="en-US" w:eastAsia="zh-CN"/>
                    </w:rPr>
                    <w:t>441</w:t>
                  </w:r>
                </w:p>
              </w:tc>
              <w:tc>
                <w:tcPr>
                  <w:tcW w:w="672" w:type="pct"/>
                  <w:tcBorders>
                    <w:tl2br w:val="nil"/>
                    <w:tr2bl w:val="nil"/>
                  </w:tcBorders>
                  <w:noWrap w:val="0"/>
                  <w:vAlign w:val="center"/>
                </w:tcPr>
                <w:p w14:paraId="792C1474">
                  <w:pPr>
                    <w:jc w:val="center"/>
                    <w:rPr>
                      <w:rFonts w:hint="eastAsia"/>
                      <w:color w:val="auto"/>
                      <w:lang w:val="en-US" w:eastAsia="zh-CN"/>
                    </w:rPr>
                  </w:pPr>
                  <w:r>
                    <w:rPr>
                      <w:rFonts w:hint="eastAsia"/>
                      <w:color w:val="auto"/>
                      <w:lang w:val="en-US" w:eastAsia="zh-CN"/>
                    </w:rPr>
                    <w:t>约30人</w:t>
                  </w:r>
                </w:p>
              </w:tc>
              <w:tc>
                <w:tcPr>
                  <w:tcW w:w="420" w:type="pct"/>
                  <w:vMerge w:val="continue"/>
                  <w:tcBorders>
                    <w:tl2br w:val="nil"/>
                    <w:tr2bl w:val="nil"/>
                  </w:tcBorders>
                  <w:noWrap w:val="0"/>
                  <w:vAlign w:val="center"/>
                </w:tcPr>
                <w:p w14:paraId="62C3F64F">
                  <w:pPr>
                    <w:jc w:val="center"/>
                    <w:rPr>
                      <w:rFonts w:hint="eastAsia"/>
                      <w:color w:val="auto"/>
                    </w:rPr>
                  </w:pPr>
                </w:p>
              </w:tc>
              <w:tc>
                <w:tcPr>
                  <w:tcW w:w="525" w:type="pct"/>
                  <w:vMerge w:val="continue"/>
                  <w:tcBorders>
                    <w:tl2br w:val="nil"/>
                    <w:tr2bl w:val="nil"/>
                  </w:tcBorders>
                  <w:noWrap w:val="0"/>
                  <w:vAlign w:val="center"/>
                </w:tcPr>
                <w:p w14:paraId="5F5D4093">
                  <w:pPr>
                    <w:jc w:val="center"/>
                    <w:rPr>
                      <w:rFonts w:hint="eastAsia"/>
                      <w:color w:val="auto"/>
                    </w:rPr>
                  </w:pPr>
                </w:p>
              </w:tc>
            </w:tr>
            <w:tr w14:paraId="7907D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399" w:type="pct"/>
                  <w:vMerge w:val="continue"/>
                  <w:tcBorders>
                    <w:tl2br w:val="nil"/>
                    <w:tr2bl w:val="nil"/>
                  </w:tcBorders>
                  <w:noWrap w:val="0"/>
                  <w:vAlign w:val="center"/>
                </w:tcPr>
                <w:p w14:paraId="3E7ED638">
                  <w:pPr>
                    <w:jc w:val="center"/>
                    <w:rPr>
                      <w:rFonts w:hint="eastAsia"/>
                      <w:color w:val="auto"/>
                    </w:rPr>
                  </w:pPr>
                </w:p>
              </w:tc>
              <w:tc>
                <w:tcPr>
                  <w:tcW w:w="566" w:type="pct"/>
                  <w:tcBorders>
                    <w:tl2br w:val="nil"/>
                    <w:tr2bl w:val="nil"/>
                  </w:tcBorders>
                  <w:noWrap w:val="0"/>
                  <w:vAlign w:val="center"/>
                </w:tcPr>
                <w:p w14:paraId="59869108">
                  <w:pPr>
                    <w:jc w:val="center"/>
                    <w:rPr>
                      <w:rFonts w:hint="default" w:eastAsia="宋体"/>
                      <w:color w:val="auto"/>
                      <w:kern w:val="2"/>
                      <w:sz w:val="21"/>
                      <w:szCs w:val="24"/>
                      <w:lang w:val="en-US" w:eastAsia="zh-CN" w:bidi="ar-SA"/>
                    </w:rPr>
                  </w:pPr>
                  <w:r>
                    <w:rPr>
                      <w:rFonts w:hint="eastAsia"/>
                      <w:color w:val="auto"/>
                      <w:lang w:val="en-US" w:eastAsia="zh-CN"/>
                    </w:rPr>
                    <w:t>陇县千河南岸新城污水处理厂人工湿地</w:t>
                  </w:r>
                </w:p>
              </w:tc>
              <w:tc>
                <w:tcPr>
                  <w:tcW w:w="677" w:type="pct"/>
                  <w:tcBorders>
                    <w:tl2br w:val="nil"/>
                    <w:tr2bl w:val="nil"/>
                  </w:tcBorders>
                  <w:noWrap w:val="0"/>
                  <w:vAlign w:val="center"/>
                </w:tcPr>
                <w:p w14:paraId="146F0FA2">
                  <w:pPr>
                    <w:jc w:val="center"/>
                    <w:rPr>
                      <w:rFonts w:hint="default"/>
                      <w:color w:val="auto"/>
                      <w:kern w:val="2"/>
                      <w:sz w:val="21"/>
                      <w:szCs w:val="24"/>
                      <w:lang w:val="en-US" w:eastAsia="zh-CN" w:bidi="ar-SA"/>
                    </w:rPr>
                  </w:pPr>
                  <w:r>
                    <w:rPr>
                      <w:rFonts w:hint="eastAsia"/>
                      <w:color w:val="auto"/>
                      <w:kern w:val="2"/>
                      <w:sz w:val="21"/>
                      <w:szCs w:val="24"/>
                      <w:lang w:val="en-US" w:eastAsia="zh-CN" w:bidi="ar-SA"/>
                    </w:rPr>
                    <w:t>堡子身村</w:t>
                  </w:r>
                </w:p>
              </w:tc>
              <w:tc>
                <w:tcPr>
                  <w:tcW w:w="467" w:type="pct"/>
                  <w:tcBorders>
                    <w:tl2br w:val="nil"/>
                    <w:tr2bl w:val="nil"/>
                  </w:tcBorders>
                  <w:noWrap w:val="0"/>
                  <w:vAlign w:val="center"/>
                </w:tcPr>
                <w:p w14:paraId="7D7E1E06">
                  <w:pPr>
                    <w:jc w:val="center"/>
                    <w:rPr>
                      <w:rFonts w:hint="default"/>
                      <w:color w:val="auto"/>
                      <w:kern w:val="2"/>
                      <w:sz w:val="21"/>
                      <w:szCs w:val="24"/>
                      <w:lang w:val="en-US" w:eastAsia="zh-CN" w:bidi="ar-SA"/>
                    </w:rPr>
                  </w:pPr>
                  <w:r>
                    <w:rPr>
                      <w:rFonts w:hint="eastAsia"/>
                      <w:color w:val="auto"/>
                      <w:kern w:val="2"/>
                      <w:sz w:val="21"/>
                      <w:szCs w:val="24"/>
                      <w:lang w:val="en-US" w:eastAsia="zh-CN" w:bidi="ar-SA"/>
                    </w:rPr>
                    <w:t>106.91871</w:t>
                  </w:r>
                </w:p>
              </w:tc>
              <w:tc>
                <w:tcPr>
                  <w:tcW w:w="401" w:type="pct"/>
                  <w:tcBorders>
                    <w:tl2br w:val="nil"/>
                    <w:tr2bl w:val="nil"/>
                  </w:tcBorders>
                  <w:noWrap w:val="0"/>
                  <w:vAlign w:val="center"/>
                </w:tcPr>
                <w:p w14:paraId="0DCDC6C9">
                  <w:pPr>
                    <w:jc w:val="center"/>
                    <w:rPr>
                      <w:rFonts w:hint="default"/>
                      <w:color w:val="auto"/>
                      <w:kern w:val="2"/>
                      <w:sz w:val="21"/>
                      <w:szCs w:val="24"/>
                      <w:lang w:val="en-US" w:eastAsia="zh-CN" w:bidi="ar-SA"/>
                    </w:rPr>
                  </w:pPr>
                  <w:r>
                    <w:rPr>
                      <w:rFonts w:hint="eastAsia"/>
                      <w:color w:val="auto"/>
                      <w:kern w:val="2"/>
                      <w:sz w:val="21"/>
                      <w:szCs w:val="24"/>
                      <w:lang w:val="en-US" w:eastAsia="zh-CN" w:bidi="ar-SA"/>
                    </w:rPr>
                    <w:t>34.85179</w:t>
                  </w:r>
                </w:p>
              </w:tc>
              <w:tc>
                <w:tcPr>
                  <w:tcW w:w="411" w:type="pct"/>
                  <w:tcBorders>
                    <w:tl2br w:val="nil"/>
                    <w:tr2bl w:val="nil"/>
                  </w:tcBorders>
                  <w:noWrap w:val="0"/>
                  <w:vAlign w:val="center"/>
                </w:tcPr>
                <w:p w14:paraId="333FD55E">
                  <w:pPr>
                    <w:jc w:val="center"/>
                    <w:rPr>
                      <w:rFonts w:hint="default"/>
                      <w:color w:val="auto"/>
                      <w:lang w:val="en-US" w:eastAsia="zh-CN"/>
                    </w:rPr>
                  </w:pPr>
                  <w:r>
                    <w:rPr>
                      <w:rFonts w:hint="eastAsia"/>
                      <w:color w:val="auto"/>
                      <w:lang w:val="en-US" w:eastAsia="zh-CN"/>
                    </w:rPr>
                    <w:t>SE</w:t>
                  </w:r>
                </w:p>
              </w:tc>
              <w:tc>
                <w:tcPr>
                  <w:tcW w:w="457" w:type="pct"/>
                  <w:gridSpan w:val="2"/>
                  <w:tcBorders>
                    <w:tl2br w:val="nil"/>
                    <w:tr2bl w:val="nil"/>
                  </w:tcBorders>
                  <w:noWrap w:val="0"/>
                  <w:vAlign w:val="center"/>
                </w:tcPr>
                <w:p w14:paraId="40913FD0">
                  <w:pPr>
                    <w:jc w:val="center"/>
                    <w:rPr>
                      <w:rFonts w:hint="default"/>
                      <w:color w:val="auto"/>
                      <w:lang w:val="en-US" w:eastAsia="zh-CN"/>
                    </w:rPr>
                  </w:pPr>
                  <w:r>
                    <w:rPr>
                      <w:rFonts w:hint="eastAsia"/>
                      <w:color w:val="auto"/>
                      <w:lang w:val="en-US" w:eastAsia="zh-CN"/>
                    </w:rPr>
                    <w:t>390</w:t>
                  </w:r>
                </w:p>
              </w:tc>
              <w:tc>
                <w:tcPr>
                  <w:tcW w:w="672" w:type="pct"/>
                  <w:tcBorders>
                    <w:tl2br w:val="nil"/>
                    <w:tr2bl w:val="nil"/>
                  </w:tcBorders>
                  <w:noWrap w:val="0"/>
                  <w:vAlign w:val="center"/>
                </w:tcPr>
                <w:p w14:paraId="115BFEC8">
                  <w:pPr>
                    <w:jc w:val="center"/>
                    <w:rPr>
                      <w:rFonts w:hint="eastAsia"/>
                      <w:color w:val="auto"/>
                      <w:lang w:val="en-US" w:eastAsia="zh-CN"/>
                    </w:rPr>
                  </w:pPr>
                  <w:r>
                    <w:rPr>
                      <w:rFonts w:hint="eastAsia"/>
                      <w:color w:val="auto"/>
                    </w:rPr>
                    <w:t>约</w:t>
                  </w:r>
                  <w:r>
                    <w:rPr>
                      <w:rFonts w:hint="eastAsia"/>
                      <w:color w:val="auto"/>
                      <w:lang w:val="en-US" w:eastAsia="zh-CN"/>
                    </w:rPr>
                    <w:t>4</w:t>
                  </w:r>
                  <w:r>
                    <w:rPr>
                      <w:rFonts w:hint="eastAsia"/>
                      <w:color w:val="auto"/>
                    </w:rPr>
                    <w:t>0户</w:t>
                  </w:r>
                  <w:r>
                    <w:rPr>
                      <w:rFonts w:hint="eastAsia"/>
                      <w:color w:val="auto"/>
                      <w:lang w:val="en-US" w:eastAsia="zh-CN"/>
                    </w:rPr>
                    <w:t>140人</w:t>
                  </w:r>
                </w:p>
              </w:tc>
              <w:tc>
                <w:tcPr>
                  <w:tcW w:w="420" w:type="pct"/>
                  <w:vMerge w:val="continue"/>
                  <w:tcBorders>
                    <w:tl2br w:val="nil"/>
                    <w:tr2bl w:val="nil"/>
                  </w:tcBorders>
                  <w:noWrap w:val="0"/>
                  <w:vAlign w:val="center"/>
                </w:tcPr>
                <w:p w14:paraId="4E03009F">
                  <w:pPr>
                    <w:jc w:val="center"/>
                    <w:rPr>
                      <w:rFonts w:hint="eastAsia"/>
                      <w:color w:val="auto"/>
                    </w:rPr>
                  </w:pPr>
                </w:p>
              </w:tc>
              <w:tc>
                <w:tcPr>
                  <w:tcW w:w="525" w:type="pct"/>
                  <w:vMerge w:val="continue"/>
                  <w:tcBorders>
                    <w:tl2br w:val="nil"/>
                    <w:tr2bl w:val="nil"/>
                  </w:tcBorders>
                  <w:noWrap w:val="0"/>
                  <w:vAlign w:val="center"/>
                </w:tcPr>
                <w:p w14:paraId="276B9856">
                  <w:pPr>
                    <w:jc w:val="center"/>
                    <w:rPr>
                      <w:rFonts w:hint="eastAsia"/>
                      <w:color w:val="auto"/>
                    </w:rPr>
                  </w:pPr>
                </w:p>
              </w:tc>
            </w:tr>
            <w:tr w14:paraId="51E7C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trPr>
              <w:tc>
                <w:tcPr>
                  <w:tcW w:w="399" w:type="pct"/>
                  <w:vMerge w:val="restart"/>
                  <w:tcBorders>
                    <w:tl2br w:val="nil"/>
                    <w:tr2bl w:val="nil"/>
                  </w:tcBorders>
                  <w:noWrap w:val="0"/>
                  <w:vAlign w:val="center"/>
                </w:tcPr>
                <w:p w14:paraId="23C17D48">
                  <w:pPr>
                    <w:jc w:val="center"/>
                    <w:rPr>
                      <w:rFonts w:hint="eastAsia"/>
                      <w:color w:val="auto"/>
                    </w:rPr>
                  </w:pPr>
                  <w:r>
                    <w:rPr>
                      <w:rFonts w:hint="eastAsia"/>
                      <w:color w:val="auto"/>
                    </w:rPr>
                    <w:t>地表水</w:t>
                  </w:r>
                </w:p>
              </w:tc>
              <w:tc>
                <w:tcPr>
                  <w:tcW w:w="566" w:type="pct"/>
                  <w:vMerge w:val="restart"/>
                  <w:tcBorders>
                    <w:tl2br w:val="nil"/>
                    <w:tr2bl w:val="nil"/>
                  </w:tcBorders>
                  <w:noWrap w:val="0"/>
                  <w:vAlign w:val="center"/>
                </w:tcPr>
                <w:p w14:paraId="06FF4EDF">
                  <w:pPr>
                    <w:jc w:val="center"/>
                    <w:rPr>
                      <w:rFonts w:hint="default" w:eastAsia="宋体"/>
                      <w:color w:val="auto"/>
                      <w:lang w:val="en-US" w:eastAsia="zh-CN"/>
                    </w:rPr>
                  </w:pPr>
                  <w:r>
                    <w:rPr>
                      <w:rFonts w:hint="eastAsia"/>
                      <w:color w:val="auto"/>
                      <w:lang w:val="en-US" w:eastAsia="zh-CN"/>
                    </w:rPr>
                    <w:t>陇县污水处理厂人工湿地</w:t>
                  </w:r>
                </w:p>
              </w:tc>
              <w:tc>
                <w:tcPr>
                  <w:tcW w:w="677" w:type="pct"/>
                  <w:tcBorders>
                    <w:tl2br w:val="nil"/>
                    <w:tr2bl w:val="nil"/>
                  </w:tcBorders>
                  <w:noWrap w:val="0"/>
                  <w:vAlign w:val="center"/>
                </w:tcPr>
                <w:p w14:paraId="5C643AEE">
                  <w:pPr>
                    <w:jc w:val="center"/>
                    <w:rPr>
                      <w:rFonts w:hint="eastAsia"/>
                      <w:color w:val="auto"/>
                      <w:lang w:val="en-US" w:eastAsia="zh-CN"/>
                    </w:rPr>
                  </w:pPr>
                  <w:r>
                    <w:rPr>
                      <w:rFonts w:hint="eastAsia"/>
                      <w:color w:val="auto"/>
                      <w:lang w:val="en-US" w:eastAsia="zh-CN"/>
                    </w:rPr>
                    <w:t>千河</w:t>
                  </w:r>
                </w:p>
              </w:tc>
              <w:tc>
                <w:tcPr>
                  <w:tcW w:w="467" w:type="pct"/>
                  <w:tcBorders>
                    <w:tl2br w:val="nil"/>
                    <w:tr2bl w:val="nil"/>
                  </w:tcBorders>
                  <w:noWrap w:val="0"/>
                  <w:vAlign w:val="center"/>
                </w:tcPr>
                <w:p w14:paraId="5B5FFF8C">
                  <w:pPr>
                    <w:jc w:val="center"/>
                    <w:rPr>
                      <w:rFonts w:hint="default"/>
                      <w:color w:val="auto"/>
                      <w:lang w:val="en-US" w:eastAsia="zh-CN"/>
                    </w:rPr>
                  </w:pPr>
                  <w:r>
                    <w:rPr>
                      <w:rFonts w:hint="eastAsia"/>
                      <w:color w:val="auto"/>
                      <w:lang w:val="en-US" w:eastAsia="zh-CN"/>
                    </w:rPr>
                    <w:t>106.86925</w:t>
                  </w:r>
                </w:p>
              </w:tc>
              <w:tc>
                <w:tcPr>
                  <w:tcW w:w="401" w:type="pct"/>
                  <w:tcBorders>
                    <w:tl2br w:val="nil"/>
                    <w:tr2bl w:val="nil"/>
                  </w:tcBorders>
                  <w:noWrap w:val="0"/>
                  <w:vAlign w:val="center"/>
                </w:tcPr>
                <w:p w14:paraId="0B06F7EC">
                  <w:pPr>
                    <w:jc w:val="center"/>
                    <w:rPr>
                      <w:rFonts w:hint="default"/>
                      <w:color w:val="auto"/>
                      <w:lang w:val="en-US" w:eastAsia="zh-CN"/>
                    </w:rPr>
                  </w:pPr>
                  <w:r>
                    <w:rPr>
                      <w:rFonts w:hint="eastAsia"/>
                      <w:color w:val="auto"/>
                      <w:lang w:val="en-US" w:eastAsia="zh-CN"/>
                    </w:rPr>
                    <w:t>34.88792</w:t>
                  </w:r>
                </w:p>
              </w:tc>
              <w:tc>
                <w:tcPr>
                  <w:tcW w:w="411" w:type="pct"/>
                  <w:tcBorders>
                    <w:tl2br w:val="nil"/>
                    <w:tr2bl w:val="nil"/>
                  </w:tcBorders>
                  <w:noWrap w:val="0"/>
                  <w:vAlign w:val="center"/>
                </w:tcPr>
                <w:p w14:paraId="59641E07">
                  <w:pPr>
                    <w:jc w:val="center"/>
                    <w:rPr>
                      <w:rFonts w:hint="default" w:eastAsia="宋体"/>
                      <w:color w:val="auto"/>
                      <w:lang w:val="en-US" w:eastAsia="zh-CN"/>
                    </w:rPr>
                  </w:pPr>
                  <w:r>
                    <w:rPr>
                      <w:rFonts w:hint="eastAsia"/>
                      <w:color w:val="auto"/>
                      <w:lang w:val="en-US" w:eastAsia="zh-CN"/>
                    </w:rPr>
                    <w:t>W</w:t>
                  </w:r>
                </w:p>
              </w:tc>
              <w:tc>
                <w:tcPr>
                  <w:tcW w:w="457" w:type="pct"/>
                  <w:gridSpan w:val="2"/>
                  <w:tcBorders>
                    <w:tl2br w:val="nil"/>
                    <w:tr2bl w:val="nil"/>
                  </w:tcBorders>
                  <w:noWrap w:val="0"/>
                  <w:vAlign w:val="center"/>
                </w:tcPr>
                <w:p w14:paraId="3F225D9B">
                  <w:pPr>
                    <w:jc w:val="center"/>
                    <w:rPr>
                      <w:rFonts w:hint="default"/>
                      <w:color w:val="auto"/>
                      <w:lang w:val="en-US" w:eastAsia="zh-CN"/>
                    </w:rPr>
                  </w:pPr>
                  <w:r>
                    <w:rPr>
                      <w:rFonts w:hint="eastAsia"/>
                      <w:color w:val="auto"/>
                      <w:lang w:val="en-US" w:eastAsia="zh-CN"/>
                    </w:rPr>
                    <w:t>紧邻</w:t>
                  </w:r>
                </w:p>
              </w:tc>
              <w:tc>
                <w:tcPr>
                  <w:tcW w:w="672" w:type="pct"/>
                  <w:tcBorders>
                    <w:tl2br w:val="nil"/>
                    <w:tr2bl w:val="nil"/>
                  </w:tcBorders>
                  <w:noWrap w:val="0"/>
                  <w:vAlign w:val="center"/>
                </w:tcPr>
                <w:p w14:paraId="56C622DD">
                  <w:pPr>
                    <w:jc w:val="center"/>
                    <w:rPr>
                      <w:rFonts w:hint="default" w:eastAsia="宋体"/>
                      <w:color w:val="auto"/>
                      <w:lang w:val="en-US" w:eastAsia="zh-CN"/>
                    </w:rPr>
                  </w:pPr>
                  <w:r>
                    <w:rPr>
                      <w:rFonts w:hint="eastAsia"/>
                      <w:color w:val="auto"/>
                      <w:lang w:val="en-US" w:eastAsia="zh-CN"/>
                    </w:rPr>
                    <w:t>渭河左岸一级支流</w:t>
                  </w:r>
                </w:p>
              </w:tc>
              <w:tc>
                <w:tcPr>
                  <w:tcW w:w="420" w:type="pct"/>
                  <w:vMerge w:val="restart"/>
                  <w:tcBorders>
                    <w:tl2br w:val="nil"/>
                    <w:tr2bl w:val="nil"/>
                  </w:tcBorders>
                  <w:noWrap w:val="0"/>
                  <w:vAlign w:val="center"/>
                </w:tcPr>
                <w:p w14:paraId="30AEC045">
                  <w:pPr>
                    <w:jc w:val="center"/>
                    <w:rPr>
                      <w:rFonts w:hint="eastAsia"/>
                      <w:color w:val="auto"/>
                    </w:rPr>
                  </w:pPr>
                  <w:r>
                    <w:rPr>
                      <w:rFonts w:hint="eastAsia"/>
                      <w:color w:val="auto"/>
                    </w:rPr>
                    <w:t>水质</w:t>
                  </w:r>
                </w:p>
              </w:tc>
              <w:tc>
                <w:tcPr>
                  <w:tcW w:w="525" w:type="pct"/>
                  <w:vMerge w:val="restart"/>
                  <w:tcBorders>
                    <w:tl2br w:val="nil"/>
                    <w:tr2bl w:val="nil"/>
                  </w:tcBorders>
                  <w:noWrap w:val="0"/>
                  <w:vAlign w:val="center"/>
                </w:tcPr>
                <w:p w14:paraId="5C64DF2F">
                  <w:pPr>
                    <w:jc w:val="center"/>
                    <w:rPr>
                      <w:rFonts w:hint="eastAsia"/>
                      <w:color w:val="auto"/>
                    </w:rPr>
                  </w:pPr>
                  <w:r>
                    <w:rPr>
                      <w:rFonts w:hint="default" w:ascii="Times New Roman" w:hAnsi="Times New Roman" w:eastAsia="宋体"/>
                      <w:color w:val="auto"/>
                      <w:sz w:val="21"/>
                      <w:szCs w:val="28"/>
                      <w:vertAlign w:val="baseline"/>
                      <w:lang w:val="en-US" w:eastAsia="zh-CN"/>
                    </w:rPr>
                    <w:t>Ⅲ</w:t>
                  </w:r>
                  <w:r>
                    <w:rPr>
                      <w:rFonts w:hint="eastAsia"/>
                      <w:color w:val="auto"/>
                    </w:rPr>
                    <w:t>类水域</w:t>
                  </w:r>
                </w:p>
              </w:tc>
            </w:tr>
            <w:tr w14:paraId="2416D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trPr>
              <w:tc>
                <w:tcPr>
                  <w:tcW w:w="399" w:type="pct"/>
                  <w:vMerge w:val="continue"/>
                  <w:tcBorders>
                    <w:tl2br w:val="nil"/>
                    <w:tr2bl w:val="nil"/>
                  </w:tcBorders>
                  <w:noWrap w:val="0"/>
                  <w:vAlign w:val="center"/>
                </w:tcPr>
                <w:p w14:paraId="14F3F083">
                  <w:pPr>
                    <w:jc w:val="center"/>
                    <w:rPr>
                      <w:rFonts w:hint="eastAsia"/>
                      <w:color w:val="auto"/>
                    </w:rPr>
                  </w:pPr>
                </w:p>
              </w:tc>
              <w:tc>
                <w:tcPr>
                  <w:tcW w:w="566" w:type="pct"/>
                  <w:vMerge w:val="continue"/>
                  <w:tcBorders>
                    <w:tl2br w:val="nil"/>
                    <w:tr2bl w:val="nil"/>
                  </w:tcBorders>
                  <w:noWrap w:val="0"/>
                  <w:vAlign w:val="center"/>
                </w:tcPr>
                <w:p w14:paraId="2DB35FCC">
                  <w:pPr>
                    <w:jc w:val="center"/>
                    <w:rPr>
                      <w:rFonts w:hint="default"/>
                      <w:color w:val="auto"/>
                      <w:lang w:val="en-US" w:eastAsia="zh-CN"/>
                    </w:rPr>
                  </w:pPr>
                </w:p>
              </w:tc>
              <w:tc>
                <w:tcPr>
                  <w:tcW w:w="677" w:type="pct"/>
                  <w:tcBorders>
                    <w:tl2br w:val="nil"/>
                    <w:tr2bl w:val="nil"/>
                  </w:tcBorders>
                  <w:noWrap w:val="0"/>
                  <w:vAlign w:val="center"/>
                </w:tcPr>
                <w:p w14:paraId="473E70E3">
                  <w:pPr>
                    <w:jc w:val="center"/>
                    <w:rPr>
                      <w:rFonts w:hint="eastAsia"/>
                      <w:color w:val="auto"/>
                      <w:lang w:val="en-US" w:eastAsia="zh-CN"/>
                    </w:rPr>
                  </w:pPr>
                  <w:r>
                    <w:rPr>
                      <w:rFonts w:hint="eastAsia"/>
                      <w:color w:val="auto"/>
                      <w:lang w:val="en-US" w:eastAsia="zh-CN"/>
                    </w:rPr>
                    <w:t>北河</w:t>
                  </w:r>
                </w:p>
              </w:tc>
              <w:tc>
                <w:tcPr>
                  <w:tcW w:w="467" w:type="pct"/>
                  <w:tcBorders>
                    <w:tl2br w:val="nil"/>
                    <w:tr2bl w:val="nil"/>
                  </w:tcBorders>
                  <w:noWrap w:val="0"/>
                  <w:vAlign w:val="center"/>
                </w:tcPr>
                <w:p w14:paraId="14863256">
                  <w:pPr>
                    <w:jc w:val="center"/>
                    <w:rPr>
                      <w:rFonts w:hint="default"/>
                      <w:color w:val="auto"/>
                      <w:lang w:val="en-US" w:eastAsia="zh-CN"/>
                    </w:rPr>
                  </w:pPr>
                  <w:r>
                    <w:rPr>
                      <w:rFonts w:hint="eastAsia"/>
                      <w:color w:val="auto"/>
                      <w:lang w:val="en-US" w:eastAsia="zh-CN"/>
                    </w:rPr>
                    <w:t>106.86693</w:t>
                  </w:r>
                </w:p>
              </w:tc>
              <w:tc>
                <w:tcPr>
                  <w:tcW w:w="401" w:type="pct"/>
                  <w:tcBorders>
                    <w:tl2br w:val="nil"/>
                    <w:tr2bl w:val="nil"/>
                  </w:tcBorders>
                  <w:noWrap w:val="0"/>
                  <w:vAlign w:val="center"/>
                </w:tcPr>
                <w:p w14:paraId="3317C60F">
                  <w:pPr>
                    <w:jc w:val="center"/>
                    <w:rPr>
                      <w:rFonts w:hint="default"/>
                      <w:color w:val="auto"/>
                      <w:lang w:val="en-US" w:eastAsia="zh-CN"/>
                    </w:rPr>
                  </w:pPr>
                  <w:r>
                    <w:rPr>
                      <w:rFonts w:hint="eastAsia"/>
                      <w:color w:val="auto"/>
                      <w:lang w:val="en-US" w:eastAsia="zh-CN"/>
                    </w:rPr>
                    <w:t>34.89002</w:t>
                  </w:r>
                </w:p>
              </w:tc>
              <w:tc>
                <w:tcPr>
                  <w:tcW w:w="411" w:type="pct"/>
                  <w:tcBorders>
                    <w:tl2br w:val="nil"/>
                    <w:tr2bl w:val="nil"/>
                  </w:tcBorders>
                  <w:noWrap w:val="0"/>
                  <w:vAlign w:val="center"/>
                </w:tcPr>
                <w:p w14:paraId="239435B4">
                  <w:pPr>
                    <w:jc w:val="center"/>
                    <w:rPr>
                      <w:rFonts w:hint="eastAsia"/>
                      <w:color w:val="auto"/>
                      <w:lang w:val="en-US" w:eastAsia="zh-CN"/>
                    </w:rPr>
                  </w:pPr>
                  <w:r>
                    <w:rPr>
                      <w:rFonts w:hint="eastAsia"/>
                      <w:color w:val="auto"/>
                      <w:lang w:val="en-US" w:eastAsia="zh-CN"/>
                    </w:rPr>
                    <w:t>N</w:t>
                  </w:r>
                </w:p>
              </w:tc>
              <w:tc>
                <w:tcPr>
                  <w:tcW w:w="457" w:type="pct"/>
                  <w:gridSpan w:val="2"/>
                  <w:tcBorders>
                    <w:tl2br w:val="nil"/>
                    <w:tr2bl w:val="nil"/>
                  </w:tcBorders>
                  <w:noWrap w:val="0"/>
                  <w:vAlign w:val="center"/>
                </w:tcPr>
                <w:p w14:paraId="7023BB54">
                  <w:pPr>
                    <w:jc w:val="center"/>
                    <w:rPr>
                      <w:rFonts w:hint="default"/>
                      <w:color w:val="auto"/>
                      <w:lang w:val="en-US" w:eastAsia="zh-CN"/>
                    </w:rPr>
                  </w:pPr>
                  <w:r>
                    <w:rPr>
                      <w:rFonts w:hint="eastAsia"/>
                      <w:color w:val="auto"/>
                      <w:lang w:val="en-US" w:eastAsia="zh-CN"/>
                    </w:rPr>
                    <w:t>125</w:t>
                  </w:r>
                </w:p>
              </w:tc>
              <w:tc>
                <w:tcPr>
                  <w:tcW w:w="672" w:type="pct"/>
                  <w:tcBorders>
                    <w:tl2br w:val="nil"/>
                    <w:tr2bl w:val="nil"/>
                  </w:tcBorders>
                  <w:noWrap w:val="0"/>
                  <w:vAlign w:val="center"/>
                </w:tcPr>
                <w:p w14:paraId="7F1B4D77">
                  <w:pPr>
                    <w:jc w:val="center"/>
                    <w:rPr>
                      <w:rFonts w:hint="eastAsia"/>
                      <w:color w:val="auto"/>
                      <w:lang w:val="en-US" w:eastAsia="zh-CN"/>
                    </w:rPr>
                  </w:pPr>
                  <w:r>
                    <w:rPr>
                      <w:rFonts w:hint="eastAsia"/>
                      <w:color w:val="auto"/>
                      <w:lang w:val="en-US" w:eastAsia="zh-CN"/>
                    </w:rPr>
                    <w:t>千河左岸一级支流</w:t>
                  </w:r>
                </w:p>
              </w:tc>
              <w:tc>
                <w:tcPr>
                  <w:tcW w:w="420" w:type="pct"/>
                  <w:vMerge w:val="continue"/>
                  <w:tcBorders>
                    <w:tl2br w:val="nil"/>
                    <w:tr2bl w:val="nil"/>
                  </w:tcBorders>
                  <w:noWrap w:val="0"/>
                  <w:vAlign w:val="center"/>
                </w:tcPr>
                <w:p w14:paraId="5147D30D">
                  <w:pPr>
                    <w:jc w:val="center"/>
                    <w:rPr>
                      <w:rFonts w:hint="eastAsia"/>
                      <w:color w:val="auto"/>
                    </w:rPr>
                  </w:pPr>
                </w:p>
              </w:tc>
              <w:tc>
                <w:tcPr>
                  <w:tcW w:w="525" w:type="pct"/>
                  <w:vMerge w:val="continue"/>
                  <w:tcBorders>
                    <w:tl2br w:val="nil"/>
                    <w:tr2bl w:val="nil"/>
                  </w:tcBorders>
                  <w:noWrap w:val="0"/>
                  <w:vAlign w:val="center"/>
                </w:tcPr>
                <w:p w14:paraId="64EEA86E">
                  <w:pPr>
                    <w:jc w:val="center"/>
                    <w:rPr>
                      <w:rFonts w:hint="default" w:ascii="Times New Roman" w:hAnsi="Times New Roman" w:eastAsia="宋体"/>
                      <w:color w:val="auto"/>
                      <w:sz w:val="21"/>
                      <w:szCs w:val="28"/>
                      <w:vertAlign w:val="baseline"/>
                      <w:lang w:val="en-US" w:eastAsia="zh-CN"/>
                    </w:rPr>
                  </w:pPr>
                </w:p>
              </w:tc>
            </w:tr>
            <w:tr w14:paraId="6EF87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trPr>
              <w:tc>
                <w:tcPr>
                  <w:tcW w:w="399" w:type="pct"/>
                  <w:vMerge w:val="continue"/>
                  <w:tcBorders>
                    <w:tl2br w:val="nil"/>
                    <w:tr2bl w:val="nil"/>
                  </w:tcBorders>
                  <w:noWrap w:val="0"/>
                  <w:vAlign w:val="center"/>
                </w:tcPr>
                <w:p w14:paraId="69D674A5">
                  <w:pPr>
                    <w:jc w:val="center"/>
                    <w:rPr>
                      <w:rFonts w:hint="eastAsia"/>
                      <w:color w:val="auto"/>
                    </w:rPr>
                  </w:pPr>
                </w:p>
              </w:tc>
              <w:tc>
                <w:tcPr>
                  <w:tcW w:w="566" w:type="pct"/>
                  <w:vMerge w:val="restart"/>
                  <w:tcBorders>
                    <w:tl2br w:val="nil"/>
                    <w:tr2bl w:val="nil"/>
                  </w:tcBorders>
                  <w:noWrap w:val="0"/>
                  <w:vAlign w:val="center"/>
                </w:tcPr>
                <w:p w14:paraId="26F86A65">
                  <w:pPr>
                    <w:jc w:val="center"/>
                    <w:rPr>
                      <w:rFonts w:hint="eastAsia"/>
                      <w:color w:val="auto"/>
                      <w:lang w:val="en-US" w:eastAsia="zh-CN"/>
                    </w:rPr>
                  </w:pPr>
                  <w:r>
                    <w:rPr>
                      <w:rFonts w:hint="eastAsia"/>
                      <w:color w:val="auto"/>
                      <w:lang w:val="en-US" w:eastAsia="zh-CN"/>
                    </w:rPr>
                    <w:t>陇县千河南岸新城污水处理厂人工湿地</w:t>
                  </w:r>
                </w:p>
              </w:tc>
              <w:tc>
                <w:tcPr>
                  <w:tcW w:w="677" w:type="pct"/>
                  <w:tcBorders>
                    <w:tl2br w:val="nil"/>
                    <w:tr2bl w:val="nil"/>
                  </w:tcBorders>
                  <w:noWrap w:val="0"/>
                  <w:vAlign w:val="center"/>
                </w:tcPr>
                <w:p w14:paraId="68F956C4">
                  <w:pPr>
                    <w:jc w:val="center"/>
                    <w:rPr>
                      <w:rFonts w:hint="default"/>
                      <w:color w:val="auto"/>
                      <w:lang w:val="en-US" w:eastAsia="zh-CN"/>
                    </w:rPr>
                  </w:pPr>
                  <w:r>
                    <w:rPr>
                      <w:rFonts w:hint="eastAsia"/>
                      <w:color w:val="auto"/>
                      <w:lang w:val="en-US" w:eastAsia="zh-CN"/>
                    </w:rPr>
                    <w:t>千河</w:t>
                  </w:r>
                </w:p>
              </w:tc>
              <w:tc>
                <w:tcPr>
                  <w:tcW w:w="467" w:type="pct"/>
                  <w:tcBorders>
                    <w:tl2br w:val="nil"/>
                    <w:tr2bl w:val="nil"/>
                  </w:tcBorders>
                  <w:noWrap w:val="0"/>
                  <w:vAlign w:val="center"/>
                </w:tcPr>
                <w:p w14:paraId="7FE48756">
                  <w:pPr>
                    <w:jc w:val="center"/>
                    <w:rPr>
                      <w:rFonts w:hint="default"/>
                      <w:color w:val="auto"/>
                      <w:lang w:val="en-US" w:eastAsia="zh-CN"/>
                    </w:rPr>
                  </w:pPr>
                  <w:r>
                    <w:rPr>
                      <w:rFonts w:hint="eastAsia"/>
                      <w:color w:val="auto"/>
                      <w:lang w:val="en-US" w:eastAsia="zh-CN"/>
                    </w:rPr>
                    <w:t>106.91113</w:t>
                  </w:r>
                </w:p>
              </w:tc>
              <w:tc>
                <w:tcPr>
                  <w:tcW w:w="401" w:type="pct"/>
                  <w:tcBorders>
                    <w:tl2br w:val="nil"/>
                    <w:tr2bl w:val="nil"/>
                  </w:tcBorders>
                  <w:noWrap w:val="0"/>
                  <w:vAlign w:val="center"/>
                </w:tcPr>
                <w:p w14:paraId="3419C29A">
                  <w:pPr>
                    <w:jc w:val="center"/>
                    <w:rPr>
                      <w:rFonts w:hint="default"/>
                      <w:color w:val="auto"/>
                      <w:lang w:val="en-US" w:eastAsia="zh-CN"/>
                    </w:rPr>
                  </w:pPr>
                  <w:r>
                    <w:rPr>
                      <w:rFonts w:hint="eastAsia"/>
                      <w:color w:val="auto"/>
                      <w:lang w:val="en-US" w:eastAsia="zh-CN"/>
                    </w:rPr>
                    <w:t>34.85246</w:t>
                  </w:r>
                </w:p>
              </w:tc>
              <w:tc>
                <w:tcPr>
                  <w:tcW w:w="411" w:type="pct"/>
                  <w:tcBorders>
                    <w:tl2br w:val="nil"/>
                    <w:tr2bl w:val="nil"/>
                  </w:tcBorders>
                  <w:noWrap w:val="0"/>
                  <w:vAlign w:val="center"/>
                </w:tcPr>
                <w:p w14:paraId="095FEE88">
                  <w:pPr>
                    <w:jc w:val="center"/>
                    <w:rPr>
                      <w:rFonts w:hint="eastAsia"/>
                      <w:color w:val="auto"/>
                      <w:lang w:val="en-US" w:eastAsia="zh-CN"/>
                    </w:rPr>
                  </w:pPr>
                  <w:r>
                    <w:rPr>
                      <w:rFonts w:hint="eastAsia"/>
                      <w:color w:val="auto"/>
                      <w:lang w:val="en-US" w:eastAsia="zh-CN"/>
                    </w:rPr>
                    <w:t>W</w:t>
                  </w:r>
                </w:p>
              </w:tc>
              <w:tc>
                <w:tcPr>
                  <w:tcW w:w="457" w:type="pct"/>
                  <w:gridSpan w:val="2"/>
                  <w:tcBorders>
                    <w:tl2br w:val="nil"/>
                    <w:tr2bl w:val="nil"/>
                  </w:tcBorders>
                  <w:noWrap w:val="0"/>
                  <w:vAlign w:val="center"/>
                </w:tcPr>
                <w:p w14:paraId="7ABA86A2">
                  <w:pPr>
                    <w:jc w:val="center"/>
                    <w:rPr>
                      <w:rFonts w:hint="eastAsia"/>
                      <w:color w:val="auto"/>
                      <w:lang w:val="en-US" w:eastAsia="zh-CN"/>
                    </w:rPr>
                  </w:pPr>
                  <w:r>
                    <w:rPr>
                      <w:rFonts w:hint="eastAsia"/>
                      <w:color w:val="auto"/>
                      <w:lang w:val="en-US" w:eastAsia="zh-CN"/>
                    </w:rPr>
                    <w:t>紧邻</w:t>
                  </w:r>
                </w:p>
              </w:tc>
              <w:tc>
                <w:tcPr>
                  <w:tcW w:w="672" w:type="pct"/>
                  <w:tcBorders>
                    <w:tl2br w:val="nil"/>
                    <w:tr2bl w:val="nil"/>
                  </w:tcBorders>
                  <w:shd w:val="clear" w:color="auto" w:fill="auto"/>
                  <w:noWrap w:val="0"/>
                  <w:vAlign w:val="center"/>
                </w:tcPr>
                <w:p w14:paraId="20CAAE55">
                  <w:pPr>
                    <w:jc w:val="center"/>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渭河左岸一级支流</w:t>
                  </w:r>
                </w:p>
              </w:tc>
              <w:tc>
                <w:tcPr>
                  <w:tcW w:w="420" w:type="pct"/>
                  <w:vMerge w:val="continue"/>
                  <w:tcBorders>
                    <w:tl2br w:val="nil"/>
                    <w:tr2bl w:val="nil"/>
                  </w:tcBorders>
                  <w:noWrap w:val="0"/>
                  <w:vAlign w:val="center"/>
                </w:tcPr>
                <w:p w14:paraId="10009C08">
                  <w:pPr>
                    <w:jc w:val="center"/>
                    <w:rPr>
                      <w:rFonts w:hint="eastAsia"/>
                      <w:color w:val="auto"/>
                    </w:rPr>
                  </w:pPr>
                </w:p>
              </w:tc>
              <w:tc>
                <w:tcPr>
                  <w:tcW w:w="525" w:type="pct"/>
                  <w:vMerge w:val="continue"/>
                  <w:tcBorders>
                    <w:tl2br w:val="nil"/>
                    <w:tr2bl w:val="nil"/>
                  </w:tcBorders>
                  <w:noWrap w:val="0"/>
                  <w:vAlign w:val="center"/>
                </w:tcPr>
                <w:p w14:paraId="20EF4D36">
                  <w:pPr>
                    <w:jc w:val="center"/>
                    <w:rPr>
                      <w:rFonts w:hint="default" w:ascii="Times New Roman" w:hAnsi="Times New Roman" w:eastAsia="宋体"/>
                      <w:color w:val="auto"/>
                      <w:sz w:val="21"/>
                      <w:szCs w:val="28"/>
                      <w:vertAlign w:val="baseline"/>
                      <w:lang w:val="en-US" w:eastAsia="zh-CN"/>
                    </w:rPr>
                  </w:pPr>
                </w:p>
              </w:tc>
            </w:tr>
            <w:tr w14:paraId="14830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trPr>
              <w:tc>
                <w:tcPr>
                  <w:tcW w:w="399" w:type="pct"/>
                  <w:vMerge w:val="continue"/>
                  <w:tcBorders>
                    <w:tl2br w:val="nil"/>
                    <w:tr2bl w:val="nil"/>
                  </w:tcBorders>
                  <w:noWrap w:val="0"/>
                  <w:vAlign w:val="center"/>
                </w:tcPr>
                <w:p w14:paraId="52F7402A">
                  <w:pPr>
                    <w:jc w:val="center"/>
                    <w:rPr>
                      <w:rFonts w:hint="eastAsia"/>
                      <w:color w:val="auto"/>
                    </w:rPr>
                  </w:pPr>
                </w:p>
              </w:tc>
              <w:tc>
                <w:tcPr>
                  <w:tcW w:w="566" w:type="pct"/>
                  <w:vMerge w:val="continue"/>
                  <w:tcBorders>
                    <w:tl2br w:val="nil"/>
                    <w:tr2bl w:val="nil"/>
                  </w:tcBorders>
                  <w:noWrap w:val="0"/>
                  <w:vAlign w:val="center"/>
                </w:tcPr>
                <w:p w14:paraId="4FC5C5AA">
                  <w:pPr>
                    <w:jc w:val="center"/>
                    <w:rPr>
                      <w:rFonts w:hint="eastAsia"/>
                      <w:color w:val="auto"/>
                      <w:lang w:val="en-US" w:eastAsia="zh-CN"/>
                    </w:rPr>
                  </w:pPr>
                </w:p>
              </w:tc>
              <w:tc>
                <w:tcPr>
                  <w:tcW w:w="677" w:type="pct"/>
                  <w:tcBorders>
                    <w:tl2br w:val="nil"/>
                    <w:tr2bl w:val="nil"/>
                  </w:tcBorders>
                  <w:noWrap w:val="0"/>
                  <w:vAlign w:val="center"/>
                </w:tcPr>
                <w:p w14:paraId="46D9C26E">
                  <w:pPr>
                    <w:jc w:val="center"/>
                    <w:rPr>
                      <w:rFonts w:hint="eastAsia"/>
                      <w:color w:val="auto"/>
                      <w:lang w:val="en-US" w:eastAsia="zh-CN"/>
                    </w:rPr>
                  </w:pPr>
                  <w:r>
                    <w:rPr>
                      <w:rFonts w:hint="eastAsia"/>
                      <w:color w:val="auto"/>
                      <w:lang w:val="en-US" w:eastAsia="zh-CN"/>
                    </w:rPr>
                    <w:t>大杜阳河</w:t>
                  </w:r>
                </w:p>
              </w:tc>
              <w:tc>
                <w:tcPr>
                  <w:tcW w:w="467" w:type="pct"/>
                  <w:tcBorders>
                    <w:tl2br w:val="nil"/>
                    <w:tr2bl w:val="nil"/>
                  </w:tcBorders>
                  <w:noWrap w:val="0"/>
                  <w:vAlign w:val="center"/>
                </w:tcPr>
                <w:p w14:paraId="07331CCE">
                  <w:pPr>
                    <w:jc w:val="center"/>
                    <w:rPr>
                      <w:rFonts w:hint="default"/>
                      <w:color w:val="auto"/>
                      <w:lang w:val="en-US" w:eastAsia="zh-CN"/>
                    </w:rPr>
                  </w:pPr>
                  <w:r>
                    <w:rPr>
                      <w:rFonts w:hint="eastAsia"/>
                      <w:color w:val="auto"/>
                      <w:lang w:val="en-US" w:eastAsia="zh-CN"/>
                    </w:rPr>
                    <w:t>106.91238</w:t>
                  </w:r>
                </w:p>
              </w:tc>
              <w:tc>
                <w:tcPr>
                  <w:tcW w:w="401" w:type="pct"/>
                  <w:tcBorders>
                    <w:tl2br w:val="nil"/>
                    <w:tr2bl w:val="nil"/>
                  </w:tcBorders>
                  <w:noWrap w:val="0"/>
                  <w:vAlign w:val="center"/>
                </w:tcPr>
                <w:p w14:paraId="3462294C">
                  <w:pPr>
                    <w:jc w:val="center"/>
                    <w:rPr>
                      <w:rFonts w:hint="default"/>
                      <w:color w:val="auto"/>
                      <w:lang w:val="en-US" w:eastAsia="zh-CN"/>
                    </w:rPr>
                  </w:pPr>
                  <w:r>
                    <w:rPr>
                      <w:rFonts w:hint="eastAsia"/>
                      <w:color w:val="auto"/>
                      <w:lang w:val="en-US" w:eastAsia="zh-CN"/>
                    </w:rPr>
                    <w:t>34.85016</w:t>
                  </w:r>
                </w:p>
              </w:tc>
              <w:tc>
                <w:tcPr>
                  <w:tcW w:w="411" w:type="pct"/>
                  <w:tcBorders>
                    <w:tl2br w:val="nil"/>
                    <w:tr2bl w:val="nil"/>
                  </w:tcBorders>
                  <w:noWrap w:val="0"/>
                  <w:vAlign w:val="center"/>
                </w:tcPr>
                <w:p w14:paraId="5043BB0E">
                  <w:pPr>
                    <w:jc w:val="center"/>
                    <w:rPr>
                      <w:rFonts w:hint="default"/>
                      <w:color w:val="auto"/>
                      <w:lang w:val="en-US" w:eastAsia="zh-CN"/>
                    </w:rPr>
                  </w:pPr>
                  <w:r>
                    <w:rPr>
                      <w:rFonts w:hint="eastAsia"/>
                      <w:color w:val="auto"/>
                      <w:lang w:val="en-US" w:eastAsia="zh-CN"/>
                    </w:rPr>
                    <w:t>E</w:t>
                  </w:r>
                </w:p>
              </w:tc>
              <w:tc>
                <w:tcPr>
                  <w:tcW w:w="457" w:type="pct"/>
                  <w:gridSpan w:val="2"/>
                  <w:tcBorders>
                    <w:tl2br w:val="nil"/>
                    <w:tr2bl w:val="nil"/>
                  </w:tcBorders>
                  <w:noWrap w:val="0"/>
                  <w:vAlign w:val="center"/>
                </w:tcPr>
                <w:p w14:paraId="4B8231B8">
                  <w:pPr>
                    <w:jc w:val="center"/>
                    <w:rPr>
                      <w:rFonts w:hint="default"/>
                      <w:color w:val="auto"/>
                      <w:lang w:val="en-US" w:eastAsia="zh-CN"/>
                    </w:rPr>
                  </w:pPr>
                  <w:r>
                    <w:rPr>
                      <w:rFonts w:hint="eastAsia"/>
                      <w:color w:val="auto"/>
                      <w:lang w:val="en-US" w:eastAsia="zh-CN"/>
                    </w:rPr>
                    <w:t>30</w:t>
                  </w:r>
                </w:p>
              </w:tc>
              <w:tc>
                <w:tcPr>
                  <w:tcW w:w="672" w:type="pct"/>
                  <w:tcBorders>
                    <w:tl2br w:val="nil"/>
                    <w:tr2bl w:val="nil"/>
                  </w:tcBorders>
                  <w:shd w:val="clear" w:color="auto" w:fill="auto"/>
                  <w:noWrap w:val="0"/>
                  <w:vAlign w:val="center"/>
                </w:tcPr>
                <w:p w14:paraId="41905B01">
                  <w:pPr>
                    <w:jc w:val="center"/>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千河左岸一级支流</w:t>
                  </w:r>
                </w:p>
              </w:tc>
              <w:tc>
                <w:tcPr>
                  <w:tcW w:w="420" w:type="pct"/>
                  <w:vMerge w:val="continue"/>
                  <w:tcBorders>
                    <w:tl2br w:val="nil"/>
                    <w:tr2bl w:val="nil"/>
                  </w:tcBorders>
                  <w:noWrap w:val="0"/>
                  <w:vAlign w:val="center"/>
                </w:tcPr>
                <w:p w14:paraId="0F98F764">
                  <w:pPr>
                    <w:jc w:val="center"/>
                    <w:rPr>
                      <w:rFonts w:hint="eastAsia"/>
                      <w:color w:val="auto"/>
                    </w:rPr>
                  </w:pPr>
                </w:p>
              </w:tc>
              <w:tc>
                <w:tcPr>
                  <w:tcW w:w="525" w:type="pct"/>
                  <w:vMerge w:val="continue"/>
                  <w:tcBorders>
                    <w:tl2br w:val="nil"/>
                    <w:tr2bl w:val="nil"/>
                  </w:tcBorders>
                  <w:noWrap w:val="0"/>
                  <w:vAlign w:val="center"/>
                </w:tcPr>
                <w:p w14:paraId="05D69285">
                  <w:pPr>
                    <w:jc w:val="center"/>
                    <w:rPr>
                      <w:rFonts w:hint="default" w:ascii="Times New Roman" w:hAnsi="Times New Roman" w:eastAsia="宋体"/>
                      <w:color w:val="auto"/>
                      <w:sz w:val="21"/>
                      <w:szCs w:val="28"/>
                      <w:vertAlign w:val="baseline"/>
                      <w:lang w:val="en-US" w:eastAsia="zh-CN"/>
                    </w:rPr>
                  </w:pPr>
                </w:p>
              </w:tc>
            </w:tr>
            <w:tr w14:paraId="396A4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99" w:type="pct"/>
                  <w:vMerge w:val="restart"/>
                  <w:tcBorders>
                    <w:tl2br w:val="nil"/>
                    <w:tr2bl w:val="nil"/>
                  </w:tcBorders>
                  <w:noWrap w:val="0"/>
                  <w:vAlign w:val="center"/>
                </w:tcPr>
                <w:p w14:paraId="15943AE6">
                  <w:pPr>
                    <w:jc w:val="center"/>
                    <w:rPr>
                      <w:rFonts w:hint="eastAsia"/>
                      <w:color w:val="auto"/>
                      <w:szCs w:val="21"/>
                    </w:rPr>
                  </w:pPr>
                  <w:r>
                    <w:rPr>
                      <w:rFonts w:hint="eastAsia"/>
                      <w:color w:val="auto"/>
                      <w:szCs w:val="21"/>
                    </w:rPr>
                    <w:t>生态环境</w:t>
                  </w:r>
                </w:p>
              </w:tc>
              <w:tc>
                <w:tcPr>
                  <w:tcW w:w="2112" w:type="pct"/>
                  <w:gridSpan w:val="4"/>
                  <w:tcBorders>
                    <w:tl2br w:val="nil"/>
                    <w:tr2bl w:val="nil"/>
                  </w:tcBorders>
                  <w:noWrap w:val="0"/>
                  <w:vAlign w:val="center"/>
                </w:tcPr>
                <w:p w14:paraId="4C1FDCC2">
                  <w:pPr>
                    <w:jc w:val="center"/>
                    <w:rPr>
                      <w:rFonts w:hint="eastAsia"/>
                      <w:color w:val="auto"/>
                      <w:szCs w:val="21"/>
                    </w:rPr>
                  </w:pPr>
                  <w:r>
                    <w:rPr>
                      <w:rFonts w:hint="default" w:ascii="Times New Roman" w:hAnsi="Times New Roman" w:eastAsia="宋体"/>
                      <w:color w:val="auto"/>
                      <w:sz w:val="21"/>
                      <w:szCs w:val="28"/>
                      <w:vertAlign w:val="baseline"/>
                      <w:lang w:val="en-US" w:eastAsia="zh-CN"/>
                    </w:rPr>
                    <w:t>工程占地和评价范围</w:t>
                  </w:r>
                  <w:r>
                    <w:rPr>
                      <w:rFonts w:hint="eastAsia"/>
                      <w:color w:val="auto"/>
                      <w:sz w:val="21"/>
                      <w:szCs w:val="28"/>
                      <w:vertAlign w:val="baseline"/>
                      <w:lang w:val="en-US" w:eastAsia="zh-CN"/>
                    </w:rPr>
                    <w:t>内</w:t>
                  </w:r>
                  <w:r>
                    <w:rPr>
                      <w:rFonts w:hint="default" w:ascii="Times New Roman" w:hAnsi="Times New Roman" w:eastAsia="宋体"/>
                      <w:color w:val="auto"/>
                      <w:sz w:val="21"/>
                      <w:szCs w:val="28"/>
                      <w:vertAlign w:val="baseline"/>
                      <w:lang w:val="en-US" w:eastAsia="zh-CN"/>
                    </w:rPr>
                    <w:t>植被和野生动物、土地利用、农田等生态系统</w:t>
                  </w:r>
                </w:p>
              </w:tc>
              <w:tc>
                <w:tcPr>
                  <w:tcW w:w="868" w:type="pct"/>
                  <w:gridSpan w:val="3"/>
                  <w:tcBorders>
                    <w:tl2br w:val="nil"/>
                    <w:tr2bl w:val="nil"/>
                  </w:tcBorders>
                  <w:noWrap w:val="0"/>
                  <w:vAlign w:val="center"/>
                </w:tcPr>
                <w:p w14:paraId="07779D06">
                  <w:pPr>
                    <w:jc w:val="center"/>
                    <w:rPr>
                      <w:rFonts w:hint="eastAsia"/>
                      <w:color w:val="auto"/>
                      <w:szCs w:val="21"/>
                    </w:rPr>
                  </w:pPr>
                  <w:r>
                    <w:rPr>
                      <w:rFonts w:hint="eastAsia"/>
                      <w:color w:val="auto"/>
                      <w:szCs w:val="21"/>
                      <w:lang w:val="en-US" w:eastAsia="zh-CN"/>
                    </w:rPr>
                    <w:t>工程占地范围</w:t>
                  </w:r>
                  <w:r>
                    <w:rPr>
                      <w:rFonts w:hint="eastAsia"/>
                      <w:color w:val="auto"/>
                      <w:szCs w:val="21"/>
                    </w:rPr>
                    <w:t>外延</w:t>
                  </w:r>
                  <w:r>
                    <w:rPr>
                      <w:rFonts w:hint="eastAsia"/>
                      <w:color w:val="auto"/>
                      <w:szCs w:val="21"/>
                      <w:lang w:val="en-US" w:eastAsia="zh-CN"/>
                    </w:rPr>
                    <w:t>5</w:t>
                  </w:r>
                  <w:r>
                    <w:rPr>
                      <w:rFonts w:hint="eastAsia"/>
                      <w:color w:val="auto"/>
                      <w:szCs w:val="21"/>
                    </w:rPr>
                    <w:t>00m的区域内</w:t>
                  </w:r>
                </w:p>
              </w:tc>
              <w:tc>
                <w:tcPr>
                  <w:tcW w:w="1618" w:type="pct"/>
                  <w:gridSpan w:val="3"/>
                  <w:tcBorders>
                    <w:tl2br w:val="nil"/>
                    <w:tr2bl w:val="nil"/>
                  </w:tcBorders>
                  <w:noWrap w:val="0"/>
                  <w:vAlign w:val="center"/>
                </w:tcPr>
                <w:p w14:paraId="7D6A0DA7">
                  <w:pPr>
                    <w:jc w:val="center"/>
                    <w:rPr>
                      <w:rFonts w:hint="eastAsia"/>
                      <w:color w:val="auto"/>
                      <w:szCs w:val="21"/>
                    </w:rPr>
                  </w:pPr>
                  <w:r>
                    <w:rPr>
                      <w:rFonts w:hint="eastAsia"/>
                      <w:color w:val="auto"/>
                      <w:szCs w:val="21"/>
                    </w:rPr>
                    <w:t>减少水土流失、保护周边的植被、动植物等不受项目生产过程产生污染物的影响，从保护生态功能角度对工程建设方案提出建议、措施，不破坏评价范围内原有生物的多样性和完整性</w:t>
                  </w:r>
                </w:p>
              </w:tc>
            </w:tr>
            <w:tr w14:paraId="1CE0A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99" w:type="pct"/>
                  <w:vMerge w:val="continue"/>
                  <w:tcBorders>
                    <w:tl2br w:val="nil"/>
                    <w:tr2bl w:val="nil"/>
                  </w:tcBorders>
                  <w:noWrap w:val="0"/>
                  <w:vAlign w:val="center"/>
                </w:tcPr>
                <w:p w14:paraId="4A24F9D3">
                  <w:pPr>
                    <w:jc w:val="center"/>
                    <w:rPr>
                      <w:rFonts w:hint="eastAsia"/>
                      <w:color w:val="auto"/>
                      <w:szCs w:val="21"/>
                    </w:rPr>
                  </w:pPr>
                </w:p>
              </w:tc>
              <w:tc>
                <w:tcPr>
                  <w:tcW w:w="2112" w:type="pct"/>
                  <w:gridSpan w:val="4"/>
                  <w:tcBorders>
                    <w:tl2br w:val="nil"/>
                    <w:tr2bl w:val="nil"/>
                  </w:tcBorders>
                  <w:noWrap w:val="0"/>
                  <w:vAlign w:val="center"/>
                </w:tcPr>
                <w:p w14:paraId="3C5522FA">
                  <w:pPr>
                    <w:jc w:val="center"/>
                    <w:rPr>
                      <w:rFonts w:hint="default" w:ascii="Times New Roman" w:hAnsi="Times New Roman" w:eastAsia="宋体"/>
                      <w:color w:val="auto"/>
                      <w:sz w:val="21"/>
                      <w:szCs w:val="28"/>
                      <w:vertAlign w:val="baseline"/>
                      <w:lang w:val="en-US" w:eastAsia="zh-CN"/>
                    </w:rPr>
                  </w:pPr>
                  <w:r>
                    <w:rPr>
                      <w:rFonts w:hint="eastAsia"/>
                      <w:color w:val="auto"/>
                      <w:sz w:val="21"/>
                      <w:szCs w:val="28"/>
                      <w:vertAlign w:val="baseline"/>
                      <w:lang w:val="en-US" w:eastAsia="zh-CN"/>
                    </w:rPr>
                    <w:t>千河国家级水产种质资源保护区</w:t>
                  </w:r>
                </w:p>
              </w:tc>
              <w:tc>
                <w:tcPr>
                  <w:tcW w:w="434" w:type="pct"/>
                  <w:gridSpan w:val="2"/>
                  <w:tcBorders>
                    <w:tl2br w:val="nil"/>
                    <w:tr2bl w:val="nil"/>
                  </w:tcBorders>
                  <w:noWrap w:val="0"/>
                  <w:vAlign w:val="center"/>
                </w:tcPr>
                <w:p w14:paraId="03EF9454">
                  <w:pPr>
                    <w:jc w:val="center"/>
                    <w:rPr>
                      <w:rFonts w:hint="default"/>
                      <w:color w:val="auto"/>
                      <w:szCs w:val="21"/>
                      <w:lang w:val="en-US" w:eastAsia="zh-CN"/>
                    </w:rPr>
                  </w:pPr>
                  <w:r>
                    <w:rPr>
                      <w:rFonts w:hint="eastAsia"/>
                      <w:color w:val="auto"/>
                      <w:szCs w:val="21"/>
                      <w:lang w:val="en-US" w:eastAsia="zh-CN"/>
                    </w:rPr>
                    <w:t>W</w:t>
                  </w:r>
                </w:p>
              </w:tc>
              <w:tc>
                <w:tcPr>
                  <w:tcW w:w="434" w:type="pct"/>
                  <w:tcBorders>
                    <w:tl2br w:val="nil"/>
                    <w:tr2bl w:val="nil"/>
                  </w:tcBorders>
                  <w:noWrap w:val="0"/>
                  <w:vAlign w:val="center"/>
                </w:tcPr>
                <w:p w14:paraId="30AA102A">
                  <w:pPr>
                    <w:jc w:val="center"/>
                    <w:rPr>
                      <w:rFonts w:hint="default"/>
                      <w:color w:val="auto"/>
                      <w:szCs w:val="21"/>
                      <w:lang w:val="en-US" w:eastAsia="zh-CN"/>
                    </w:rPr>
                  </w:pPr>
                  <w:r>
                    <w:rPr>
                      <w:rFonts w:hint="eastAsia"/>
                      <w:color w:val="auto"/>
                      <w:szCs w:val="21"/>
                      <w:lang w:val="en-US" w:eastAsia="zh-CN"/>
                    </w:rPr>
                    <w:t>3</w:t>
                  </w:r>
                </w:p>
              </w:tc>
              <w:tc>
                <w:tcPr>
                  <w:tcW w:w="1618" w:type="pct"/>
                  <w:gridSpan w:val="3"/>
                  <w:tcBorders>
                    <w:tl2br w:val="nil"/>
                    <w:tr2bl w:val="nil"/>
                  </w:tcBorders>
                  <w:noWrap w:val="0"/>
                  <w:vAlign w:val="center"/>
                </w:tcPr>
                <w:p w14:paraId="6814C2A4">
                  <w:pPr>
                    <w:jc w:val="center"/>
                    <w:rPr>
                      <w:rFonts w:hint="eastAsia" w:eastAsia="宋体"/>
                      <w:color w:val="auto"/>
                      <w:szCs w:val="21"/>
                      <w:lang w:val="en-US" w:eastAsia="zh-CN"/>
                    </w:rPr>
                  </w:pPr>
                  <w:r>
                    <w:rPr>
                      <w:rFonts w:hint="eastAsia"/>
                      <w:color w:val="auto"/>
                      <w:szCs w:val="21"/>
                      <w:lang w:val="en-US" w:eastAsia="zh-CN"/>
                    </w:rPr>
                    <w:t>国家级</w:t>
                  </w:r>
                </w:p>
              </w:tc>
            </w:tr>
            <w:tr w14:paraId="2A695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99" w:type="pct"/>
                  <w:vMerge w:val="continue"/>
                  <w:tcBorders>
                    <w:tl2br w:val="nil"/>
                    <w:tr2bl w:val="nil"/>
                  </w:tcBorders>
                  <w:noWrap w:val="0"/>
                  <w:vAlign w:val="center"/>
                </w:tcPr>
                <w:p w14:paraId="3A094965">
                  <w:pPr>
                    <w:jc w:val="center"/>
                    <w:rPr>
                      <w:rFonts w:hint="eastAsia"/>
                      <w:color w:val="auto"/>
                      <w:szCs w:val="21"/>
                    </w:rPr>
                  </w:pPr>
                </w:p>
              </w:tc>
              <w:tc>
                <w:tcPr>
                  <w:tcW w:w="2112" w:type="pct"/>
                  <w:gridSpan w:val="4"/>
                  <w:tcBorders>
                    <w:tl2br w:val="nil"/>
                    <w:tr2bl w:val="nil"/>
                  </w:tcBorders>
                  <w:noWrap w:val="0"/>
                  <w:vAlign w:val="center"/>
                </w:tcPr>
                <w:p w14:paraId="2120B7F4">
                  <w:pPr>
                    <w:jc w:val="center"/>
                    <w:rPr>
                      <w:rFonts w:hint="default"/>
                      <w:color w:val="auto"/>
                      <w:sz w:val="21"/>
                      <w:szCs w:val="28"/>
                      <w:vertAlign w:val="baseline"/>
                      <w:lang w:val="en-US" w:eastAsia="zh-CN"/>
                    </w:rPr>
                  </w:pPr>
                  <w:r>
                    <w:rPr>
                      <w:rFonts w:hint="eastAsia"/>
                      <w:color w:val="auto"/>
                      <w:sz w:val="21"/>
                      <w:szCs w:val="28"/>
                      <w:vertAlign w:val="baseline"/>
                      <w:lang w:val="en-US" w:eastAsia="zh-CN"/>
                    </w:rPr>
                    <w:t>千河湿地</w:t>
                  </w:r>
                </w:p>
              </w:tc>
              <w:tc>
                <w:tcPr>
                  <w:tcW w:w="434" w:type="pct"/>
                  <w:gridSpan w:val="2"/>
                  <w:tcBorders>
                    <w:tl2br w:val="nil"/>
                    <w:tr2bl w:val="nil"/>
                  </w:tcBorders>
                  <w:noWrap w:val="0"/>
                  <w:vAlign w:val="center"/>
                </w:tcPr>
                <w:p w14:paraId="678EE0F5">
                  <w:pPr>
                    <w:jc w:val="center"/>
                    <w:rPr>
                      <w:rFonts w:hint="eastAsia"/>
                      <w:color w:val="auto"/>
                      <w:szCs w:val="21"/>
                      <w:lang w:val="en-US" w:eastAsia="zh-CN"/>
                    </w:rPr>
                  </w:pPr>
                  <w:r>
                    <w:rPr>
                      <w:rFonts w:hint="eastAsia"/>
                      <w:color w:val="auto"/>
                      <w:szCs w:val="21"/>
                      <w:lang w:val="en-US" w:eastAsia="zh-CN"/>
                    </w:rPr>
                    <w:t>W</w:t>
                  </w:r>
                </w:p>
              </w:tc>
              <w:tc>
                <w:tcPr>
                  <w:tcW w:w="434" w:type="pct"/>
                  <w:tcBorders>
                    <w:tl2br w:val="nil"/>
                    <w:tr2bl w:val="nil"/>
                  </w:tcBorders>
                  <w:noWrap w:val="0"/>
                  <w:vAlign w:val="center"/>
                </w:tcPr>
                <w:p w14:paraId="43956D9E">
                  <w:pPr>
                    <w:jc w:val="center"/>
                    <w:rPr>
                      <w:rFonts w:hint="default"/>
                      <w:color w:val="auto"/>
                      <w:szCs w:val="21"/>
                      <w:lang w:val="en-US" w:eastAsia="zh-CN"/>
                    </w:rPr>
                  </w:pPr>
                  <w:r>
                    <w:rPr>
                      <w:rFonts w:hint="eastAsia"/>
                      <w:color w:val="auto"/>
                      <w:szCs w:val="21"/>
                      <w:lang w:val="en-US" w:eastAsia="zh-CN"/>
                    </w:rPr>
                    <w:t>紧邻</w:t>
                  </w:r>
                </w:p>
              </w:tc>
              <w:tc>
                <w:tcPr>
                  <w:tcW w:w="1618" w:type="pct"/>
                  <w:gridSpan w:val="3"/>
                  <w:tcBorders>
                    <w:tl2br w:val="nil"/>
                    <w:tr2bl w:val="nil"/>
                  </w:tcBorders>
                  <w:noWrap w:val="0"/>
                  <w:vAlign w:val="center"/>
                </w:tcPr>
                <w:p w14:paraId="5DAB4962">
                  <w:pPr>
                    <w:jc w:val="center"/>
                    <w:rPr>
                      <w:rFonts w:hint="default"/>
                      <w:color w:val="auto"/>
                      <w:szCs w:val="21"/>
                      <w:lang w:val="en-US" w:eastAsia="zh-CN"/>
                    </w:rPr>
                  </w:pPr>
                  <w:r>
                    <w:rPr>
                      <w:rFonts w:hint="eastAsia"/>
                      <w:color w:val="auto"/>
                      <w:szCs w:val="21"/>
                      <w:lang w:val="en-US" w:eastAsia="zh-CN"/>
                    </w:rPr>
                    <w:t>省级</w:t>
                  </w:r>
                </w:p>
              </w:tc>
            </w:tr>
          </w:tbl>
          <w:p w14:paraId="598EE1EC">
            <w:pPr>
              <w:pStyle w:val="20"/>
              <w:jc w:val="both"/>
              <w:rPr>
                <w:rFonts w:hint="default" w:ascii="Times New Roman" w:hAnsi="Times New Roman" w:eastAsia="宋体" w:cs="Times New Roman"/>
                <w:b/>
                <w:bCs/>
                <w:color w:val="auto"/>
                <w:kern w:val="2"/>
                <w:sz w:val="24"/>
                <w:szCs w:val="20"/>
                <w:lang w:val="en-US" w:eastAsia="zh-CN" w:bidi="ar-SA"/>
              </w:rPr>
            </w:pPr>
          </w:p>
        </w:tc>
      </w:tr>
      <w:tr w14:paraId="47DC50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0" w:hRule="atLeast"/>
          <w:jc w:val="center"/>
        </w:trPr>
        <w:tc>
          <w:tcPr>
            <w:tcW w:w="786" w:type="dxa"/>
            <w:noWrap w:val="0"/>
            <w:vAlign w:val="center"/>
          </w:tcPr>
          <w:p w14:paraId="7E458C05">
            <w:pPr>
              <w:adjustRightInd w:val="0"/>
              <w:snapToGrid w:val="0"/>
              <w:jc w:val="center"/>
              <w:rPr>
                <w:rFonts w:hint="eastAsia" w:ascii="宋体" w:hAnsi="宋体" w:cs="宋体"/>
                <w:color w:val="auto"/>
                <w:kern w:val="0"/>
                <w:sz w:val="24"/>
                <w:lang w:val="en-US" w:eastAsia="zh-CN"/>
              </w:rPr>
            </w:pPr>
            <w:r>
              <w:rPr>
                <w:rFonts w:hint="eastAsia" w:ascii="宋体" w:hAnsi="宋体" w:cs="宋体"/>
                <w:color w:val="auto"/>
                <w:kern w:val="0"/>
                <w:sz w:val="24"/>
                <w:lang w:val="en-US" w:eastAsia="zh-CN"/>
              </w:rPr>
              <w:t>评价</w:t>
            </w:r>
          </w:p>
          <w:p w14:paraId="5FE05FE0">
            <w:pPr>
              <w:adjustRightInd w:val="0"/>
              <w:snapToGrid w:val="0"/>
              <w:jc w:val="center"/>
              <w:rPr>
                <w:rFonts w:hint="default" w:ascii="宋体" w:hAnsi="宋体" w:cs="宋体"/>
                <w:color w:val="auto"/>
                <w:kern w:val="0"/>
                <w:sz w:val="24"/>
                <w:lang w:val="en-US" w:eastAsia="zh-CN"/>
              </w:rPr>
            </w:pPr>
            <w:r>
              <w:rPr>
                <w:rFonts w:hint="eastAsia" w:ascii="宋体" w:hAnsi="宋体" w:cs="宋体"/>
                <w:color w:val="auto"/>
                <w:kern w:val="0"/>
                <w:sz w:val="24"/>
                <w:lang w:val="en-US" w:eastAsia="zh-CN"/>
              </w:rPr>
              <w:t>标准</w:t>
            </w:r>
          </w:p>
        </w:tc>
        <w:tc>
          <w:tcPr>
            <w:tcW w:w="8253" w:type="dxa"/>
            <w:noWrap w:val="0"/>
            <w:vAlign w:val="center"/>
          </w:tcPr>
          <w:p w14:paraId="6B2A3CAF">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环境质量标准</w:t>
            </w:r>
          </w:p>
          <w:p w14:paraId="18F9D3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napToGrid w:val="0"/>
                <w:color w:val="auto"/>
                <w:spacing w:val="0"/>
                <w:w w:val="100"/>
                <w:kern w:val="0"/>
                <w:position w:val="0"/>
                <w:sz w:val="24"/>
                <w:szCs w:val="24"/>
                <w:highlight w:val="none"/>
              </w:rPr>
            </w:pPr>
            <w:r>
              <w:rPr>
                <w:rFonts w:hint="eastAsia" w:ascii="Times New Roman" w:hAnsi="Times New Roman" w:cs="Times New Roman"/>
                <w:snapToGrid w:val="0"/>
                <w:color w:val="auto"/>
                <w:spacing w:val="0"/>
                <w:w w:val="100"/>
                <w:kern w:val="0"/>
                <w:position w:val="0"/>
                <w:sz w:val="24"/>
                <w:szCs w:val="24"/>
                <w:highlight w:val="none"/>
                <w:lang w:eastAsia="zh-CN"/>
              </w:rPr>
              <w:t>（</w:t>
            </w:r>
            <w:r>
              <w:rPr>
                <w:rFonts w:hint="eastAsia" w:ascii="Times New Roman" w:hAnsi="Times New Roman" w:cs="Times New Roman"/>
                <w:snapToGrid w:val="0"/>
                <w:color w:val="auto"/>
                <w:spacing w:val="0"/>
                <w:w w:val="100"/>
                <w:kern w:val="0"/>
                <w:position w:val="0"/>
                <w:sz w:val="24"/>
                <w:szCs w:val="24"/>
                <w:highlight w:val="none"/>
                <w:lang w:val="en-US" w:eastAsia="zh-CN"/>
              </w:rPr>
              <w:t>1</w:t>
            </w:r>
            <w:r>
              <w:rPr>
                <w:rFonts w:hint="eastAsia" w:ascii="Times New Roman" w:hAnsi="Times New Roman" w:cs="Times New Roman"/>
                <w:snapToGrid w:val="0"/>
                <w:color w:val="auto"/>
                <w:spacing w:val="0"/>
                <w:w w:val="100"/>
                <w:kern w:val="0"/>
                <w:position w:val="0"/>
                <w:sz w:val="24"/>
                <w:szCs w:val="24"/>
                <w:highlight w:val="none"/>
                <w:lang w:eastAsia="zh-CN"/>
              </w:rPr>
              <w:t>）</w:t>
            </w:r>
            <w:r>
              <w:rPr>
                <w:rFonts w:hint="default" w:ascii="Times New Roman" w:hAnsi="Times New Roman" w:cs="Times New Roman"/>
                <w:snapToGrid w:val="0"/>
                <w:color w:val="auto"/>
                <w:spacing w:val="0"/>
                <w:w w:val="100"/>
                <w:kern w:val="0"/>
                <w:position w:val="0"/>
                <w:sz w:val="24"/>
                <w:szCs w:val="24"/>
                <w:highlight w:val="none"/>
              </w:rPr>
              <w:t>环境空气质量标准</w:t>
            </w:r>
          </w:p>
          <w:p w14:paraId="732D8AA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snapToGrid w:val="0"/>
                <w:color w:val="auto"/>
                <w:spacing w:val="0"/>
                <w:w w:val="100"/>
                <w:kern w:val="0"/>
                <w:position w:val="0"/>
                <w:sz w:val="24"/>
                <w:szCs w:val="24"/>
                <w:highlight w:val="none"/>
              </w:rPr>
            </w:pPr>
            <w:r>
              <w:rPr>
                <w:rFonts w:hint="eastAsia" w:ascii="Times New Roman" w:hAnsi="Times New Roman" w:cs="Times New Roman"/>
                <w:color w:val="auto"/>
                <w:spacing w:val="0"/>
                <w:w w:val="100"/>
                <w:position w:val="0"/>
                <w:sz w:val="24"/>
                <w:szCs w:val="24"/>
                <w:highlight w:val="none"/>
                <w:lang w:val="en-US" w:eastAsia="zh-CN"/>
              </w:rPr>
              <w:t>评价区域环境空气质量2030年12月31日之前执行《环境空气质量标准》（GB3095-2026）中过渡阶段二级标准浓度限值，2031年1月1日起执行《环境空气质量标准》（GB3095-2026）中二级标准浓度限值</w:t>
            </w:r>
            <w:r>
              <w:rPr>
                <w:rFonts w:hint="eastAsia" w:ascii="Times New Roman" w:hAnsi="Times New Roman" w:cs="Times New Roman"/>
                <w:color w:val="auto"/>
                <w:spacing w:val="0"/>
                <w:w w:val="100"/>
                <w:position w:val="0"/>
                <w:sz w:val="24"/>
                <w:szCs w:val="24"/>
                <w:highlight w:val="none"/>
                <w:lang w:eastAsia="zh-CN"/>
              </w:rPr>
              <w:t>，</w:t>
            </w:r>
            <w:r>
              <w:rPr>
                <w:rFonts w:hint="default" w:ascii="Times New Roman" w:hAnsi="Times New Roman" w:cs="Times New Roman"/>
                <w:snapToGrid w:val="0"/>
                <w:color w:val="auto"/>
                <w:spacing w:val="0"/>
                <w:w w:val="100"/>
                <w:kern w:val="0"/>
                <w:position w:val="0"/>
                <w:sz w:val="24"/>
                <w:szCs w:val="24"/>
                <w:highlight w:val="none"/>
              </w:rPr>
              <w:t>具体</w:t>
            </w:r>
            <w:r>
              <w:rPr>
                <w:rFonts w:hint="eastAsia" w:ascii="Times New Roman" w:hAnsi="Times New Roman" w:cs="Times New Roman"/>
                <w:snapToGrid w:val="0"/>
                <w:color w:val="auto"/>
                <w:spacing w:val="0"/>
                <w:w w:val="100"/>
                <w:kern w:val="0"/>
                <w:position w:val="0"/>
                <w:sz w:val="24"/>
                <w:szCs w:val="24"/>
                <w:highlight w:val="none"/>
                <w:lang w:val="en-US" w:eastAsia="zh-CN"/>
              </w:rPr>
              <w:t>标准限值</w:t>
            </w:r>
            <w:r>
              <w:rPr>
                <w:rFonts w:hint="default" w:ascii="Times New Roman" w:hAnsi="Times New Roman" w:cs="Times New Roman"/>
                <w:snapToGrid w:val="0"/>
                <w:color w:val="auto"/>
                <w:spacing w:val="0"/>
                <w:w w:val="100"/>
                <w:kern w:val="0"/>
                <w:position w:val="0"/>
                <w:sz w:val="24"/>
                <w:szCs w:val="24"/>
                <w:highlight w:val="none"/>
              </w:rPr>
              <w:t>见表</w:t>
            </w:r>
            <w:bookmarkStart w:id="8" w:name="_Ref197944681"/>
            <w:r>
              <w:rPr>
                <w:rFonts w:hint="eastAsia" w:ascii="Times New Roman" w:hAnsi="Times New Roman" w:cs="Times New Roman"/>
                <w:snapToGrid w:val="0"/>
                <w:color w:val="auto"/>
                <w:spacing w:val="0"/>
                <w:w w:val="100"/>
                <w:kern w:val="0"/>
                <w:position w:val="0"/>
                <w:sz w:val="24"/>
                <w:szCs w:val="24"/>
                <w:highlight w:val="none"/>
                <w:lang w:val="en-US" w:eastAsia="zh-CN"/>
              </w:rPr>
              <w:t>3-</w:t>
            </w:r>
            <w:r>
              <w:rPr>
                <w:rFonts w:hint="eastAsia" w:cs="Times New Roman"/>
                <w:snapToGrid w:val="0"/>
                <w:color w:val="auto"/>
                <w:spacing w:val="0"/>
                <w:w w:val="100"/>
                <w:kern w:val="0"/>
                <w:position w:val="0"/>
                <w:sz w:val="24"/>
                <w:szCs w:val="24"/>
                <w:highlight w:val="none"/>
                <w:lang w:val="en-US" w:eastAsia="zh-CN"/>
              </w:rPr>
              <w:t>7</w:t>
            </w:r>
            <w:r>
              <w:rPr>
                <w:rFonts w:hint="default" w:ascii="Times New Roman" w:hAnsi="Times New Roman" w:cs="Times New Roman"/>
                <w:snapToGrid w:val="0"/>
                <w:color w:val="auto"/>
                <w:spacing w:val="0"/>
                <w:w w:val="100"/>
                <w:kern w:val="0"/>
                <w:position w:val="0"/>
                <w:sz w:val="24"/>
                <w:szCs w:val="24"/>
                <w:highlight w:val="none"/>
              </w:rPr>
              <w:t>。</w:t>
            </w:r>
          </w:p>
          <w:bookmarkEnd w:id="8"/>
          <w:p w14:paraId="3590CC4C">
            <w:pPr>
              <w:spacing w:line="240" w:lineRule="auto"/>
              <w:jc w:val="center"/>
              <w:rPr>
                <w:rFonts w:hint="default" w:ascii="Times New Roman" w:hAnsi="Times New Roman" w:cs="Times New Roman"/>
                <w:b/>
                <w:snapToGrid w:val="0"/>
                <w:color w:val="auto"/>
                <w:spacing w:val="0"/>
                <w:w w:val="100"/>
                <w:kern w:val="0"/>
                <w:position w:val="0"/>
                <w:sz w:val="21"/>
                <w:szCs w:val="21"/>
                <w:highlight w:val="none"/>
              </w:rPr>
            </w:pPr>
            <w:r>
              <w:rPr>
                <w:rFonts w:hint="eastAsia" w:ascii="Times New Roman" w:hAnsi="Times New Roman" w:cs="Times New Roman"/>
                <w:b/>
                <w:snapToGrid w:val="0"/>
                <w:color w:val="auto"/>
                <w:spacing w:val="0"/>
                <w:w w:val="100"/>
                <w:kern w:val="0"/>
                <w:position w:val="0"/>
                <w:sz w:val="21"/>
                <w:szCs w:val="21"/>
                <w:highlight w:val="none"/>
                <w:lang w:val="en-US" w:eastAsia="zh-CN"/>
              </w:rPr>
              <w:t>表3-</w:t>
            </w:r>
            <w:r>
              <w:rPr>
                <w:rFonts w:hint="eastAsia" w:cs="Times New Roman"/>
                <w:b/>
                <w:snapToGrid w:val="0"/>
                <w:color w:val="auto"/>
                <w:spacing w:val="0"/>
                <w:w w:val="100"/>
                <w:kern w:val="0"/>
                <w:position w:val="0"/>
                <w:sz w:val="21"/>
                <w:szCs w:val="21"/>
                <w:highlight w:val="none"/>
                <w:lang w:val="en-US" w:eastAsia="zh-CN"/>
              </w:rPr>
              <w:t>7</w:t>
            </w:r>
            <w:r>
              <w:rPr>
                <w:rFonts w:hint="default" w:ascii="Times New Roman" w:hAnsi="Times New Roman" w:cs="Times New Roman"/>
                <w:b/>
                <w:snapToGrid w:val="0"/>
                <w:color w:val="auto"/>
                <w:spacing w:val="0"/>
                <w:w w:val="100"/>
                <w:kern w:val="0"/>
                <w:position w:val="0"/>
                <w:sz w:val="21"/>
                <w:szCs w:val="21"/>
                <w:highlight w:val="none"/>
              </w:rPr>
              <w:t xml:space="preserve">  环境空气质量标准</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863"/>
              <w:gridCol w:w="1931"/>
              <w:gridCol w:w="1162"/>
              <w:gridCol w:w="1069"/>
              <w:gridCol w:w="863"/>
              <w:gridCol w:w="1562"/>
            </w:tblGrid>
            <w:tr w14:paraId="28CCB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77" w:type="dxa"/>
                  <w:noWrap w:val="0"/>
                  <w:vAlign w:val="center"/>
                </w:tcPr>
                <w:p w14:paraId="5FBC1570">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val="0"/>
                      <w:snapToGrid w:val="0"/>
                      <w:color w:val="auto"/>
                      <w:spacing w:val="0"/>
                      <w:w w:val="100"/>
                      <w:kern w:val="0"/>
                      <w:position w:val="0"/>
                      <w:sz w:val="21"/>
                      <w:szCs w:val="21"/>
                      <w:highlight w:val="none"/>
                    </w:rPr>
                  </w:pPr>
                  <w:r>
                    <w:rPr>
                      <w:rFonts w:hint="default" w:ascii="Times New Roman" w:hAnsi="Times New Roman" w:cs="Times New Roman"/>
                      <w:b/>
                      <w:bCs w:val="0"/>
                      <w:snapToGrid w:val="0"/>
                      <w:color w:val="auto"/>
                      <w:spacing w:val="0"/>
                      <w:w w:val="100"/>
                      <w:kern w:val="0"/>
                      <w:position w:val="0"/>
                      <w:sz w:val="21"/>
                      <w:szCs w:val="21"/>
                      <w:highlight w:val="none"/>
                    </w:rPr>
                    <w:t>序号</w:t>
                  </w:r>
                </w:p>
              </w:tc>
              <w:tc>
                <w:tcPr>
                  <w:tcW w:w="863" w:type="dxa"/>
                  <w:noWrap w:val="0"/>
                  <w:vAlign w:val="center"/>
                </w:tcPr>
                <w:p w14:paraId="42ADAB68">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val="0"/>
                      <w:snapToGrid w:val="0"/>
                      <w:color w:val="auto"/>
                      <w:spacing w:val="0"/>
                      <w:w w:val="100"/>
                      <w:kern w:val="0"/>
                      <w:position w:val="0"/>
                      <w:sz w:val="21"/>
                      <w:szCs w:val="21"/>
                      <w:highlight w:val="none"/>
                    </w:rPr>
                  </w:pPr>
                  <w:r>
                    <w:rPr>
                      <w:rFonts w:hint="default" w:ascii="Times New Roman" w:hAnsi="Times New Roman" w:cs="Times New Roman"/>
                      <w:b/>
                      <w:bCs w:val="0"/>
                      <w:snapToGrid w:val="0"/>
                      <w:color w:val="auto"/>
                      <w:spacing w:val="0"/>
                      <w:w w:val="100"/>
                      <w:kern w:val="0"/>
                      <w:position w:val="0"/>
                      <w:sz w:val="21"/>
                      <w:szCs w:val="21"/>
                      <w:highlight w:val="none"/>
                    </w:rPr>
                    <w:t>污染物项目</w:t>
                  </w:r>
                </w:p>
              </w:tc>
              <w:tc>
                <w:tcPr>
                  <w:tcW w:w="1931" w:type="dxa"/>
                  <w:noWrap w:val="0"/>
                  <w:vAlign w:val="center"/>
                </w:tcPr>
                <w:p w14:paraId="5651E7BC">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val="0"/>
                      <w:snapToGrid w:val="0"/>
                      <w:color w:val="auto"/>
                      <w:spacing w:val="0"/>
                      <w:w w:val="100"/>
                      <w:kern w:val="0"/>
                      <w:position w:val="0"/>
                      <w:sz w:val="21"/>
                      <w:szCs w:val="21"/>
                      <w:highlight w:val="none"/>
                    </w:rPr>
                  </w:pPr>
                  <w:r>
                    <w:rPr>
                      <w:rFonts w:hint="eastAsia" w:ascii="Times New Roman" w:hAnsi="Times New Roman" w:cs="Times New Roman"/>
                      <w:b/>
                      <w:bCs w:val="0"/>
                      <w:snapToGrid w:val="0"/>
                      <w:color w:val="auto"/>
                      <w:spacing w:val="0"/>
                      <w:w w:val="100"/>
                      <w:kern w:val="0"/>
                      <w:position w:val="0"/>
                      <w:sz w:val="21"/>
                      <w:szCs w:val="21"/>
                      <w:highlight w:val="none"/>
                      <w:lang w:val="en-US" w:eastAsia="zh-CN"/>
                    </w:rPr>
                    <w:t>平均</w:t>
                  </w:r>
                  <w:r>
                    <w:rPr>
                      <w:rFonts w:hint="default" w:ascii="Times New Roman" w:hAnsi="Times New Roman" w:cs="Times New Roman"/>
                      <w:b/>
                      <w:bCs w:val="0"/>
                      <w:snapToGrid w:val="0"/>
                      <w:color w:val="auto"/>
                      <w:spacing w:val="0"/>
                      <w:w w:val="100"/>
                      <w:kern w:val="0"/>
                      <w:position w:val="0"/>
                      <w:sz w:val="21"/>
                      <w:szCs w:val="21"/>
                      <w:highlight w:val="none"/>
                    </w:rPr>
                    <w:t>时间</w:t>
                  </w:r>
                </w:p>
              </w:tc>
              <w:tc>
                <w:tcPr>
                  <w:tcW w:w="1162" w:type="dxa"/>
                  <w:noWrap w:val="0"/>
                  <w:vAlign w:val="center"/>
                </w:tcPr>
                <w:p w14:paraId="5DFF8820">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snapToGrid w:val="0"/>
                      <w:color w:val="auto"/>
                      <w:spacing w:val="0"/>
                      <w:w w:val="100"/>
                      <w:kern w:val="0"/>
                      <w:position w:val="0"/>
                      <w:sz w:val="21"/>
                      <w:szCs w:val="21"/>
                      <w:highlight w:val="none"/>
                      <w:lang w:val="en-US" w:eastAsia="zh-CN"/>
                    </w:rPr>
                  </w:pPr>
                  <w:r>
                    <w:rPr>
                      <w:rFonts w:hint="eastAsia" w:ascii="Times New Roman" w:hAnsi="Times New Roman" w:cs="Times New Roman"/>
                      <w:b/>
                      <w:bCs w:val="0"/>
                      <w:snapToGrid w:val="0"/>
                      <w:color w:val="auto"/>
                      <w:spacing w:val="0"/>
                      <w:w w:val="100"/>
                      <w:kern w:val="0"/>
                      <w:position w:val="0"/>
                      <w:sz w:val="21"/>
                      <w:szCs w:val="21"/>
                      <w:highlight w:val="none"/>
                      <w:lang w:val="en-US" w:eastAsia="zh-CN"/>
                    </w:rPr>
                    <w:t>过渡阶段</w:t>
                  </w:r>
                  <w:r>
                    <w:rPr>
                      <w:rFonts w:hint="default" w:ascii="Times New Roman" w:hAnsi="Times New Roman" w:cs="Times New Roman"/>
                      <w:b/>
                      <w:bCs w:val="0"/>
                      <w:snapToGrid w:val="0"/>
                      <w:color w:val="auto"/>
                      <w:spacing w:val="0"/>
                      <w:w w:val="100"/>
                      <w:kern w:val="0"/>
                      <w:position w:val="0"/>
                      <w:sz w:val="21"/>
                      <w:szCs w:val="21"/>
                      <w:highlight w:val="none"/>
                    </w:rPr>
                    <w:t>二级</w:t>
                  </w:r>
                  <w:r>
                    <w:rPr>
                      <w:rFonts w:hint="eastAsia" w:ascii="Times New Roman" w:hAnsi="Times New Roman" w:cs="Times New Roman"/>
                      <w:b/>
                      <w:bCs w:val="0"/>
                      <w:snapToGrid w:val="0"/>
                      <w:color w:val="auto"/>
                      <w:spacing w:val="0"/>
                      <w:w w:val="100"/>
                      <w:kern w:val="0"/>
                      <w:position w:val="0"/>
                      <w:sz w:val="21"/>
                      <w:szCs w:val="21"/>
                      <w:highlight w:val="none"/>
                      <w:lang w:val="en-US" w:eastAsia="zh-CN"/>
                    </w:rPr>
                    <w:t>浓度限值</w:t>
                  </w:r>
                </w:p>
              </w:tc>
              <w:tc>
                <w:tcPr>
                  <w:tcW w:w="1069" w:type="dxa"/>
                  <w:noWrap w:val="0"/>
                  <w:vAlign w:val="center"/>
                </w:tcPr>
                <w:p w14:paraId="3A535A3B">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snapToGrid w:val="0"/>
                      <w:color w:val="auto"/>
                      <w:spacing w:val="0"/>
                      <w:w w:val="100"/>
                      <w:kern w:val="0"/>
                      <w:position w:val="0"/>
                      <w:sz w:val="21"/>
                      <w:szCs w:val="21"/>
                      <w:highlight w:val="none"/>
                      <w:lang w:val="en-US" w:eastAsia="zh-CN"/>
                    </w:rPr>
                  </w:pPr>
                  <w:r>
                    <w:rPr>
                      <w:rFonts w:hint="default" w:ascii="Times New Roman" w:hAnsi="Times New Roman" w:cs="Times New Roman"/>
                      <w:b/>
                      <w:bCs w:val="0"/>
                      <w:snapToGrid w:val="0"/>
                      <w:color w:val="auto"/>
                      <w:spacing w:val="0"/>
                      <w:w w:val="100"/>
                      <w:kern w:val="0"/>
                      <w:position w:val="0"/>
                      <w:sz w:val="21"/>
                      <w:szCs w:val="21"/>
                      <w:highlight w:val="none"/>
                    </w:rPr>
                    <w:t>二级</w:t>
                  </w:r>
                  <w:r>
                    <w:rPr>
                      <w:rFonts w:hint="eastAsia" w:ascii="Times New Roman" w:hAnsi="Times New Roman" w:cs="Times New Roman"/>
                      <w:b/>
                      <w:bCs w:val="0"/>
                      <w:snapToGrid w:val="0"/>
                      <w:color w:val="auto"/>
                      <w:spacing w:val="0"/>
                      <w:w w:val="100"/>
                      <w:kern w:val="0"/>
                      <w:position w:val="0"/>
                      <w:sz w:val="21"/>
                      <w:szCs w:val="21"/>
                      <w:highlight w:val="none"/>
                      <w:lang w:val="en-US" w:eastAsia="zh-CN"/>
                    </w:rPr>
                    <w:t>浓度限值</w:t>
                  </w:r>
                </w:p>
              </w:tc>
              <w:tc>
                <w:tcPr>
                  <w:tcW w:w="863" w:type="dxa"/>
                  <w:noWrap w:val="0"/>
                  <w:vAlign w:val="center"/>
                </w:tcPr>
                <w:p w14:paraId="03CF9BB6">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val="0"/>
                      <w:snapToGrid w:val="0"/>
                      <w:color w:val="auto"/>
                      <w:spacing w:val="0"/>
                      <w:w w:val="100"/>
                      <w:kern w:val="0"/>
                      <w:position w:val="0"/>
                      <w:sz w:val="21"/>
                      <w:szCs w:val="21"/>
                      <w:highlight w:val="none"/>
                    </w:rPr>
                  </w:pPr>
                  <w:r>
                    <w:rPr>
                      <w:rFonts w:hint="default" w:ascii="Times New Roman" w:hAnsi="Times New Roman" w:cs="Times New Roman"/>
                      <w:b/>
                      <w:bCs w:val="0"/>
                      <w:snapToGrid w:val="0"/>
                      <w:color w:val="auto"/>
                      <w:spacing w:val="0"/>
                      <w:w w:val="100"/>
                      <w:kern w:val="0"/>
                      <w:position w:val="0"/>
                      <w:sz w:val="21"/>
                      <w:szCs w:val="21"/>
                      <w:highlight w:val="none"/>
                    </w:rPr>
                    <w:t>单位</w:t>
                  </w:r>
                </w:p>
              </w:tc>
              <w:tc>
                <w:tcPr>
                  <w:tcW w:w="1562" w:type="dxa"/>
                  <w:noWrap w:val="0"/>
                  <w:vAlign w:val="center"/>
                </w:tcPr>
                <w:p w14:paraId="2FB39145">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val="0"/>
                      <w:snapToGrid w:val="0"/>
                      <w:color w:val="auto"/>
                      <w:spacing w:val="0"/>
                      <w:w w:val="100"/>
                      <w:kern w:val="0"/>
                      <w:position w:val="0"/>
                      <w:sz w:val="21"/>
                      <w:szCs w:val="21"/>
                      <w:highlight w:val="none"/>
                    </w:rPr>
                  </w:pPr>
                  <w:r>
                    <w:rPr>
                      <w:rFonts w:hint="default" w:ascii="Times New Roman" w:hAnsi="Times New Roman" w:cs="Times New Roman"/>
                      <w:b/>
                      <w:bCs w:val="0"/>
                      <w:snapToGrid w:val="0"/>
                      <w:color w:val="auto"/>
                      <w:spacing w:val="0"/>
                      <w:w w:val="100"/>
                      <w:kern w:val="0"/>
                      <w:position w:val="0"/>
                      <w:sz w:val="21"/>
                      <w:szCs w:val="21"/>
                      <w:highlight w:val="none"/>
                    </w:rPr>
                    <w:t>标准来源</w:t>
                  </w:r>
                </w:p>
              </w:tc>
            </w:tr>
            <w:tr w14:paraId="12DC6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77" w:type="dxa"/>
                  <w:vMerge w:val="restart"/>
                  <w:noWrap w:val="0"/>
                  <w:vAlign w:val="center"/>
                </w:tcPr>
                <w:p w14:paraId="35B6AEA1">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r>
                    <w:rPr>
                      <w:rFonts w:hint="default" w:ascii="Times New Roman" w:hAnsi="Times New Roman" w:cs="Times New Roman"/>
                      <w:bCs/>
                      <w:snapToGrid w:val="0"/>
                      <w:color w:val="auto"/>
                      <w:spacing w:val="0"/>
                      <w:w w:val="100"/>
                      <w:kern w:val="0"/>
                      <w:position w:val="0"/>
                      <w:sz w:val="21"/>
                      <w:szCs w:val="21"/>
                      <w:highlight w:val="none"/>
                    </w:rPr>
                    <w:t>1</w:t>
                  </w:r>
                </w:p>
              </w:tc>
              <w:tc>
                <w:tcPr>
                  <w:tcW w:w="863" w:type="dxa"/>
                  <w:vMerge w:val="restart"/>
                  <w:noWrap w:val="0"/>
                  <w:vAlign w:val="center"/>
                </w:tcPr>
                <w:p w14:paraId="62789E22">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r>
                    <w:rPr>
                      <w:rFonts w:hint="default" w:ascii="Times New Roman" w:hAnsi="Times New Roman" w:cs="Times New Roman"/>
                      <w:bCs/>
                      <w:snapToGrid w:val="0"/>
                      <w:color w:val="auto"/>
                      <w:spacing w:val="0"/>
                      <w:w w:val="100"/>
                      <w:kern w:val="0"/>
                      <w:position w:val="0"/>
                      <w:sz w:val="21"/>
                      <w:szCs w:val="21"/>
                      <w:highlight w:val="none"/>
                    </w:rPr>
                    <w:t>SO</w:t>
                  </w:r>
                  <w:r>
                    <w:rPr>
                      <w:rFonts w:hint="default" w:ascii="Times New Roman" w:hAnsi="Times New Roman" w:cs="Times New Roman"/>
                      <w:bCs/>
                      <w:snapToGrid w:val="0"/>
                      <w:color w:val="auto"/>
                      <w:spacing w:val="0"/>
                      <w:w w:val="100"/>
                      <w:kern w:val="0"/>
                      <w:position w:val="0"/>
                      <w:sz w:val="21"/>
                      <w:szCs w:val="21"/>
                      <w:highlight w:val="none"/>
                      <w:vertAlign w:val="subscript"/>
                    </w:rPr>
                    <w:t>2</w:t>
                  </w:r>
                </w:p>
              </w:tc>
              <w:tc>
                <w:tcPr>
                  <w:tcW w:w="1931" w:type="dxa"/>
                  <w:noWrap w:val="0"/>
                  <w:vAlign w:val="center"/>
                </w:tcPr>
                <w:p w14:paraId="77AD3138">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r>
                    <w:rPr>
                      <w:rFonts w:hint="default" w:ascii="Times New Roman" w:hAnsi="Times New Roman" w:cs="Times New Roman"/>
                      <w:bCs/>
                      <w:snapToGrid w:val="0"/>
                      <w:color w:val="auto"/>
                      <w:spacing w:val="0"/>
                      <w:w w:val="100"/>
                      <w:kern w:val="0"/>
                      <w:position w:val="0"/>
                      <w:sz w:val="21"/>
                      <w:szCs w:val="21"/>
                      <w:highlight w:val="none"/>
                    </w:rPr>
                    <w:t>年平均</w:t>
                  </w:r>
                </w:p>
              </w:tc>
              <w:tc>
                <w:tcPr>
                  <w:tcW w:w="1162" w:type="dxa"/>
                  <w:noWrap w:val="0"/>
                  <w:vAlign w:val="center"/>
                </w:tcPr>
                <w:p w14:paraId="0380950F">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r>
                    <w:rPr>
                      <w:rFonts w:hint="default" w:ascii="Times New Roman" w:hAnsi="Times New Roman" w:cs="Times New Roman"/>
                      <w:bCs/>
                      <w:snapToGrid w:val="0"/>
                      <w:color w:val="auto"/>
                      <w:spacing w:val="0"/>
                      <w:w w:val="100"/>
                      <w:kern w:val="0"/>
                      <w:position w:val="0"/>
                      <w:sz w:val="21"/>
                      <w:szCs w:val="21"/>
                      <w:highlight w:val="none"/>
                    </w:rPr>
                    <w:t>60</w:t>
                  </w:r>
                </w:p>
              </w:tc>
              <w:tc>
                <w:tcPr>
                  <w:tcW w:w="1069" w:type="dxa"/>
                  <w:shd w:val="clear" w:color="auto" w:fill="auto"/>
                  <w:noWrap w:val="0"/>
                  <w:vAlign w:val="center"/>
                </w:tcPr>
                <w:p w14:paraId="69805EA7">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napToGrid w:val="0"/>
                      <w:color w:val="auto"/>
                      <w:spacing w:val="0"/>
                      <w:w w:val="100"/>
                      <w:kern w:val="0"/>
                      <w:position w:val="0"/>
                      <w:sz w:val="21"/>
                      <w:szCs w:val="21"/>
                      <w:highlight w:val="none"/>
                      <w:lang w:val="en-US" w:eastAsia="zh-CN" w:bidi="ar-SA"/>
                    </w:rPr>
                  </w:pPr>
                  <w:r>
                    <w:rPr>
                      <w:rFonts w:hint="eastAsia" w:ascii="Times New Roman" w:hAnsi="Times New Roman" w:cs="Times New Roman"/>
                      <w:bCs/>
                      <w:snapToGrid w:val="0"/>
                      <w:color w:val="auto"/>
                      <w:spacing w:val="0"/>
                      <w:w w:val="100"/>
                      <w:kern w:val="0"/>
                      <w:position w:val="0"/>
                      <w:sz w:val="21"/>
                      <w:szCs w:val="21"/>
                      <w:highlight w:val="none"/>
                      <w:lang w:val="en-US" w:eastAsia="zh-CN"/>
                    </w:rPr>
                    <w:t>2</w:t>
                  </w:r>
                  <w:r>
                    <w:rPr>
                      <w:rFonts w:hint="default" w:ascii="Times New Roman" w:hAnsi="Times New Roman" w:cs="Times New Roman"/>
                      <w:bCs/>
                      <w:snapToGrid w:val="0"/>
                      <w:color w:val="auto"/>
                      <w:spacing w:val="0"/>
                      <w:w w:val="100"/>
                      <w:kern w:val="0"/>
                      <w:position w:val="0"/>
                      <w:sz w:val="21"/>
                      <w:szCs w:val="21"/>
                      <w:highlight w:val="none"/>
                    </w:rPr>
                    <w:t>0</w:t>
                  </w:r>
                </w:p>
              </w:tc>
              <w:tc>
                <w:tcPr>
                  <w:tcW w:w="863" w:type="dxa"/>
                  <w:vMerge w:val="restart"/>
                  <w:noWrap w:val="0"/>
                  <w:vAlign w:val="center"/>
                </w:tcPr>
                <w:p w14:paraId="38765CAF">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r>
                    <w:rPr>
                      <w:rFonts w:hint="default" w:ascii="Times New Roman" w:hAnsi="Times New Roman" w:cs="Times New Roman"/>
                      <w:bCs/>
                      <w:snapToGrid w:val="0"/>
                      <w:color w:val="auto"/>
                      <w:spacing w:val="0"/>
                      <w:w w:val="100"/>
                      <w:kern w:val="0"/>
                      <w:position w:val="0"/>
                      <w:sz w:val="21"/>
                      <w:szCs w:val="21"/>
                      <w:highlight w:val="none"/>
                    </w:rPr>
                    <w:t>μg/m</w:t>
                  </w:r>
                  <w:r>
                    <w:rPr>
                      <w:rFonts w:hint="default" w:ascii="Times New Roman" w:hAnsi="Times New Roman" w:cs="Times New Roman"/>
                      <w:bCs/>
                      <w:snapToGrid w:val="0"/>
                      <w:color w:val="auto"/>
                      <w:spacing w:val="0"/>
                      <w:w w:val="100"/>
                      <w:kern w:val="0"/>
                      <w:position w:val="0"/>
                      <w:sz w:val="21"/>
                      <w:szCs w:val="21"/>
                      <w:highlight w:val="none"/>
                      <w:vertAlign w:val="superscript"/>
                    </w:rPr>
                    <w:t>3</w:t>
                  </w:r>
                </w:p>
              </w:tc>
              <w:tc>
                <w:tcPr>
                  <w:tcW w:w="1562" w:type="dxa"/>
                  <w:vMerge w:val="restart"/>
                  <w:noWrap w:val="0"/>
                  <w:vAlign w:val="center"/>
                </w:tcPr>
                <w:p w14:paraId="0305B205">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r>
                    <w:rPr>
                      <w:rFonts w:hint="default" w:ascii="Times New Roman" w:hAnsi="Times New Roman" w:cs="Times New Roman"/>
                      <w:bCs/>
                      <w:snapToGrid w:val="0"/>
                      <w:color w:val="auto"/>
                      <w:spacing w:val="0"/>
                      <w:w w:val="100"/>
                      <w:kern w:val="0"/>
                      <w:position w:val="0"/>
                      <w:sz w:val="21"/>
                      <w:szCs w:val="21"/>
                      <w:highlight w:val="none"/>
                    </w:rPr>
                    <w:t>《环境空气质量标准》</w:t>
                  </w:r>
                </w:p>
                <w:p w14:paraId="591A6AD8">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r>
                    <w:rPr>
                      <w:rFonts w:hint="eastAsia" w:cs="Times New Roman"/>
                      <w:bCs/>
                      <w:snapToGrid w:val="0"/>
                      <w:color w:val="auto"/>
                      <w:spacing w:val="0"/>
                      <w:w w:val="100"/>
                      <w:kern w:val="0"/>
                      <w:position w:val="0"/>
                      <w:sz w:val="21"/>
                      <w:szCs w:val="21"/>
                      <w:highlight w:val="none"/>
                      <w:lang w:eastAsia="zh-CN"/>
                    </w:rPr>
                    <w:t>(</w:t>
                  </w:r>
                  <w:r>
                    <w:rPr>
                      <w:rFonts w:hint="default" w:ascii="Times New Roman" w:hAnsi="Times New Roman" w:cs="Times New Roman"/>
                      <w:bCs/>
                      <w:snapToGrid w:val="0"/>
                      <w:color w:val="auto"/>
                      <w:spacing w:val="0"/>
                      <w:w w:val="100"/>
                      <w:kern w:val="0"/>
                      <w:position w:val="0"/>
                      <w:sz w:val="21"/>
                      <w:szCs w:val="21"/>
                      <w:highlight w:val="none"/>
                    </w:rPr>
                    <w:t>GB3095-20</w:t>
                  </w:r>
                  <w:r>
                    <w:rPr>
                      <w:rFonts w:hint="eastAsia" w:cs="Times New Roman"/>
                      <w:bCs/>
                      <w:snapToGrid w:val="0"/>
                      <w:color w:val="auto"/>
                      <w:spacing w:val="0"/>
                      <w:w w:val="100"/>
                      <w:kern w:val="0"/>
                      <w:position w:val="0"/>
                      <w:sz w:val="21"/>
                      <w:szCs w:val="21"/>
                      <w:highlight w:val="none"/>
                      <w:lang w:val="en-US" w:eastAsia="zh-CN"/>
                    </w:rPr>
                    <w:t>26)</w:t>
                  </w:r>
                </w:p>
                <w:p w14:paraId="3FD47A18">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r>
                    <w:rPr>
                      <w:rFonts w:hint="default" w:ascii="Times New Roman" w:hAnsi="Times New Roman" w:cs="Times New Roman"/>
                      <w:color w:val="auto"/>
                      <w:spacing w:val="0"/>
                      <w:w w:val="100"/>
                      <w:position w:val="0"/>
                      <w:sz w:val="21"/>
                      <w:szCs w:val="21"/>
                      <w:highlight w:val="none"/>
                    </w:rPr>
                    <w:t>二级</w:t>
                  </w:r>
                  <w:r>
                    <w:rPr>
                      <w:rFonts w:hint="default" w:ascii="Times New Roman" w:hAnsi="Times New Roman" w:cs="Times New Roman"/>
                      <w:bCs/>
                      <w:snapToGrid w:val="0"/>
                      <w:color w:val="auto"/>
                      <w:spacing w:val="0"/>
                      <w:w w:val="100"/>
                      <w:kern w:val="0"/>
                      <w:position w:val="0"/>
                      <w:sz w:val="21"/>
                      <w:szCs w:val="21"/>
                      <w:highlight w:val="none"/>
                    </w:rPr>
                    <w:t>标准</w:t>
                  </w:r>
                </w:p>
              </w:tc>
            </w:tr>
            <w:tr w14:paraId="4E0FF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77" w:type="dxa"/>
                  <w:vMerge w:val="continue"/>
                  <w:noWrap w:val="0"/>
                  <w:vAlign w:val="center"/>
                </w:tcPr>
                <w:p w14:paraId="62CC85C1">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p>
              </w:tc>
              <w:tc>
                <w:tcPr>
                  <w:tcW w:w="863" w:type="dxa"/>
                  <w:vMerge w:val="continue"/>
                  <w:noWrap w:val="0"/>
                  <w:vAlign w:val="center"/>
                </w:tcPr>
                <w:p w14:paraId="404CE505">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p>
              </w:tc>
              <w:tc>
                <w:tcPr>
                  <w:tcW w:w="1931" w:type="dxa"/>
                  <w:noWrap w:val="0"/>
                  <w:vAlign w:val="center"/>
                </w:tcPr>
                <w:p w14:paraId="1251F931">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r>
                    <w:rPr>
                      <w:rFonts w:hint="default" w:ascii="Times New Roman" w:hAnsi="Times New Roman" w:cs="Times New Roman"/>
                      <w:bCs/>
                      <w:snapToGrid w:val="0"/>
                      <w:color w:val="auto"/>
                      <w:spacing w:val="0"/>
                      <w:w w:val="100"/>
                      <w:kern w:val="0"/>
                      <w:position w:val="0"/>
                      <w:sz w:val="21"/>
                      <w:szCs w:val="21"/>
                      <w:highlight w:val="none"/>
                    </w:rPr>
                    <w:t>24小时平均</w:t>
                  </w:r>
                </w:p>
              </w:tc>
              <w:tc>
                <w:tcPr>
                  <w:tcW w:w="1162" w:type="dxa"/>
                  <w:noWrap w:val="0"/>
                  <w:vAlign w:val="center"/>
                </w:tcPr>
                <w:p w14:paraId="69DC3E31">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r>
                    <w:rPr>
                      <w:rFonts w:hint="default" w:ascii="Times New Roman" w:hAnsi="Times New Roman" w:cs="Times New Roman"/>
                      <w:bCs/>
                      <w:snapToGrid w:val="0"/>
                      <w:color w:val="auto"/>
                      <w:spacing w:val="0"/>
                      <w:w w:val="100"/>
                      <w:kern w:val="0"/>
                      <w:position w:val="0"/>
                      <w:sz w:val="21"/>
                      <w:szCs w:val="21"/>
                      <w:highlight w:val="none"/>
                    </w:rPr>
                    <w:t>150</w:t>
                  </w:r>
                </w:p>
              </w:tc>
              <w:tc>
                <w:tcPr>
                  <w:tcW w:w="1069" w:type="dxa"/>
                  <w:shd w:val="clear" w:color="auto" w:fill="auto"/>
                  <w:noWrap w:val="0"/>
                  <w:vAlign w:val="center"/>
                </w:tcPr>
                <w:p w14:paraId="757ED629">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napToGrid w:val="0"/>
                      <w:color w:val="auto"/>
                      <w:spacing w:val="0"/>
                      <w:w w:val="100"/>
                      <w:kern w:val="0"/>
                      <w:position w:val="0"/>
                      <w:sz w:val="21"/>
                      <w:szCs w:val="21"/>
                      <w:highlight w:val="none"/>
                      <w:lang w:val="en-US" w:eastAsia="zh-CN" w:bidi="ar-SA"/>
                    </w:rPr>
                  </w:pPr>
                  <w:r>
                    <w:rPr>
                      <w:rFonts w:hint="default" w:ascii="Times New Roman" w:hAnsi="Times New Roman" w:cs="Times New Roman"/>
                      <w:bCs/>
                      <w:snapToGrid w:val="0"/>
                      <w:color w:val="auto"/>
                      <w:spacing w:val="0"/>
                      <w:w w:val="100"/>
                      <w:kern w:val="0"/>
                      <w:position w:val="0"/>
                      <w:sz w:val="21"/>
                      <w:szCs w:val="21"/>
                      <w:highlight w:val="none"/>
                    </w:rPr>
                    <w:t>50</w:t>
                  </w:r>
                </w:p>
              </w:tc>
              <w:tc>
                <w:tcPr>
                  <w:tcW w:w="863" w:type="dxa"/>
                  <w:vMerge w:val="continue"/>
                  <w:noWrap w:val="0"/>
                  <w:vAlign w:val="center"/>
                </w:tcPr>
                <w:p w14:paraId="657DD9AC">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p>
              </w:tc>
              <w:tc>
                <w:tcPr>
                  <w:tcW w:w="1562" w:type="dxa"/>
                  <w:vMerge w:val="continue"/>
                  <w:noWrap w:val="0"/>
                  <w:vAlign w:val="center"/>
                </w:tcPr>
                <w:p w14:paraId="365DCD49">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p>
              </w:tc>
            </w:tr>
            <w:tr w14:paraId="56ADF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77" w:type="dxa"/>
                  <w:vMerge w:val="continue"/>
                  <w:noWrap w:val="0"/>
                  <w:vAlign w:val="center"/>
                </w:tcPr>
                <w:p w14:paraId="21B46BCD">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p>
              </w:tc>
              <w:tc>
                <w:tcPr>
                  <w:tcW w:w="863" w:type="dxa"/>
                  <w:vMerge w:val="continue"/>
                  <w:noWrap w:val="0"/>
                  <w:vAlign w:val="center"/>
                </w:tcPr>
                <w:p w14:paraId="6CE8420A">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p>
              </w:tc>
              <w:tc>
                <w:tcPr>
                  <w:tcW w:w="1931" w:type="dxa"/>
                  <w:noWrap w:val="0"/>
                  <w:vAlign w:val="center"/>
                </w:tcPr>
                <w:p w14:paraId="7766E4C1">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r>
                    <w:rPr>
                      <w:rFonts w:hint="default" w:ascii="Times New Roman" w:hAnsi="Times New Roman" w:cs="Times New Roman"/>
                      <w:bCs/>
                      <w:snapToGrid w:val="0"/>
                      <w:color w:val="auto"/>
                      <w:spacing w:val="0"/>
                      <w:w w:val="100"/>
                      <w:kern w:val="0"/>
                      <w:position w:val="0"/>
                      <w:sz w:val="21"/>
                      <w:szCs w:val="21"/>
                      <w:highlight w:val="none"/>
                    </w:rPr>
                    <w:t>1小时平均</w:t>
                  </w:r>
                </w:p>
              </w:tc>
              <w:tc>
                <w:tcPr>
                  <w:tcW w:w="1162" w:type="dxa"/>
                  <w:noWrap w:val="0"/>
                  <w:vAlign w:val="center"/>
                </w:tcPr>
                <w:p w14:paraId="3DC9B9A9">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r>
                    <w:rPr>
                      <w:rFonts w:hint="default" w:ascii="Times New Roman" w:hAnsi="Times New Roman" w:cs="Times New Roman"/>
                      <w:bCs/>
                      <w:snapToGrid w:val="0"/>
                      <w:color w:val="auto"/>
                      <w:spacing w:val="0"/>
                      <w:w w:val="100"/>
                      <w:kern w:val="0"/>
                      <w:position w:val="0"/>
                      <w:sz w:val="21"/>
                      <w:szCs w:val="21"/>
                      <w:highlight w:val="none"/>
                    </w:rPr>
                    <w:t>500</w:t>
                  </w:r>
                </w:p>
              </w:tc>
              <w:tc>
                <w:tcPr>
                  <w:tcW w:w="1069" w:type="dxa"/>
                  <w:shd w:val="clear" w:color="auto" w:fill="auto"/>
                  <w:noWrap w:val="0"/>
                  <w:vAlign w:val="center"/>
                </w:tcPr>
                <w:p w14:paraId="3554535A">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napToGrid w:val="0"/>
                      <w:color w:val="auto"/>
                      <w:spacing w:val="0"/>
                      <w:w w:val="100"/>
                      <w:kern w:val="0"/>
                      <w:position w:val="0"/>
                      <w:sz w:val="21"/>
                      <w:szCs w:val="21"/>
                      <w:highlight w:val="none"/>
                      <w:lang w:val="en-US" w:eastAsia="zh-CN" w:bidi="ar-SA"/>
                    </w:rPr>
                  </w:pPr>
                  <w:r>
                    <w:rPr>
                      <w:rFonts w:hint="eastAsia" w:ascii="Times New Roman" w:hAnsi="Times New Roman" w:cs="Times New Roman"/>
                      <w:bCs/>
                      <w:snapToGrid w:val="0"/>
                      <w:color w:val="auto"/>
                      <w:spacing w:val="0"/>
                      <w:w w:val="100"/>
                      <w:kern w:val="0"/>
                      <w:position w:val="0"/>
                      <w:sz w:val="21"/>
                      <w:szCs w:val="21"/>
                      <w:highlight w:val="none"/>
                      <w:lang w:val="en-US" w:eastAsia="zh-CN"/>
                    </w:rPr>
                    <w:t>15</w:t>
                  </w:r>
                  <w:r>
                    <w:rPr>
                      <w:rFonts w:hint="default" w:ascii="Times New Roman" w:hAnsi="Times New Roman" w:cs="Times New Roman"/>
                      <w:bCs/>
                      <w:snapToGrid w:val="0"/>
                      <w:color w:val="auto"/>
                      <w:spacing w:val="0"/>
                      <w:w w:val="100"/>
                      <w:kern w:val="0"/>
                      <w:position w:val="0"/>
                      <w:sz w:val="21"/>
                      <w:szCs w:val="21"/>
                      <w:highlight w:val="none"/>
                    </w:rPr>
                    <w:t>0</w:t>
                  </w:r>
                </w:p>
              </w:tc>
              <w:tc>
                <w:tcPr>
                  <w:tcW w:w="863" w:type="dxa"/>
                  <w:vMerge w:val="continue"/>
                  <w:noWrap w:val="0"/>
                  <w:vAlign w:val="center"/>
                </w:tcPr>
                <w:p w14:paraId="037F809A">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p>
              </w:tc>
              <w:tc>
                <w:tcPr>
                  <w:tcW w:w="1562" w:type="dxa"/>
                  <w:vMerge w:val="continue"/>
                  <w:noWrap w:val="0"/>
                  <w:vAlign w:val="center"/>
                </w:tcPr>
                <w:p w14:paraId="2B3B615E">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p>
              </w:tc>
            </w:tr>
            <w:tr w14:paraId="3D8DB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77" w:type="dxa"/>
                  <w:vMerge w:val="restart"/>
                  <w:noWrap w:val="0"/>
                  <w:vAlign w:val="center"/>
                </w:tcPr>
                <w:p w14:paraId="03324B09">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r>
                    <w:rPr>
                      <w:rFonts w:hint="default" w:ascii="Times New Roman" w:hAnsi="Times New Roman" w:cs="Times New Roman"/>
                      <w:bCs/>
                      <w:snapToGrid w:val="0"/>
                      <w:color w:val="auto"/>
                      <w:spacing w:val="0"/>
                      <w:w w:val="100"/>
                      <w:kern w:val="0"/>
                      <w:position w:val="0"/>
                      <w:sz w:val="21"/>
                      <w:szCs w:val="21"/>
                      <w:highlight w:val="none"/>
                    </w:rPr>
                    <w:t>2</w:t>
                  </w:r>
                </w:p>
              </w:tc>
              <w:tc>
                <w:tcPr>
                  <w:tcW w:w="863" w:type="dxa"/>
                  <w:vMerge w:val="restart"/>
                  <w:noWrap w:val="0"/>
                  <w:vAlign w:val="center"/>
                </w:tcPr>
                <w:p w14:paraId="73558979">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r>
                    <w:rPr>
                      <w:rFonts w:hint="default" w:ascii="Times New Roman" w:hAnsi="Times New Roman" w:cs="Times New Roman"/>
                      <w:bCs/>
                      <w:snapToGrid w:val="0"/>
                      <w:color w:val="auto"/>
                      <w:spacing w:val="0"/>
                      <w:w w:val="100"/>
                      <w:kern w:val="0"/>
                      <w:position w:val="0"/>
                      <w:sz w:val="21"/>
                      <w:szCs w:val="21"/>
                      <w:highlight w:val="none"/>
                    </w:rPr>
                    <w:t>NO</w:t>
                  </w:r>
                  <w:r>
                    <w:rPr>
                      <w:rFonts w:hint="default" w:ascii="Times New Roman" w:hAnsi="Times New Roman" w:cs="Times New Roman"/>
                      <w:bCs/>
                      <w:snapToGrid w:val="0"/>
                      <w:color w:val="auto"/>
                      <w:spacing w:val="0"/>
                      <w:w w:val="100"/>
                      <w:kern w:val="0"/>
                      <w:position w:val="0"/>
                      <w:sz w:val="21"/>
                      <w:szCs w:val="21"/>
                      <w:highlight w:val="none"/>
                      <w:vertAlign w:val="subscript"/>
                    </w:rPr>
                    <w:t>2</w:t>
                  </w:r>
                </w:p>
              </w:tc>
              <w:tc>
                <w:tcPr>
                  <w:tcW w:w="1931" w:type="dxa"/>
                  <w:noWrap w:val="0"/>
                  <w:vAlign w:val="center"/>
                </w:tcPr>
                <w:p w14:paraId="06D93281">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r>
                    <w:rPr>
                      <w:rFonts w:hint="default" w:ascii="Times New Roman" w:hAnsi="Times New Roman" w:cs="Times New Roman"/>
                      <w:bCs/>
                      <w:snapToGrid w:val="0"/>
                      <w:color w:val="auto"/>
                      <w:spacing w:val="0"/>
                      <w:w w:val="100"/>
                      <w:kern w:val="0"/>
                      <w:position w:val="0"/>
                      <w:sz w:val="21"/>
                      <w:szCs w:val="21"/>
                      <w:highlight w:val="none"/>
                    </w:rPr>
                    <w:t>年平均</w:t>
                  </w:r>
                </w:p>
              </w:tc>
              <w:tc>
                <w:tcPr>
                  <w:tcW w:w="1162" w:type="dxa"/>
                  <w:noWrap w:val="0"/>
                  <w:vAlign w:val="center"/>
                </w:tcPr>
                <w:p w14:paraId="56F5B356">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r>
                    <w:rPr>
                      <w:rFonts w:hint="default" w:ascii="Times New Roman" w:hAnsi="Times New Roman" w:cs="Times New Roman"/>
                      <w:bCs/>
                      <w:snapToGrid w:val="0"/>
                      <w:color w:val="auto"/>
                      <w:spacing w:val="0"/>
                      <w:w w:val="100"/>
                      <w:kern w:val="0"/>
                      <w:position w:val="0"/>
                      <w:sz w:val="21"/>
                      <w:szCs w:val="21"/>
                      <w:highlight w:val="none"/>
                    </w:rPr>
                    <w:t>40</w:t>
                  </w:r>
                </w:p>
              </w:tc>
              <w:tc>
                <w:tcPr>
                  <w:tcW w:w="1069" w:type="dxa"/>
                  <w:shd w:val="clear" w:color="auto" w:fill="auto"/>
                  <w:noWrap w:val="0"/>
                  <w:vAlign w:val="center"/>
                </w:tcPr>
                <w:p w14:paraId="3F265561">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napToGrid w:val="0"/>
                      <w:color w:val="auto"/>
                      <w:spacing w:val="0"/>
                      <w:w w:val="100"/>
                      <w:kern w:val="0"/>
                      <w:position w:val="0"/>
                      <w:sz w:val="21"/>
                      <w:szCs w:val="21"/>
                      <w:highlight w:val="none"/>
                      <w:lang w:val="en-US" w:eastAsia="zh-CN" w:bidi="ar-SA"/>
                    </w:rPr>
                  </w:pPr>
                  <w:r>
                    <w:rPr>
                      <w:rFonts w:hint="eastAsia" w:ascii="Times New Roman" w:hAnsi="Times New Roman" w:cs="Times New Roman"/>
                      <w:bCs/>
                      <w:snapToGrid w:val="0"/>
                      <w:color w:val="auto"/>
                      <w:spacing w:val="0"/>
                      <w:w w:val="100"/>
                      <w:kern w:val="0"/>
                      <w:position w:val="0"/>
                      <w:sz w:val="21"/>
                      <w:szCs w:val="21"/>
                      <w:highlight w:val="none"/>
                      <w:lang w:val="en-US" w:eastAsia="zh-CN"/>
                    </w:rPr>
                    <w:t>3</w:t>
                  </w:r>
                  <w:r>
                    <w:rPr>
                      <w:rFonts w:hint="default" w:ascii="Times New Roman" w:hAnsi="Times New Roman" w:cs="Times New Roman"/>
                      <w:bCs/>
                      <w:snapToGrid w:val="0"/>
                      <w:color w:val="auto"/>
                      <w:spacing w:val="0"/>
                      <w:w w:val="100"/>
                      <w:kern w:val="0"/>
                      <w:position w:val="0"/>
                      <w:sz w:val="21"/>
                      <w:szCs w:val="21"/>
                      <w:highlight w:val="none"/>
                    </w:rPr>
                    <w:t>0</w:t>
                  </w:r>
                </w:p>
              </w:tc>
              <w:tc>
                <w:tcPr>
                  <w:tcW w:w="863" w:type="dxa"/>
                  <w:vMerge w:val="continue"/>
                  <w:noWrap w:val="0"/>
                  <w:vAlign w:val="center"/>
                </w:tcPr>
                <w:p w14:paraId="35C28D2B">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p>
              </w:tc>
              <w:tc>
                <w:tcPr>
                  <w:tcW w:w="1562" w:type="dxa"/>
                  <w:vMerge w:val="continue"/>
                  <w:noWrap w:val="0"/>
                  <w:vAlign w:val="center"/>
                </w:tcPr>
                <w:p w14:paraId="43C4DBB3">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p>
              </w:tc>
            </w:tr>
            <w:tr w14:paraId="4E2EA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77" w:type="dxa"/>
                  <w:vMerge w:val="continue"/>
                  <w:noWrap w:val="0"/>
                  <w:vAlign w:val="center"/>
                </w:tcPr>
                <w:p w14:paraId="7BE8A47F">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p>
              </w:tc>
              <w:tc>
                <w:tcPr>
                  <w:tcW w:w="863" w:type="dxa"/>
                  <w:vMerge w:val="continue"/>
                  <w:noWrap w:val="0"/>
                  <w:vAlign w:val="center"/>
                </w:tcPr>
                <w:p w14:paraId="2E101B6A">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p>
              </w:tc>
              <w:tc>
                <w:tcPr>
                  <w:tcW w:w="1931" w:type="dxa"/>
                  <w:noWrap w:val="0"/>
                  <w:vAlign w:val="center"/>
                </w:tcPr>
                <w:p w14:paraId="0A4E40B4">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r>
                    <w:rPr>
                      <w:rFonts w:hint="default" w:ascii="Times New Roman" w:hAnsi="Times New Roman" w:cs="Times New Roman"/>
                      <w:bCs/>
                      <w:snapToGrid w:val="0"/>
                      <w:color w:val="auto"/>
                      <w:spacing w:val="0"/>
                      <w:w w:val="100"/>
                      <w:kern w:val="0"/>
                      <w:position w:val="0"/>
                      <w:sz w:val="21"/>
                      <w:szCs w:val="21"/>
                      <w:highlight w:val="none"/>
                    </w:rPr>
                    <w:t>24小时平均</w:t>
                  </w:r>
                </w:p>
              </w:tc>
              <w:tc>
                <w:tcPr>
                  <w:tcW w:w="1162" w:type="dxa"/>
                  <w:noWrap w:val="0"/>
                  <w:vAlign w:val="center"/>
                </w:tcPr>
                <w:p w14:paraId="39B1298D">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r>
                    <w:rPr>
                      <w:rFonts w:hint="default" w:ascii="Times New Roman" w:hAnsi="Times New Roman" w:cs="Times New Roman"/>
                      <w:bCs/>
                      <w:snapToGrid w:val="0"/>
                      <w:color w:val="auto"/>
                      <w:spacing w:val="0"/>
                      <w:w w:val="100"/>
                      <w:kern w:val="0"/>
                      <w:position w:val="0"/>
                      <w:sz w:val="21"/>
                      <w:szCs w:val="21"/>
                      <w:highlight w:val="none"/>
                    </w:rPr>
                    <w:t>80</w:t>
                  </w:r>
                </w:p>
              </w:tc>
              <w:tc>
                <w:tcPr>
                  <w:tcW w:w="1069" w:type="dxa"/>
                  <w:shd w:val="clear" w:color="auto" w:fill="auto"/>
                  <w:noWrap w:val="0"/>
                  <w:vAlign w:val="center"/>
                </w:tcPr>
                <w:p w14:paraId="754981FF">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snapToGrid w:val="0"/>
                      <w:color w:val="auto"/>
                      <w:spacing w:val="0"/>
                      <w:w w:val="100"/>
                      <w:kern w:val="0"/>
                      <w:position w:val="0"/>
                      <w:sz w:val="21"/>
                      <w:szCs w:val="21"/>
                      <w:highlight w:val="none"/>
                      <w:lang w:val="en-US" w:eastAsia="zh-CN" w:bidi="ar-SA"/>
                    </w:rPr>
                  </w:pPr>
                  <w:r>
                    <w:rPr>
                      <w:rFonts w:hint="eastAsia" w:ascii="Times New Roman" w:hAnsi="Times New Roman" w:cs="Times New Roman"/>
                      <w:bCs/>
                      <w:snapToGrid w:val="0"/>
                      <w:color w:val="auto"/>
                      <w:spacing w:val="0"/>
                      <w:w w:val="100"/>
                      <w:kern w:val="0"/>
                      <w:position w:val="0"/>
                      <w:sz w:val="21"/>
                      <w:szCs w:val="21"/>
                      <w:highlight w:val="none"/>
                      <w:lang w:val="en-US" w:eastAsia="zh-CN"/>
                    </w:rPr>
                    <w:t>5</w:t>
                  </w:r>
                </w:p>
              </w:tc>
              <w:tc>
                <w:tcPr>
                  <w:tcW w:w="863" w:type="dxa"/>
                  <w:vMerge w:val="continue"/>
                  <w:noWrap w:val="0"/>
                  <w:vAlign w:val="center"/>
                </w:tcPr>
                <w:p w14:paraId="2158C30C">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p>
              </w:tc>
              <w:tc>
                <w:tcPr>
                  <w:tcW w:w="1562" w:type="dxa"/>
                  <w:vMerge w:val="continue"/>
                  <w:noWrap w:val="0"/>
                  <w:vAlign w:val="center"/>
                </w:tcPr>
                <w:p w14:paraId="28F77A72">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p>
              </w:tc>
            </w:tr>
            <w:tr w14:paraId="1EA77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77" w:type="dxa"/>
                  <w:vMerge w:val="continue"/>
                  <w:noWrap w:val="0"/>
                  <w:vAlign w:val="center"/>
                </w:tcPr>
                <w:p w14:paraId="001001C2">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p>
              </w:tc>
              <w:tc>
                <w:tcPr>
                  <w:tcW w:w="863" w:type="dxa"/>
                  <w:vMerge w:val="continue"/>
                  <w:noWrap w:val="0"/>
                  <w:vAlign w:val="center"/>
                </w:tcPr>
                <w:p w14:paraId="5321AF7A">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p>
              </w:tc>
              <w:tc>
                <w:tcPr>
                  <w:tcW w:w="1931" w:type="dxa"/>
                  <w:noWrap w:val="0"/>
                  <w:vAlign w:val="center"/>
                </w:tcPr>
                <w:p w14:paraId="3E160EFE">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r>
                    <w:rPr>
                      <w:rFonts w:hint="default" w:ascii="Times New Roman" w:hAnsi="Times New Roman" w:cs="Times New Roman"/>
                      <w:bCs/>
                      <w:snapToGrid w:val="0"/>
                      <w:color w:val="auto"/>
                      <w:spacing w:val="0"/>
                      <w:w w:val="100"/>
                      <w:kern w:val="0"/>
                      <w:position w:val="0"/>
                      <w:sz w:val="21"/>
                      <w:szCs w:val="21"/>
                      <w:highlight w:val="none"/>
                    </w:rPr>
                    <w:t>1小时平均</w:t>
                  </w:r>
                </w:p>
              </w:tc>
              <w:tc>
                <w:tcPr>
                  <w:tcW w:w="1162" w:type="dxa"/>
                  <w:noWrap w:val="0"/>
                  <w:vAlign w:val="center"/>
                </w:tcPr>
                <w:p w14:paraId="4B0ED18D">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r>
                    <w:rPr>
                      <w:rFonts w:hint="default" w:ascii="Times New Roman" w:hAnsi="Times New Roman" w:cs="Times New Roman"/>
                      <w:bCs/>
                      <w:snapToGrid w:val="0"/>
                      <w:color w:val="auto"/>
                      <w:spacing w:val="0"/>
                      <w:w w:val="100"/>
                      <w:kern w:val="0"/>
                      <w:position w:val="0"/>
                      <w:sz w:val="21"/>
                      <w:szCs w:val="21"/>
                      <w:highlight w:val="none"/>
                    </w:rPr>
                    <w:t>200</w:t>
                  </w:r>
                </w:p>
              </w:tc>
              <w:tc>
                <w:tcPr>
                  <w:tcW w:w="1069" w:type="dxa"/>
                  <w:shd w:val="clear" w:color="auto" w:fill="auto"/>
                  <w:noWrap w:val="0"/>
                  <w:vAlign w:val="center"/>
                </w:tcPr>
                <w:p w14:paraId="3051B954">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napToGrid w:val="0"/>
                      <w:color w:val="auto"/>
                      <w:spacing w:val="0"/>
                      <w:w w:val="100"/>
                      <w:kern w:val="0"/>
                      <w:position w:val="0"/>
                      <w:sz w:val="21"/>
                      <w:szCs w:val="21"/>
                      <w:highlight w:val="none"/>
                      <w:lang w:val="en-US" w:eastAsia="zh-CN" w:bidi="ar-SA"/>
                    </w:rPr>
                  </w:pPr>
                  <w:r>
                    <w:rPr>
                      <w:rFonts w:hint="default" w:ascii="Times New Roman" w:hAnsi="Times New Roman" w:cs="Times New Roman"/>
                      <w:bCs/>
                      <w:snapToGrid w:val="0"/>
                      <w:color w:val="auto"/>
                      <w:spacing w:val="0"/>
                      <w:w w:val="100"/>
                      <w:kern w:val="0"/>
                      <w:position w:val="0"/>
                      <w:sz w:val="21"/>
                      <w:szCs w:val="21"/>
                      <w:highlight w:val="none"/>
                    </w:rPr>
                    <w:t>200</w:t>
                  </w:r>
                </w:p>
              </w:tc>
              <w:tc>
                <w:tcPr>
                  <w:tcW w:w="863" w:type="dxa"/>
                  <w:vMerge w:val="continue"/>
                  <w:noWrap w:val="0"/>
                  <w:vAlign w:val="center"/>
                </w:tcPr>
                <w:p w14:paraId="38D60CC3">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p>
              </w:tc>
              <w:tc>
                <w:tcPr>
                  <w:tcW w:w="1562" w:type="dxa"/>
                  <w:vMerge w:val="continue"/>
                  <w:noWrap w:val="0"/>
                  <w:vAlign w:val="center"/>
                </w:tcPr>
                <w:p w14:paraId="6D0616A7">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p>
              </w:tc>
            </w:tr>
            <w:tr w14:paraId="16519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77" w:type="dxa"/>
                  <w:vMerge w:val="restart"/>
                  <w:noWrap w:val="0"/>
                  <w:vAlign w:val="center"/>
                </w:tcPr>
                <w:p w14:paraId="0D1C3229">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snapToGrid w:val="0"/>
                      <w:color w:val="auto"/>
                      <w:spacing w:val="0"/>
                      <w:w w:val="100"/>
                      <w:kern w:val="0"/>
                      <w:position w:val="0"/>
                      <w:sz w:val="21"/>
                      <w:szCs w:val="21"/>
                      <w:highlight w:val="none"/>
                      <w:lang w:eastAsia="zh-CN"/>
                    </w:rPr>
                  </w:pPr>
                  <w:r>
                    <w:rPr>
                      <w:rFonts w:hint="eastAsia" w:ascii="Times New Roman" w:hAnsi="Times New Roman" w:cs="Times New Roman"/>
                      <w:bCs/>
                      <w:snapToGrid w:val="0"/>
                      <w:color w:val="auto"/>
                      <w:spacing w:val="0"/>
                      <w:w w:val="100"/>
                      <w:kern w:val="0"/>
                      <w:position w:val="0"/>
                      <w:sz w:val="21"/>
                      <w:szCs w:val="21"/>
                      <w:highlight w:val="none"/>
                      <w:lang w:val="en-US" w:eastAsia="zh-CN"/>
                    </w:rPr>
                    <w:t>3</w:t>
                  </w:r>
                </w:p>
              </w:tc>
              <w:tc>
                <w:tcPr>
                  <w:tcW w:w="863" w:type="dxa"/>
                  <w:vMerge w:val="restart"/>
                  <w:noWrap w:val="0"/>
                  <w:vAlign w:val="center"/>
                </w:tcPr>
                <w:p w14:paraId="383FA64B">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r>
                    <w:rPr>
                      <w:rFonts w:hint="default" w:ascii="Times New Roman" w:hAnsi="Times New Roman" w:cs="Times New Roman"/>
                      <w:bCs/>
                      <w:snapToGrid w:val="0"/>
                      <w:color w:val="auto"/>
                      <w:spacing w:val="0"/>
                      <w:w w:val="100"/>
                      <w:kern w:val="0"/>
                      <w:position w:val="0"/>
                      <w:sz w:val="21"/>
                      <w:szCs w:val="21"/>
                      <w:highlight w:val="none"/>
                    </w:rPr>
                    <w:t>PM</w:t>
                  </w:r>
                  <w:r>
                    <w:rPr>
                      <w:rFonts w:hint="default" w:ascii="Times New Roman" w:hAnsi="Times New Roman" w:cs="Times New Roman"/>
                      <w:bCs/>
                      <w:snapToGrid w:val="0"/>
                      <w:color w:val="auto"/>
                      <w:spacing w:val="0"/>
                      <w:w w:val="100"/>
                      <w:kern w:val="0"/>
                      <w:position w:val="0"/>
                      <w:sz w:val="21"/>
                      <w:szCs w:val="21"/>
                      <w:highlight w:val="none"/>
                      <w:vertAlign w:val="subscript"/>
                    </w:rPr>
                    <w:t>10</w:t>
                  </w:r>
                </w:p>
              </w:tc>
              <w:tc>
                <w:tcPr>
                  <w:tcW w:w="1931" w:type="dxa"/>
                  <w:noWrap w:val="0"/>
                  <w:vAlign w:val="center"/>
                </w:tcPr>
                <w:p w14:paraId="5D8D6DAC">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r>
                    <w:rPr>
                      <w:rFonts w:hint="default" w:ascii="Times New Roman" w:hAnsi="Times New Roman" w:cs="Times New Roman"/>
                      <w:bCs/>
                      <w:snapToGrid w:val="0"/>
                      <w:color w:val="auto"/>
                      <w:spacing w:val="0"/>
                      <w:w w:val="100"/>
                      <w:kern w:val="0"/>
                      <w:position w:val="0"/>
                      <w:sz w:val="21"/>
                      <w:szCs w:val="21"/>
                      <w:highlight w:val="none"/>
                    </w:rPr>
                    <w:t>年平均</w:t>
                  </w:r>
                </w:p>
              </w:tc>
              <w:tc>
                <w:tcPr>
                  <w:tcW w:w="1162" w:type="dxa"/>
                  <w:noWrap w:val="0"/>
                  <w:vAlign w:val="center"/>
                </w:tcPr>
                <w:p w14:paraId="2FD9DECF">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r>
                    <w:rPr>
                      <w:rFonts w:hint="eastAsia" w:cs="Times New Roman"/>
                      <w:bCs/>
                      <w:snapToGrid w:val="0"/>
                      <w:color w:val="auto"/>
                      <w:spacing w:val="0"/>
                      <w:w w:val="100"/>
                      <w:kern w:val="0"/>
                      <w:position w:val="0"/>
                      <w:sz w:val="21"/>
                      <w:szCs w:val="21"/>
                      <w:highlight w:val="none"/>
                      <w:lang w:val="en-US" w:eastAsia="zh-CN"/>
                    </w:rPr>
                    <w:t>6</w:t>
                  </w:r>
                  <w:r>
                    <w:rPr>
                      <w:rFonts w:hint="default" w:ascii="Times New Roman" w:hAnsi="Times New Roman" w:cs="Times New Roman"/>
                      <w:bCs/>
                      <w:snapToGrid w:val="0"/>
                      <w:color w:val="auto"/>
                      <w:spacing w:val="0"/>
                      <w:w w:val="100"/>
                      <w:kern w:val="0"/>
                      <w:position w:val="0"/>
                      <w:sz w:val="21"/>
                      <w:szCs w:val="21"/>
                      <w:highlight w:val="none"/>
                    </w:rPr>
                    <w:t>0</w:t>
                  </w:r>
                </w:p>
              </w:tc>
              <w:tc>
                <w:tcPr>
                  <w:tcW w:w="1069" w:type="dxa"/>
                  <w:shd w:val="clear" w:color="auto" w:fill="auto"/>
                  <w:noWrap w:val="0"/>
                  <w:vAlign w:val="center"/>
                </w:tcPr>
                <w:p w14:paraId="7C420D1B">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snapToGrid w:val="0"/>
                      <w:color w:val="auto"/>
                      <w:spacing w:val="0"/>
                      <w:w w:val="100"/>
                      <w:kern w:val="0"/>
                      <w:position w:val="0"/>
                      <w:sz w:val="21"/>
                      <w:szCs w:val="21"/>
                      <w:highlight w:val="none"/>
                      <w:lang w:val="en-US" w:eastAsia="zh-CN" w:bidi="ar-SA"/>
                    </w:rPr>
                  </w:pPr>
                  <w:r>
                    <w:rPr>
                      <w:rFonts w:hint="eastAsia" w:cs="Times New Roman"/>
                      <w:bCs/>
                      <w:snapToGrid w:val="0"/>
                      <w:color w:val="auto"/>
                      <w:spacing w:val="0"/>
                      <w:w w:val="100"/>
                      <w:kern w:val="0"/>
                      <w:position w:val="0"/>
                      <w:sz w:val="21"/>
                      <w:szCs w:val="21"/>
                      <w:highlight w:val="none"/>
                      <w:lang w:val="en-US" w:eastAsia="zh-CN"/>
                    </w:rPr>
                    <w:t>5</w:t>
                  </w:r>
                  <w:r>
                    <w:rPr>
                      <w:rFonts w:hint="default" w:ascii="Times New Roman" w:hAnsi="Times New Roman" w:cs="Times New Roman"/>
                      <w:bCs/>
                      <w:snapToGrid w:val="0"/>
                      <w:color w:val="auto"/>
                      <w:spacing w:val="0"/>
                      <w:w w:val="100"/>
                      <w:kern w:val="0"/>
                      <w:position w:val="0"/>
                      <w:sz w:val="21"/>
                      <w:szCs w:val="21"/>
                      <w:highlight w:val="none"/>
                    </w:rPr>
                    <w:t>0</w:t>
                  </w:r>
                </w:p>
              </w:tc>
              <w:tc>
                <w:tcPr>
                  <w:tcW w:w="863" w:type="dxa"/>
                  <w:vMerge w:val="continue"/>
                  <w:noWrap w:val="0"/>
                  <w:vAlign w:val="center"/>
                </w:tcPr>
                <w:p w14:paraId="1E934A85">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p>
              </w:tc>
              <w:tc>
                <w:tcPr>
                  <w:tcW w:w="1562" w:type="dxa"/>
                  <w:vMerge w:val="continue"/>
                  <w:noWrap w:val="0"/>
                  <w:vAlign w:val="center"/>
                </w:tcPr>
                <w:p w14:paraId="2F80AC23">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p>
              </w:tc>
            </w:tr>
            <w:tr w14:paraId="72FC7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77" w:type="dxa"/>
                  <w:vMerge w:val="continue"/>
                  <w:noWrap w:val="0"/>
                  <w:vAlign w:val="center"/>
                </w:tcPr>
                <w:p w14:paraId="5E908830">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p>
              </w:tc>
              <w:tc>
                <w:tcPr>
                  <w:tcW w:w="863" w:type="dxa"/>
                  <w:vMerge w:val="continue"/>
                  <w:noWrap w:val="0"/>
                  <w:vAlign w:val="center"/>
                </w:tcPr>
                <w:p w14:paraId="28EA2052">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p>
              </w:tc>
              <w:tc>
                <w:tcPr>
                  <w:tcW w:w="1931" w:type="dxa"/>
                  <w:noWrap w:val="0"/>
                  <w:vAlign w:val="center"/>
                </w:tcPr>
                <w:p w14:paraId="4B4E8727">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r>
                    <w:rPr>
                      <w:rFonts w:hint="default" w:ascii="Times New Roman" w:hAnsi="Times New Roman" w:cs="Times New Roman"/>
                      <w:bCs/>
                      <w:snapToGrid w:val="0"/>
                      <w:color w:val="auto"/>
                      <w:spacing w:val="0"/>
                      <w:w w:val="100"/>
                      <w:kern w:val="0"/>
                      <w:position w:val="0"/>
                      <w:sz w:val="21"/>
                      <w:szCs w:val="21"/>
                      <w:highlight w:val="none"/>
                    </w:rPr>
                    <w:t>24小时平均</w:t>
                  </w:r>
                </w:p>
              </w:tc>
              <w:tc>
                <w:tcPr>
                  <w:tcW w:w="1162" w:type="dxa"/>
                  <w:noWrap w:val="0"/>
                  <w:vAlign w:val="center"/>
                </w:tcPr>
                <w:p w14:paraId="51808E18">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r>
                    <w:rPr>
                      <w:rFonts w:hint="default" w:ascii="Times New Roman" w:hAnsi="Times New Roman" w:cs="Times New Roman"/>
                      <w:bCs/>
                      <w:snapToGrid w:val="0"/>
                      <w:color w:val="auto"/>
                      <w:spacing w:val="0"/>
                      <w:w w:val="100"/>
                      <w:kern w:val="0"/>
                      <w:position w:val="0"/>
                      <w:sz w:val="21"/>
                      <w:szCs w:val="21"/>
                      <w:highlight w:val="none"/>
                    </w:rPr>
                    <w:t>1</w:t>
                  </w:r>
                  <w:r>
                    <w:rPr>
                      <w:rFonts w:hint="eastAsia" w:cs="Times New Roman"/>
                      <w:bCs/>
                      <w:snapToGrid w:val="0"/>
                      <w:color w:val="auto"/>
                      <w:spacing w:val="0"/>
                      <w:w w:val="100"/>
                      <w:kern w:val="0"/>
                      <w:position w:val="0"/>
                      <w:sz w:val="21"/>
                      <w:szCs w:val="21"/>
                      <w:highlight w:val="none"/>
                      <w:lang w:val="en-US" w:eastAsia="zh-CN"/>
                    </w:rPr>
                    <w:t>2</w:t>
                  </w:r>
                  <w:r>
                    <w:rPr>
                      <w:rFonts w:hint="default" w:ascii="Times New Roman" w:hAnsi="Times New Roman" w:cs="Times New Roman"/>
                      <w:bCs/>
                      <w:snapToGrid w:val="0"/>
                      <w:color w:val="auto"/>
                      <w:spacing w:val="0"/>
                      <w:w w:val="100"/>
                      <w:kern w:val="0"/>
                      <w:position w:val="0"/>
                      <w:sz w:val="21"/>
                      <w:szCs w:val="21"/>
                      <w:highlight w:val="none"/>
                    </w:rPr>
                    <w:t>0</w:t>
                  </w:r>
                </w:p>
              </w:tc>
              <w:tc>
                <w:tcPr>
                  <w:tcW w:w="1069" w:type="dxa"/>
                  <w:shd w:val="clear" w:color="auto" w:fill="auto"/>
                  <w:noWrap w:val="0"/>
                  <w:vAlign w:val="center"/>
                </w:tcPr>
                <w:p w14:paraId="7ED44FB6">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napToGrid w:val="0"/>
                      <w:color w:val="auto"/>
                      <w:spacing w:val="0"/>
                      <w:w w:val="100"/>
                      <w:kern w:val="0"/>
                      <w:position w:val="0"/>
                      <w:sz w:val="21"/>
                      <w:szCs w:val="21"/>
                      <w:highlight w:val="none"/>
                      <w:lang w:val="en-US" w:eastAsia="zh-CN" w:bidi="ar-SA"/>
                    </w:rPr>
                  </w:pPr>
                  <w:r>
                    <w:rPr>
                      <w:rFonts w:hint="default" w:ascii="Times New Roman" w:hAnsi="Times New Roman" w:cs="Times New Roman"/>
                      <w:bCs/>
                      <w:snapToGrid w:val="0"/>
                      <w:color w:val="auto"/>
                      <w:spacing w:val="0"/>
                      <w:w w:val="100"/>
                      <w:kern w:val="0"/>
                      <w:position w:val="0"/>
                      <w:sz w:val="21"/>
                      <w:szCs w:val="21"/>
                      <w:highlight w:val="none"/>
                    </w:rPr>
                    <w:t>1</w:t>
                  </w:r>
                  <w:r>
                    <w:rPr>
                      <w:rFonts w:hint="eastAsia" w:cs="Times New Roman"/>
                      <w:bCs/>
                      <w:snapToGrid w:val="0"/>
                      <w:color w:val="auto"/>
                      <w:spacing w:val="0"/>
                      <w:w w:val="100"/>
                      <w:kern w:val="0"/>
                      <w:position w:val="0"/>
                      <w:sz w:val="21"/>
                      <w:szCs w:val="21"/>
                      <w:highlight w:val="none"/>
                      <w:lang w:val="en-US" w:eastAsia="zh-CN"/>
                    </w:rPr>
                    <w:t>0</w:t>
                  </w:r>
                  <w:r>
                    <w:rPr>
                      <w:rFonts w:hint="default" w:ascii="Times New Roman" w:hAnsi="Times New Roman" w:cs="Times New Roman"/>
                      <w:bCs/>
                      <w:snapToGrid w:val="0"/>
                      <w:color w:val="auto"/>
                      <w:spacing w:val="0"/>
                      <w:w w:val="100"/>
                      <w:kern w:val="0"/>
                      <w:position w:val="0"/>
                      <w:sz w:val="21"/>
                      <w:szCs w:val="21"/>
                      <w:highlight w:val="none"/>
                    </w:rPr>
                    <w:t>0</w:t>
                  </w:r>
                </w:p>
              </w:tc>
              <w:tc>
                <w:tcPr>
                  <w:tcW w:w="863" w:type="dxa"/>
                  <w:vMerge w:val="continue"/>
                  <w:noWrap w:val="0"/>
                  <w:vAlign w:val="center"/>
                </w:tcPr>
                <w:p w14:paraId="317FFBBB">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p>
              </w:tc>
              <w:tc>
                <w:tcPr>
                  <w:tcW w:w="1562" w:type="dxa"/>
                  <w:vMerge w:val="continue"/>
                  <w:noWrap w:val="0"/>
                  <w:vAlign w:val="center"/>
                </w:tcPr>
                <w:p w14:paraId="0319BFE0">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p>
              </w:tc>
            </w:tr>
            <w:tr w14:paraId="0A1F5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77" w:type="dxa"/>
                  <w:vMerge w:val="restart"/>
                  <w:noWrap w:val="0"/>
                  <w:vAlign w:val="center"/>
                </w:tcPr>
                <w:p w14:paraId="5611C209">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snapToGrid w:val="0"/>
                      <w:color w:val="auto"/>
                      <w:spacing w:val="0"/>
                      <w:w w:val="100"/>
                      <w:kern w:val="0"/>
                      <w:position w:val="0"/>
                      <w:sz w:val="21"/>
                      <w:szCs w:val="21"/>
                      <w:highlight w:val="none"/>
                      <w:lang w:eastAsia="zh-CN"/>
                    </w:rPr>
                  </w:pPr>
                  <w:r>
                    <w:rPr>
                      <w:rFonts w:hint="eastAsia" w:ascii="Times New Roman" w:hAnsi="Times New Roman" w:cs="Times New Roman"/>
                      <w:bCs/>
                      <w:snapToGrid w:val="0"/>
                      <w:color w:val="auto"/>
                      <w:spacing w:val="0"/>
                      <w:w w:val="100"/>
                      <w:kern w:val="0"/>
                      <w:position w:val="0"/>
                      <w:sz w:val="21"/>
                      <w:szCs w:val="21"/>
                      <w:highlight w:val="none"/>
                      <w:lang w:val="en-US" w:eastAsia="zh-CN"/>
                    </w:rPr>
                    <w:t>4</w:t>
                  </w:r>
                </w:p>
              </w:tc>
              <w:tc>
                <w:tcPr>
                  <w:tcW w:w="863" w:type="dxa"/>
                  <w:vMerge w:val="restart"/>
                  <w:noWrap w:val="0"/>
                  <w:vAlign w:val="center"/>
                </w:tcPr>
                <w:p w14:paraId="546503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r>
                    <w:rPr>
                      <w:rFonts w:hint="default" w:ascii="Times New Roman" w:hAnsi="Times New Roman" w:cs="Times New Roman"/>
                      <w:bCs/>
                      <w:snapToGrid w:val="0"/>
                      <w:color w:val="auto"/>
                      <w:spacing w:val="0"/>
                      <w:w w:val="100"/>
                      <w:kern w:val="0"/>
                      <w:position w:val="0"/>
                      <w:sz w:val="21"/>
                      <w:szCs w:val="21"/>
                      <w:highlight w:val="none"/>
                    </w:rPr>
                    <w:t>PM</w:t>
                  </w:r>
                  <w:r>
                    <w:rPr>
                      <w:rFonts w:hint="default" w:ascii="Times New Roman" w:hAnsi="Times New Roman" w:cs="Times New Roman"/>
                      <w:bCs/>
                      <w:snapToGrid w:val="0"/>
                      <w:color w:val="auto"/>
                      <w:spacing w:val="0"/>
                      <w:w w:val="100"/>
                      <w:kern w:val="0"/>
                      <w:position w:val="0"/>
                      <w:sz w:val="21"/>
                      <w:szCs w:val="21"/>
                      <w:highlight w:val="none"/>
                      <w:vertAlign w:val="subscript"/>
                    </w:rPr>
                    <w:t>2.5</w:t>
                  </w:r>
                </w:p>
              </w:tc>
              <w:tc>
                <w:tcPr>
                  <w:tcW w:w="1931" w:type="dxa"/>
                  <w:noWrap w:val="0"/>
                  <w:vAlign w:val="center"/>
                </w:tcPr>
                <w:p w14:paraId="5E2040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r>
                    <w:rPr>
                      <w:rFonts w:hint="default" w:ascii="Times New Roman" w:hAnsi="Times New Roman" w:cs="Times New Roman"/>
                      <w:bCs/>
                      <w:snapToGrid w:val="0"/>
                      <w:color w:val="auto"/>
                      <w:spacing w:val="0"/>
                      <w:w w:val="100"/>
                      <w:kern w:val="0"/>
                      <w:position w:val="0"/>
                      <w:sz w:val="21"/>
                      <w:szCs w:val="21"/>
                      <w:highlight w:val="none"/>
                    </w:rPr>
                    <w:t>年平均</w:t>
                  </w:r>
                </w:p>
              </w:tc>
              <w:tc>
                <w:tcPr>
                  <w:tcW w:w="1162" w:type="dxa"/>
                  <w:noWrap w:val="0"/>
                  <w:vAlign w:val="center"/>
                </w:tcPr>
                <w:p w14:paraId="181F5F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r>
                    <w:rPr>
                      <w:rFonts w:hint="default" w:ascii="Times New Roman" w:hAnsi="Times New Roman" w:cs="Times New Roman"/>
                      <w:bCs/>
                      <w:snapToGrid w:val="0"/>
                      <w:color w:val="auto"/>
                      <w:spacing w:val="0"/>
                      <w:w w:val="100"/>
                      <w:kern w:val="0"/>
                      <w:position w:val="0"/>
                      <w:sz w:val="21"/>
                      <w:szCs w:val="21"/>
                      <w:highlight w:val="none"/>
                    </w:rPr>
                    <w:t>3</w:t>
                  </w:r>
                  <w:r>
                    <w:rPr>
                      <w:rFonts w:hint="eastAsia" w:cs="Times New Roman"/>
                      <w:bCs/>
                      <w:snapToGrid w:val="0"/>
                      <w:color w:val="auto"/>
                      <w:spacing w:val="0"/>
                      <w:w w:val="100"/>
                      <w:kern w:val="0"/>
                      <w:position w:val="0"/>
                      <w:sz w:val="21"/>
                      <w:szCs w:val="21"/>
                      <w:highlight w:val="none"/>
                      <w:lang w:val="en-US" w:eastAsia="zh-CN"/>
                    </w:rPr>
                    <w:t>0</w:t>
                  </w:r>
                </w:p>
              </w:tc>
              <w:tc>
                <w:tcPr>
                  <w:tcW w:w="1069" w:type="dxa"/>
                  <w:shd w:val="clear" w:color="auto" w:fill="auto"/>
                  <w:noWrap w:val="0"/>
                  <w:vAlign w:val="center"/>
                </w:tcPr>
                <w:p w14:paraId="53E3C2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napToGrid w:val="0"/>
                      <w:color w:val="auto"/>
                      <w:spacing w:val="0"/>
                      <w:w w:val="100"/>
                      <w:kern w:val="0"/>
                      <w:position w:val="0"/>
                      <w:sz w:val="21"/>
                      <w:szCs w:val="21"/>
                      <w:highlight w:val="none"/>
                      <w:lang w:val="en-US" w:eastAsia="zh-CN" w:bidi="ar-SA"/>
                    </w:rPr>
                  </w:pPr>
                  <w:r>
                    <w:rPr>
                      <w:rFonts w:hint="eastAsia" w:ascii="Times New Roman" w:hAnsi="Times New Roman" w:cs="Times New Roman"/>
                      <w:bCs/>
                      <w:snapToGrid w:val="0"/>
                      <w:color w:val="auto"/>
                      <w:spacing w:val="0"/>
                      <w:w w:val="100"/>
                      <w:kern w:val="0"/>
                      <w:position w:val="0"/>
                      <w:sz w:val="21"/>
                      <w:szCs w:val="21"/>
                      <w:highlight w:val="none"/>
                      <w:lang w:val="en-US" w:eastAsia="zh-CN"/>
                    </w:rPr>
                    <w:t>25</w:t>
                  </w:r>
                </w:p>
              </w:tc>
              <w:tc>
                <w:tcPr>
                  <w:tcW w:w="863" w:type="dxa"/>
                  <w:vMerge w:val="continue"/>
                  <w:noWrap w:val="0"/>
                  <w:vAlign w:val="center"/>
                </w:tcPr>
                <w:p w14:paraId="13A69104">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p>
              </w:tc>
              <w:tc>
                <w:tcPr>
                  <w:tcW w:w="1562" w:type="dxa"/>
                  <w:vMerge w:val="continue"/>
                  <w:noWrap w:val="0"/>
                  <w:vAlign w:val="center"/>
                </w:tcPr>
                <w:p w14:paraId="1CB2948E">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p>
              </w:tc>
            </w:tr>
            <w:tr w14:paraId="1970F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77" w:type="dxa"/>
                  <w:vMerge w:val="continue"/>
                  <w:noWrap w:val="0"/>
                  <w:vAlign w:val="center"/>
                </w:tcPr>
                <w:p w14:paraId="68AB8B46">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p>
              </w:tc>
              <w:tc>
                <w:tcPr>
                  <w:tcW w:w="863" w:type="dxa"/>
                  <w:vMerge w:val="continue"/>
                  <w:noWrap w:val="0"/>
                  <w:vAlign w:val="center"/>
                </w:tcPr>
                <w:p w14:paraId="6A659E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p>
              </w:tc>
              <w:tc>
                <w:tcPr>
                  <w:tcW w:w="1931" w:type="dxa"/>
                  <w:noWrap w:val="0"/>
                  <w:vAlign w:val="center"/>
                </w:tcPr>
                <w:p w14:paraId="7DD32F11">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r>
                    <w:rPr>
                      <w:rFonts w:hint="default" w:ascii="Times New Roman" w:hAnsi="Times New Roman" w:cs="Times New Roman"/>
                      <w:bCs/>
                      <w:snapToGrid w:val="0"/>
                      <w:color w:val="auto"/>
                      <w:spacing w:val="0"/>
                      <w:w w:val="100"/>
                      <w:kern w:val="0"/>
                      <w:position w:val="0"/>
                      <w:sz w:val="21"/>
                      <w:szCs w:val="21"/>
                      <w:highlight w:val="none"/>
                    </w:rPr>
                    <w:t>24小时平均</w:t>
                  </w:r>
                </w:p>
              </w:tc>
              <w:tc>
                <w:tcPr>
                  <w:tcW w:w="1162" w:type="dxa"/>
                  <w:noWrap w:val="0"/>
                  <w:vAlign w:val="center"/>
                </w:tcPr>
                <w:p w14:paraId="7427A7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r>
                    <w:rPr>
                      <w:rFonts w:hint="eastAsia" w:cs="Times New Roman"/>
                      <w:bCs/>
                      <w:snapToGrid w:val="0"/>
                      <w:color w:val="auto"/>
                      <w:spacing w:val="0"/>
                      <w:w w:val="100"/>
                      <w:kern w:val="0"/>
                      <w:position w:val="0"/>
                      <w:sz w:val="21"/>
                      <w:szCs w:val="21"/>
                      <w:highlight w:val="none"/>
                      <w:lang w:val="en-US" w:eastAsia="zh-CN"/>
                    </w:rPr>
                    <w:t>60</w:t>
                  </w:r>
                </w:p>
              </w:tc>
              <w:tc>
                <w:tcPr>
                  <w:tcW w:w="1069" w:type="dxa"/>
                  <w:shd w:val="clear" w:color="auto" w:fill="auto"/>
                  <w:noWrap w:val="0"/>
                  <w:vAlign w:val="center"/>
                </w:tcPr>
                <w:p w14:paraId="0BF2B6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snapToGrid w:val="0"/>
                      <w:color w:val="auto"/>
                      <w:spacing w:val="0"/>
                      <w:w w:val="100"/>
                      <w:kern w:val="0"/>
                      <w:position w:val="0"/>
                      <w:sz w:val="21"/>
                      <w:szCs w:val="21"/>
                      <w:highlight w:val="none"/>
                      <w:lang w:val="en-US" w:eastAsia="zh-CN" w:bidi="ar-SA"/>
                    </w:rPr>
                  </w:pPr>
                  <w:r>
                    <w:rPr>
                      <w:rFonts w:hint="eastAsia" w:cs="Times New Roman"/>
                      <w:bCs/>
                      <w:snapToGrid w:val="0"/>
                      <w:color w:val="auto"/>
                      <w:spacing w:val="0"/>
                      <w:w w:val="100"/>
                      <w:kern w:val="0"/>
                      <w:position w:val="0"/>
                      <w:sz w:val="21"/>
                      <w:szCs w:val="21"/>
                      <w:highlight w:val="none"/>
                      <w:lang w:val="en-US" w:eastAsia="zh-CN"/>
                    </w:rPr>
                    <w:t>50</w:t>
                  </w:r>
                </w:p>
              </w:tc>
              <w:tc>
                <w:tcPr>
                  <w:tcW w:w="863" w:type="dxa"/>
                  <w:vMerge w:val="continue"/>
                  <w:noWrap w:val="0"/>
                  <w:vAlign w:val="center"/>
                </w:tcPr>
                <w:p w14:paraId="073260E8">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p>
              </w:tc>
              <w:tc>
                <w:tcPr>
                  <w:tcW w:w="1562" w:type="dxa"/>
                  <w:vMerge w:val="continue"/>
                  <w:noWrap w:val="0"/>
                  <w:vAlign w:val="center"/>
                </w:tcPr>
                <w:p w14:paraId="61585E9D">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p>
              </w:tc>
            </w:tr>
            <w:tr w14:paraId="7CC86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77" w:type="dxa"/>
                  <w:vMerge w:val="restart"/>
                  <w:noWrap w:val="0"/>
                  <w:vAlign w:val="center"/>
                </w:tcPr>
                <w:p w14:paraId="397EA08A">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snapToGrid w:val="0"/>
                      <w:color w:val="auto"/>
                      <w:spacing w:val="0"/>
                      <w:w w:val="100"/>
                      <w:kern w:val="0"/>
                      <w:position w:val="0"/>
                      <w:sz w:val="21"/>
                      <w:szCs w:val="21"/>
                      <w:highlight w:val="none"/>
                      <w:lang w:eastAsia="zh-CN"/>
                    </w:rPr>
                  </w:pPr>
                  <w:r>
                    <w:rPr>
                      <w:rFonts w:hint="eastAsia" w:ascii="Times New Roman" w:hAnsi="Times New Roman" w:cs="Times New Roman"/>
                      <w:bCs/>
                      <w:snapToGrid w:val="0"/>
                      <w:color w:val="auto"/>
                      <w:spacing w:val="0"/>
                      <w:w w:val="100"/>
                      <w:kern w:val="0"/>
                      <w:position w:val="0"/>
                      <w:sz w:val="21"/>
                      <w:szCs w:val="21"/>
                      <w:highlight w:val="none"/>
                      <w:lang w:val="en-US" w:eastAsia="zh-CN"/>
                    </w:rPr>
                    <w:t>5</w:t>
                  </w:r>
                </w:p>
              </w:tc>
              <w:tc>
                <w:tcPr>
                  <w:tcW w:w="863" w:type="dxa"/>
                  <w:vMerge w:val="restart"/>
                  <w:noWrap w:val="0"/>
                  <w:vAlign w:val="center"/>
                </w:tcPr>
                <w:p w14:paraId="6D6162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r>
                    <w:rPr>
                      <w:rFonts w:hint="default" w:ascii="Times New Roman" w:hAnsi="Times New Roman" w:cs="Times New Roman"/>
                      <w:bCs/>
                      <w:snapToGrid w:val="0"/>
                      <w:color w:val="auto"/>
                      <w:spacing w:val="0"/>
                      <w:w w:val="100"/>
                      <w:kern w:val="0"/>
                      <w:position w:val="0"/>
                      <w:sz w:val="21"/>
                      <w:szCs w:val="21"/>
                      <w:highlight w:val="none"/>
                    </w:rPr>
                    <w:t>CO</w:t>
                  </w:r>
                </w:p>
              </w:tc>
              <w:tc>
                <w:tcPr>
                  <w:tcW w:w="1931" w:type="dxa"/>
                  <w:noWrap w:val="0"/>
                  <w:vAlign w:val="center"/>
                </w:tcPr>
                <w:p w14:paraId="1ECBC267">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r>
                    <w:rPr>
                      <w:rFonts w:hint="default" w:ascii="Times New Roman" w:hAnsi="Times New Roman" w:cs="Times New Roman"/>
                      <w:bCs/>
                      <w:snapToGrid w:val="0"/>
                      <w:color w:val="auto"/>
                      <w:spacing w:val="0"/>
                      <w:w w:val="100"/>
                      <w:kern w:val="0"/>
                      <w:position w:val="0"/>
                      <w:sz w:val="21"/>
                      <w:szCs w:val="21"/>
                      <w:highlight w:val="none"/>
                    </w:rPr>
                    <w:t>24小时平均</w:t>
                  </w:r>
                </w:p>
              </w:tc>
              <w:tc>
                <w:tcPr>
                  <w:tcW w:w="1162" w:type="dxa"/>
                  <w:noWrap w:val="0"/>
                  <w:vAlign w:val="center"/>
                </w:tcPr>
                <w:p w14:paraId="4A908831">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r>
                    <w:rPr>
                      <w:rFonts w:hint="default" w:ascii="Times New Roman" w:hAnsi="Times New Roman" w:cs="Times New Roman"/>
                      <w:bCs/>
                      <w:snapToGrid w:val="0"/>
                      <w:color w:val="auto"/>
                      <w:spacing w:val="0"/>
                      <w:w w:val="100"/>
                      <w:kern w:val="0"/>
                      <w:position w:val="0"/>
                      <w:sz w:val="21"/>
                      <w:szCs w:val="21"/>
                      <w:highlight w:val="none"/>
                    </w:rPr>
                    <w:t>4</w:t>
                  </w:r>
                </w:p>
              </w:tc>
              <w:tc>
                <w:tcPr>
                  <w:tcW w:w="1069" w:type="dxa"/>
                  <w:shd w:val="clear" w:color="auto" w:fill="auto"/>
                  <w:noWrap w:val="0"/>
                  <w:vAlign w:val="center"/>
                </w:tcPr>
                <w:p w14:paraId="5F3346DF">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napToGrid w:val="0"/>
                      <w:color w:val="auto"/>
                      <w:spacing w:val="0"/>
                      <w:w w:val="100"/>
                      <w:kern w:val="0"/>
                      <w:position w:val="0"/>
                      <w:sz w:val="21"/>
                      <w:szCs w:val="21"/>
                      <w:highlight w:val="none"/>
                      <w:lang w:val="en-US" w:eastAsia="zh-CN" w:bidi="ar-SA"/>
                    </w:rPr>
                  </w:pPr>
                  <w:r>
                    <w:rPr>
                      <w:rFonts w:hint="default" w:ascii="Times New Roman" w:hAnsi="Times New Roman" w:cs="Times New Roman"/>
                      <w:bCs/>
                      <w:snapToGrid w:val="0"/>
                      <w:color w:val="auto"/>
                      <w:spacing w:val="0"/>
                      <w:w w:val="100"/>
                      <w:kern w:val="0"/>
                      <w:position w:val="0"/>
                      <w:sz w:val="21"/>
                      <w:szCs w:val="21"/>
                      <w:highlight w:val="none"/>
                    </w:rPr>
                    <w:t>4</w:t>
                  </w:r>
                </w:p>
              </w:tc>
              <w:tc>
                <w:tcPr>
                  <w:tcW w:w="863" w:type="dxa"/>
                  <w:vMerge w:val="restart"/>
                  <w:noWrap w:val="0"/>
                  <w:vAlign w:val="center"/>
                </w:tcPr>
                <w:p w14:paraId="6FBFD435">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r>
                    <w:rPr>
                      <w:rFonts w:hint="default" w:ascii="Times New Roman" w:hAnsi="Times New Roman" w:cs="Times New Roman"/>
                      <w:bCs/>
                      <w:snapToGrid w:val="0"/>
                      <w:color w:val="auto"/>
                      <w:spacing w:val="0"/>
                      <w:w w:val="100"/>
                      <w:kern w:val="0"/>
                      <w:position w:val="0"/>
                      <w:sz w:val="21"/>
                      <w:szCs w:val="21"/>
                      <w:highlight w:val="none"/>
                    </w:rPr>
                    <w:t>mg/m</w:t>
                  </w:r>
                  <w:r>
                    <w:rPr>
                      <w:rFonts w:hint="default" w:ascii="Times New Roman" w:hAnsi="Times New Roman" w:cs="Times New Roman"/>
                      <w:bCs/>
                      <w:snapToGrid w:val="0"/>
                      <w:color w:val="auto"/>
                      <w:spacing w:val="0"/>
                      <w:w w:val="100"/>
                      <w:kern w:val="0"/>
                      <w:position w:val="0"/>
                      <w:sz w:val="21"/>
                      <w:szCs w:val="21"/>
                      <w:highlight w:val="none"/>
                      <w:vertAlign w:val="superscript"/>
                    </w:rPr>
                    <w:t>3</w:t>
                  </w:r>
                </w:p>
              </w:tc>
              <w:tc>
                <w:tcPr>
                  <w:tcW w:w="1562" w:type="dxa"/>
                  <w:vMerge w:val="continue"/>
                  <w:noWrap w:val="0"/>
                  <w:vAlign w:val="center"/>
                </w:tcPr>
                <w:p w14:paraId="01E9A0B9">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p>
              </w:tc>
            </w:tr>
            <w:tr w14:paraId="76F47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77" w:type="dxa"/>
                  <w:vMerge w:val="continue"/>
                  <w:noWrap w:val="0"/>
                  <w:vAlign w:val="center"/>
                </w:tcPr>
                <w:p w14:paraId="6CFB538D">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p>
              </w:tc>
              <w:tc>
                <w:tcPr>
                  <w:tcW w:w="863" w:type="dxa"/>
                  <w:vMerge w:val="continue"/>
                  <w:noWrap w:val="0"/>
                  <w:vAlign w:val="center"/>
                </w:tcPr>
                <w:p w14:paraId="05586E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p>
              </w:tc>
              <w:tc>
                <w:tcPr>
                  <w:tcW w:w="1931" w:type="dxa"/>
                  <w:noWrap w:val="0"/>
                  <w:vAlign w:val="center"/>
                </w:tcPr>
                <w:p w14:paraId="3E4C20B7">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r>
                    <w:rPr>
                      <w:rFonts w:hint="default" w:ascii="Times New Roman" w:hAnsi="Times New Roman" w:cs="Times New Roman"/>
                      <w:bCs/>
                      <w:snapToGrid w:val="0"/>
                      <w:color w:val="auto"/>
                      <w:spacing w:val="0"/>
                      <w:w w:val="100"/>
                      <w:kern w:val="0"/>
                      <w:position w:val="0"/>
                      <w:sz w:val="21"/>
                      <w:szCs w:val="21"/>
                      <w:highlight w:val="none"/>
                    </w:rPr>
                    <w:t>1小时平均</w:t>
                  </w:r>
                </w:p>
              </w:tc>
              <w:tc>
                <w:tcPr>
                  <w:tcW w:w="1162" w:type="dxa"/>
                  <w:noWrap w:val="0"/>
                  <w:vAlign w:val="center"/>
                </w:tcPr>
                <w:p w14:paraId="6E06B7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r>
                    <w:rPr>
                      <w:rFonts w:hint="default" w:ascii="Times New Roman" w:hAnsi="Times New Roman" w:cs="Times New Roman"/>
                      <w:bCs/>
                      <w:snapToGrid w:val="0"/>
                      <w:color w:val="auto"/>
                      <w:spacing w:val="0"/>
                      <w:w w:val="100"/>
                      <w:kern w:val="0"/>
                      <w:position w:val="0"/>
                      <w:sz w:val="21"/>
                      <w:szCs w:val="21"/>
                      <w:highlight w:val="none"/>
                    </w:rPr>
                    <w:t>10</w:t>
                  </w:r>
                </w:p>
              </w:tc>
              <w:tc>
                <w:tcPr>
                  <w:tcW w:w="1069" w:type="dxa"/>
                  <w:shd w:val="clear" w:color="auto" w:fill="auto"/>
                  <w:noWrap w:val="0"/>
                  <w:vAlign w:val="center"/>
                </w:tcPr>
                <w:p w14:paraId="4234EA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napToGrid w:val="0"/>
                      <w:color w:val="auto"/>
                      <w:spacing w:val="0"/>
                      <w:w w:val="100"/>
                      <w:kern w:val="0"/>
                      <w:position w:val="0"/>
                      <w:sz w:val="21"/>
                      <w:szCs w:val="21"/>
                      <w:highlight w:val="none"/>
                      <w:lang w:val="en-US" w:eastAsia="zh-CN" w:bidi="ar-SA"/>
                    </w:rPr>
                  </w:pPr>
                  <w:r>
                    <w:rPr>
                      <w:rFonts w:hint="default" w:ascii="Times New Roman" w:hAnsi="Times New Roman" w:cs="Times New Roman"/>
                      <w:bCs/>
                      <w:snapToGrid w:val="0"/>
                      <w:color w:val="auto"/>
                      <w:spacing w:val="0"/>
                      <w:w w:val="100"/>
                      <w:kern w:val="0"/>
                      <w:position w:val="0"/>
                      <w:sz w:val="21"/>
                      <w:szCs w:val="21"/>
                      <w:highlight w:val="none"/>
                    </w:rPr>
                    <w:t>10</w:t>
                  </w:r>
                </w:p>
              </w:tc>
              <w:tc>
                <w:tcPr>
                  <w:tcW w:w="863" w:type="dxa"/>
                  <w:vMerge w:val="continue"/>
                  <w:noWrap w:val="0"/>
                  <w:vAlign w:val="center"/>
                </w:tcPr>
                <w:p w14:paraId="3B27B5B1">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p>
              </w:tc>
              <w:tc>
                <w:tcPr>
                  <w:tcW w:w="1562" w:type="dxa"/>
                  <w:vMerge w:val="continue"/>
                  <w:noWrap w:val="0"/>
                  <w:vAlign w:val="center"/>
                </w:tcPr>
                <w:p w14:paraId="0EA92623">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p>
              </w:tc>
            </w:tr>
            <w:tr w14:paraId="31E77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77" w:type="dxa"/>
                  <w:vMerge w:val="restart"/>
                  <w:noWrap w:val="0"/>
                  <w:vAlign w:val="center"/>
                </w:tcPr>
                <w:p w14:paraId="0F3ECD6E">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snapToGrid w:val="0"/>
                      <w:color w:val="auto"/>
                      <w:spacing w:val="0"/>
                      <w:w w:val="100"/>
                      <w:kern w:val="0"/>
                      <w:position w:val="0"/>
                      <w:sz w:val="21"/>
                      <w:szCs w:val="21"/>
                      <w:highlight w:val="none"/>
                      <w:lang w:val="en-US" w:eastAsia="zh-CN"/>
                    </w:rPr>
                  </w:pPr>
                  <w:r>
                    <w:rPr>
                      <w:rFonts w:hint="eastAsia" w:ascii="Times New Roman" w:hAnsi="Times New Roman" w:cs="Times New Roman"/>
                      <w:bCs/>
                      <w:snapToGrid w:val="0"/>
                      <w:color w:val="auto"/>
                      <w:spacing w:val="0"/>
                      <w:w w:val="100"/>
                      <w:kern w:val="0"/>
                      <w:position w:val="0"/>
                      <w:sz w:val="21"/>
                      <w:szCs w:val="21"/>
                      <w:highlight w:val="none"/>
                      <w:lang w:val="en-US" w:eastAsia="zh-CN"/>
                    </w:rPr>
                    <w:t>6</w:t>
                  </w:r>
                </w:p>
              </w:tc>
              <w:tc>
                <w:tcPr>
                  <w:tcW w:w="863" w:type="dxa"/>
                  <w:vMerge w:val="restart"/>
                  <w:noWrap w:val="0"/>
                  <w:vAlign w:val="center"/>
                </w:tcPr>
                <w:p w14:paraId="3086C5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r>
                    <w:rPr>
                      <w:color w:val="auto"/>
                      <w:sz w:val="21"/>
                      <w:szCs w:val="21"/>
                    </w:rPr>
                    <w:t>O</w:t>
                  </w:r>
                  <w:r>
                    <w:rPr>
                      <w:color w:val="auto"/>
                      <w:sz w:val="21"/>
                      <w:szCs w:val="21"/>
                      <w:vertAlign w:val="subscript"/>
                    </w:rPr>
                    <w:t>3</w:t>
                  </w:r>
                </w:p>
              </w:tc>
              <w:tc>
                <w:tcPr>
                  <w:tcW w:w="1931" w:type="dxa"/>
                  <w:noWrap w:val="0"/>
                  <w:vAlign w:val="center"/>
                </w:tcPr>
                <w:p w14:paraId="1E18E5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kern w:val="2"/>
                      <w:sz w:val="21"/>
                      <w:szCs w:val="21"/>
                      <w:lang w:val="en-US" w:eastAsia="zh-CN" w:bidi="ar-SA"/>
                    </w:rPr>
                  </w:pPr>
                  <w:r>
                    <w:rPr>
                      <w:color w:val="auto"/>
                      <w:sz w:val="21"/>
                      <w:szCs w:val="21"/>
                    </w:rPr>
                    <w:t>日最大8小时平均</w:t>
                  </w:r>
                </w:p>
              </w:tc>
              <w:tc>
                <w:tcPr>
                  <w:tcW w:w="1162" w:type="dxa"/>
                  <w:noWrap w:val="0"/>
                  <w:vAlign w:val="center"/>
                </w:tcPr>
                <w:p w14:paraId="01F37A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r>
                    <w:rPr>
                      <w:color w:val="auto"/>
                      <w:kern w:val="0"/>
                      <w:sz w:val="21"/>
                      <w:szCs w:val="21"/>
                    </w:rPr>
                    <w:t>160</w:t>
                  </w:r>
                </w:p>
              </w:tc>
              <w:tc>
                <w:tcPr>
                  <w:tcW w:w="1069" w:type="dxa"/>
                  <w:shd w:val="clear" w:color="auto" w:fill="auto"/>
                  <w:noWrap w:val="0"/>
                  <w:vAlign w:val="center"/>
                </w:tcPr>
                <w:p w14:paraId="7D9EB4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napToGrid w:val="0"/>
                      <w:color w:val="auto"/>
                      <w:spacing w:val="0"/>
                      <w:w w:val="100"/>
                      <w:kern w:val="0"/>
                      <w:position w:val="0"/>
                      <w:sz w:val="21"/>
                      <w:szCs w:val="21"/>
                      <w:highlight w:val="none"/>
                      <w:lang w:val="en-US" w:eastAsia="zh-CN" w:bidi="ar-SA"/>
                    </w:rPr>
                  </w:pPr>
                  <w:r>
                    <w:rPr>
                      <w:color w:val="auto"/>
                      <w:kern w:val="0"/>
                      <w:sz w:val="21"/>
                      <w:szCs w:val="21"/>
                    </w:rPr>
                    <w:t>160</w:t>
                  </w:r>
                </w:p>
              </w:tc>
              <w:tc>
                <w:tcPr>
                  <w:tcW w:w="863" w:type="dxa"/>
                  <w:vMerge w:val="restart"/>
                  <w:noWrap w:val="0"/>
                  <w:vAlign w:val="center"/>
                </w:tcPr>
                <w:p w14:paraId="7EEC8541">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r>
                    <w:rPr>
                      <w:rFonts w:hint="default" w:ascii="Times New Roman" w:hAnsi="Times New Roman" w:cs="Times New Roman"/>
                      <w:bCs/>
                      <w:snapToGrid w:val="0"/>
                      <w:color w:val="auto"/>
                      <w:spacing w:val="0"/>
                      <w:w w:val="100"/>
                      <w:kern w:val="0"/>
                      <w:position w:val="0"/>
                      <w:sz w:val="21"/>
                      <w:szCs w:val="21"/>
                      <w:highlight w:val="none"/>
                    </w:rPr>
                    <w:t>μg/m</w:t>
                  </w:r>
                  <w:r>
                    <w:rPr>
                      <w:rFonts w:hint="default" w:ascii="Times New Roman" w:hAnsi="Times New Roman" w:cs="Times New Roman"/>
                      <w:bCs/>
                      <w:snapToGrid w:val="0"/>
                      <w:color w:val="auto"/>
                      <w:spacing w:val="0"/>
                      <w:w w:val="100"/>
                      <w:kern w:val="0"/>
                      <w:position w:val="0"/>
                      <w:sz w:val="21"/>
                      <w:szCs w:val="21"/>
                      <w:highlight w:val="none"/>
                      <w:vertAlign w:val="superscript"/>
                    </w:rPr>
                    <w:t>3</w:t>
                  </w:r>
                </w:p>
              </w:tc>
              <w:tc>
                <w:tcPr>
                  <w:tcW w:w="1562" w:type="dxa"/>
                  <w:vMerge w:val="continue"/>
                  <w:noWrap w:val="0"/>
                  <w:vAlign w:val="center"/>
                </w:tcPr>
                <w:p w14:paraId="2771A6C8">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p>
              </w:tc>
            </w:tr>
            <w:tr w14:paraId="3DB88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577" w:type="dxa"/>
                  <w:vMerge w:val="continue"/>
                  <w:noWrap w:val="0"/>
                  <w:vAlign w:val="center"/>
                </w:tcPr>
                <w:p w14:paraId="074BC9AA">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p>
              </w:tc>
              <w:tc>
                <w:tcPr>
                  <w:tcW w:w="863" w:type="dxa"/>
                  <w:vMerge w:val="continue"/>
                  <w:noWrap w:val="0"/>
                  <w:vAlign w:val="center"/>
                </w:tcPr>
                <w:p w14:paraId="0E07F5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p>
              </w:tc>
              <w:tc>
                <w:tcPr>
                  <w:tcW w:w="1931" w:type="dxa"/>
                  <w:noWrap w:val="0"/>
                  <w:vAlign w:val="center"/>
                </w:tcPr>
                <w:p w14:paraId="5748B8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kern w:val="2"/>
                      <w:sz w:val="21"/>
                      <w:szCs w:val="21"/>
                      <w:lang w:val="en-US" w:eastAsia="zh-CN" w:bidi="ar-SA"/>
                    </w:rPr>
                  </w:pPr>
                  <w:r>
                    <w:rPr>
                      <w:color w:val="auto"/>
                      <w:sz w:val="21"/>
                      <w:szCs w:val="21"/>
                    </w:rPr>
                    <w:t>1小时平均</w:t>
                  </w:r>
                </w:p>
              </w:tc>
              <w:tc>
                <w:tcPr>
                  <w:tcW w:w="1162" w:type="dxa"/>
                  <w:noWrap w:val="0"/>
                  <w:vAlign w:val="center"/>
                </w:tcPr>
                <w:p w14:paraId="5B6690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r>
                    <w:rPr>
                      <w:color w:val="auto"/>
                      <w:kern w:val="0"/>
                      <w:sz w:val="21"/>
                      <w:szCs w:val="21"/>
                    </w:rPr>
                    <w:t>200</w:t>
                  </w:r>
                </w:p>
              </w:tc>
              <w:tc>
                <w:tcPr>
                  <w:tcW w:w="1069" w:type="dxa"/>
                  <w:shd w:val="clear" w:color="auto" w:fill="auto"/>
                  <w:noWrap w:val="0"/>
                  <w:vAlign w:val="center"/>
                </w:tcPr>
                <w:p w14:paraId="0B8F69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napToGrid w:val="0"/>
                      <w:color w:val="auto"/>
                      <w:spacing w:val="0"/>
                      <w:w w:val="100"/>
                      <w:kern w:val="0"/>
                      <w:position w:val="0"/>
                      <w:sz w:val="21"/>
                      <w:szCs w:val="21"/>
                      <w:highlight w:val="none"/>
                      <w:lang w:val="en-US" w:eastAsia="zh-CN" w:bidi="ar-SA"/>
                    </w:rPr>
                  </w:pPr>
                  <w:r>
                    <w:rPr>
                      <w:color w:val="auto"/>
                      <w:kern w:val="0"/>
                      <w:sz w:val="21"/>
                      <w:szCs w:val="21"/>
                    </w:rPr>
                    <w:t>200</w:t>
                  </w:r>
                </w:p>
              </w:tc>
              <w:tc>
                <w:tcPr>
                  <w:tcW w:w="863" w:type="dxa"/>
                  <w:vMerge w:val="continue"/>
                  <w:noWrap w:val="0"/>
                  <w:vAlign w:val="center"/>
                </w:tcPr>
                <w:p w14:paraId="11ABB935">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p>
              </w:tc>
              <w:tc>
                <w:tcPr>
                  <w:tcW w:w="1562" w:type="dxa"/>
                  <w:vMerge w:val="continue"/>
                  <w:noWrap w:val="0"/>
                  <w:vAlign w:val="center"/>
                </w:tcPr>
                <w:p w14:paraId="67CBD2EA">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p>
              </w:tc>
            </w:tr>
          </w:tbl>
          <w:p w14:paraId="03E92D8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napToGrid w:val="0"/>
                <w:color w:val="auto"/>
                <w:spacing w:val="0"/>
                <w:w w:val="100"/>
                <w:kern w:val="0"/>
                <w:position w:val="0"/>
                <w:sz w:val="24"/>
                <w:szCs w:val="24"/>
                <w:highlight w:val="none"/>
              </w:rPr>
            </w:pPr>
            <w:r>
              <w:rPr>
                <w:rFonts w:hint="eastAsia" w:ascii="Times New Roman" w:hAnsi="Times New Roman" w:cs="Times New Roman"/>
                <w:snapToGrid w:val="0"/>
                <w:color w:val="auto"/>
                <w:spacing w:val="0"/>
                <w:w w:val="100"/>
                <w:kern w:val="0"/>
                <w:position w:val="0"/>
                <w:sz w:val="24"/>
                <w:szCs w:val="24"/>
                <w:highlight w:val="none"/>
                <w:lang w:eastAsia="zh-CN"/>
              </w:rPr>
              <w:t>（</w:t>
            </w:r>
            <w:r>
              <w:rPr>
                <w:rFonts w:hint="eastAsia" w:ascii="Times New Roman" w:hAnsi="Times New Roman" w:cs="Times New Roman"/>
                <w:snapToGrid w:val="0"/>
                <w:color w:val="auto"/>
                <w:spacing w:val="0"/>
                <w:w w:val="100"/>
                <w:kern w:val="0"/>
                <w:position w:val="0"/>
                <w:sz w:val="24"/>
                <w:szCs w:val="24"/>
                <w:highlight w:val="none"/>
                <w:lang w:val="en-US" w:eastAsia="zh-CN"/>
              </w:rPr>
              <w:t>2</w:t>
            </w:r>
            <w:r>
              <w:rPr>
                <w:rFonts w:hint="eastAsia" w:ascii="Times New Roman" w:hAnsi="Times New Roman" w:cs="Times New Roman"/>
                <w:snapToGrid w:val="0"/>
                <w:color w:val="auto"/>
                <w:spacing w:val="0"/>
                <w:w w:val="100"/>
                <w:kern w:val="0"/>
                <w:position w:val="0"/>
                <w:sz w:val="24"/>
                <w:szCs w:val="24"/>
                <w:highlight w:val="none"/>
                <w:lang w:eastAsia="zh-CN"/>
              </w:rPr>
              <w:t>）</w:t>
            </w:r>
            <w:r>
              <w:rPr>
                <w:rFonts w:hint="default" w:ascii="Times New Roman" w:hAnsi="Times New Roman" w:cs="Times New Roman"/>
                <w:snapToGrid w:val="0"/>
                <w:color w:val="auto"/>
                <w:spacing w:val="0"/>
                <w:w w:val="100"/>
                <w:kern w:val="0"/>
                <w:position w:val="0"/>
                <w:sz w:val="24"/>
                <w:szCs w:val="24"/>
                <w:highlight w:val="none"/>
              </w:rPr>
              <w:t>地表水环境质量标准</w:t>
            </w:r>
          </w:p>
          <w:p w14:paraId="512EB1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snapToGrid w:val="0"/>
                <w:color w:val="auto"/>
                <w:spacing w:val="0"/>
                <w:w w:val="100"/>
                <w:kern w:val="0"/>
                <w:position w:val="0"/>
                <w:sz w:val="24"/>
                <w:szCs w:val="24"/>
                <w:highlight w:val="none"/>
              </w:rPr>
            </w:pPr>
            <w:r>
              <w:rPr>
                <w:rFonts w:hint="eastAsia" w:cs="Times New Roman"/>
                <w:color w:val="auto"/>
                <w:sz w:val="24"/>
                <w:szCs w:val="24"/>
                <w:lang w:val="en-US" w:eastAsia="zh-CN"/>
              </w:rPr>
              <w:t>本项目所在流域为千河，千河执行</w:t>
            </w:r>
            <w:r>
              <w:rPr>
                <w:rFonts w:hint="default" w:ascii="Times New Roman" w:hAnsi="Times New Roman" w:cs="Times New Roman"/>
                <w:color w:val="auto"/>
                <w:sz w:val="24"/>
                <w:szCs w:val="24"/>
              </w:rPr>
              <w:t>《地表水环境质量标准》（GB3838-2002）</w:t>
            </w:r>
            <w:r>
              <w:rPr>
                <w:rFonts w:hint="default"/>
                <w:color w:val="auto"/>
                <w:lang w:val="en-US" w:eastAsia="zh-CN"/>
              </w:rPr>
              <w:t>Ⅲ</w:t>
            </w:r>
            <w:r>
              <w:rPr>
                <w:rFonts w:hint="default" w:ascii="Times New Roman" w:hAnsi="Times New Roman" w:cs="Times New Roman"/>
                <w:color w:val="auto"/>
                <w:sz w:val="24"/>
                <w:szCs w:val="24"/>
              </w:rPr>
              <w:t>类水域标准，</w:t>
            </w:r>
            <w:r>
              <w:rPr>
                <w:rFonts w:hint="eastAsia" w:cs="Times New Roman"/>
                <w:color w:val="auto"/>
                <w:sz w:val="24"/>
                <w:szCs w:val="24"/>
                <w:lang w:val="en-US" w:eastAsia="zh-CN"/>
              </w:rPr>
              <w:t>因此评价</w:t>
            </w:r>
            <w:r>
              <w:rPr>
                <w:rFonts w:hint="eastAsia" w:ascii="Times New Roman" w:hAnsi="Times New Roman" w:eastAsia="宋体" w:cs="Times New Roman"/>
                <w:color w:val="auto"/>
                <w:sz w:val="24"/>
                <w:szCs w:val="24"/>
                <w:lang w:val="en-US" w:eastAsia="zh-CN"/>
              </w:rPr>
              <w:t>区域地表水</w:t>
            </w:r>
            <w:r>
              <w:rPr>
                <w:rFonts w:hint="eastAsia" w:ascii="Times New Roman" w:hAnsi="Times New Roman" w:cs="Times New Roman"/>
                <w:color w:val="auto"/>
                <w:sz w:val="24"/>
                <w:szCs w:val="24"/>
                <w:lang w:val="en-US" w:eastAsia="zh-CN"/>
              </w:rPr>
              <w:t>环境</w:t>
            </w:r>
            <w:r>
              <w:rPr>
                <w:rFonts w:hint="default" w:ascii="Times New Roman" w:hAnsi="Times New Roman" w:cs="Times New Roman"/>
                <w:color w:val="auto"/>
                <w:sz w:val="24"/>
                <w:szCs w:val="24"/>
              </w:rPr>
              <w:t>执行《地表水环境质量标准》（GB3838-2002）</w:t>
            </w:r>
            <w:r>
              <w:rPr>
                <w:rFonts w:hint="default"/>
                <w:color w:val="auto"/>
                <w:lang w:val="en-US" w:eastAsia="zh-CN"/>
              </w:rPr>
              <w:t>Ⅲ</w:t>
            </w:r>
            <w:r>
              <w:rPr>
                <w:rFonts w:hint="default" w:ascii="Times New Roman" w:hAnsi="Times New Roman" w:cs="Times New Roman"/>
                <w:color w:val="auto"/>
                <w:sz w:val="24"/>
                <w:szCs w:val="24"/>
              </w:rPr>
              <w:t>类水域标准，</w:t>
            </w:r>
            <w:r>
              <w:rPr>
                <w:rFonts w:hint="default" w:ascii="Times New Roman" w:hAnsi="Times New Roman" w:cs="Times New Roman"/>
                <w:snapToGrid w:val="0"/>
                <w:color w:val="auto"/>
                <w:spacing w:val="0"/>
                <w:w w:val="100"/>
                <w:kern w:val="0"/>
                <w:position w:val="0"/>
                <w:sz w:val="24"/>
                <w:szCs w:val="24"/>
                <w:highlight w:val="none"/>
              </w:rPr>
              <w:t>具体</w:t>
            </w:r>
            <w:r>
              <w:rPr>
                <w:rFonts w:hint="eastAsia" w:ascii="Times New Roman" w:hAnsi="Times New Roman" w:cs="Times New Roman"/>
                <w:snapToGrid w:val="0"/>
                <w:color w:val="auto"/>
                <w:spacing w:val="0"/>
                <w:w w:val="100"/>
                <w:kern w:val="0"/>
                <w:position w:val="0"/>
                <w:sz w:val="24"/>
                <w:szCs w:val="24"/>
                <w:highlight w:val="none"/>
                <w:lang w:val="en-US" w:eastAsia="zh-CN"/>
              </w:rPr>
              <w:t>标准限值</w:t>
            </w:r>
            <w:r>
              <w:rPr>
                <w:rFonts w:hint="default" w:ascii="Times New Roman" w:hAnsi="Times New Roman" w:cs="Times New Roman"/>
                <w:snapToGrid w:val="0"/>
                <w:color w:val="auto"/>
                <w:spacing w:val="0"/>
                <w:w w:val="100"/>
                <w:kern w:val="0"/>
                <w:position w:val="0"/>
                <w:sz w:val="24"/>
                <w:szCs w:val="24"/>
                <w:highlight w:val="none"/>
              </w:rPr>
              <w:t>见表</w:t>
            </w:r>
            <w:r>
              <w:rPr>
                <w:rFonts w:hint="eastAsia" w:ascii="Times New Roman" w:hAnsi="Times New Roman" w:cs="Times New Roman"/>
                <w:snapToGrid w:val="0"/>
                <w:color w:val="auto"/>
                <w:spacing w:val="0"/>
                <w:w w:val="100"/>
                <w:kern w:val="0"/>
                <w:position w:val="0"/>
                <w:sz w:val="24"/>
                <w:szCs w:val="24"/>
                <w:highlight w:val="none"/>
                <w:lang w:val="en-US" w:eastAsia="zh-CN"/>
              </w:rPr>
              <w:t>3-</w:t>
            </w:r>
            <w:r>
              <w:rPr>
                <w:rFonts w:hint="eastAsia" w:cs="Times New Roman"/>
                <w:snapToGrid w:val="0"/>
                <w:color w:val="auto"/>
                <w:spacing w:val="0"/>
                <w:w w:val="100"/>
                <w:kern w:val="0"/>
                <w:position w:val="0"/>
                <w:sz w:val="24"/>
                <w:szCs w:val="24"/>
                <w:highlight w:val="none"/>
                <w:lang w:val="en-US" w:eastAsia="zh-CN"/>
              </w:rPr>
              <w:t>8</w:t>
            </w:r>
            <w:r>
              <w:rPr>
                <w:rFonts w:hint="default" w:ascii="Times New Roman" w:hAnsi="Times New Roman" w:cs="Times New Roman"/>
                <w:snapToGrid w:val="0"/>
                <w:color w:val="auto"/>
                <w:spacing w:val="0"/>
                <w:w w:val="100"/>
                <w:kern w:val="0"/>
                <w:position w:val="0"/>
                <w:sz w:val="24"/>
                <w:szCs w:val="24"/>
                <w:highlight w:val="none"/>
              </w:rPr>
              <w:t>。</w:t>
            </w:r>
          </w:p>
          <w:p w14:paraId="326CA47F">
            <w:pPr>
              <w:spacing w:line="240" w:lineRule="auto"/>
              <w:jc w:val="center"/>
              <w:rPr>
                <w:rFonts w:hint="default" w:ascii="Times New Roman" w:hAnsi="Times New Roman" w:cs="Times New Roman"/>
                <w:b/>
                <w:snapToGrid w:val="0"/>
                <w:color w:val="auto"/>
                <w:spacing w:val="0"/>
                <w:w w:val="100"/>
                <w:kern w:val="0"/>
                <w:position w:val="0"/>
                <w:sz w:val="21"/>
                <w:szCs w:val="21"/>
                <w:highlight w:val="none"/>
              </w:rPr>
            </w:pPr>
            <w:r>
              <w:rPr>
                <w:rFonts w:hint="default" w:ascii="Times New Roman" w:hAnsi="Times New Roman" w:cs="Times New Roman"/>
                <w:b/>
                <w:snapToGrid w:val="0"/>
                <w:color w:val="auto"/>
                <w:spacing w:val="0"/>
                <w:w w:val="100"/>
                <w:kern w:val="0"/>
                <w:position w:val="0"/>
                <w:sz w:val="21"/>
                <w:szCs w:val="21"/>
                <w:highlight w:val="none"/>
              </w:rPr>
              <w:t>表</w:t>
            </w:r>
            <w:r>
              <w:rPr>
                <w:rFonts w:hint="eastAsia" w:ascii="Times New Roman" w:hAnsi="Times New Roman" w:cs="Times New Roman"/>
                <w:b/>
                <w:snapToGrid w:val="0"/>
                <w:color w:val="auto"/>
                <w:spacing w:val="0"/>
                <w:w w:val="100"/>
                <w:kern w:val="0"/>
                <w:position w:val="0"/>
                <w:sz w:val="21"/>
                <w:szCs w:val="21"/>
                <w:highlight w:val="none"/>
                <w:lang w:val="en-US" w:eastAsia="zh-CN"/>
              </w:rPr>
              <w:t>3-</w:t>
            </w:r>
            <w:r>
              <w:rPr>
                <w:rFonts w:hint="eastAsia" w:cs="Times New Roman"/>
                <w:b/>
                <w:snapToGrid w:val="0"/>
                <w:color w:val="auto"/>
                <w:spacing w:val="0"/>
                <w:w w:val="100"/>
                <w:kern w:val="0"/>
                <w:position w:val="0"/>
                <w:sz w:val="21"/>
                <w:szCs w:val="21"/>
                <w:highlight w:val="none"/>
                <w:lang w:val="en-US" w:eastAsia="zh-CN"/>
              </w:rPr>
              <w:t>8</w:t>
            </w:r>
            <w:r>
              <w:rPr>
                <w:rFonts w:hint="default" w:ascii="Times New Roman" w:hAnsi="Times New Roman" w:cs="Times New Roman"/>
                <w:b/>
                <w:snapToGrid w:val="0"/>
                <w:color w:val="auto"/>
                <w:spacing w:val="0"/>
                <w:w w:val="100"/>
                <w:kern w:val="0"/>
                <w:position w:val="0"/>
                <w:sz w:val="21"/>
                <w:szCs w:val="21"/>
                <w:highlight w:val="none"/>
              </w:rPr>
              <w:t xml:space="preserve"> </w:t>
            </w:r>
            <w:r>
              <w:rPr>
                <w:rFonts w:hint="eastAsia" w:ascii="Times New Roman" w:hAnsi="Times New Roman" w:cs="Times New Roman"/>
                <w:b/>
                <w:snapToGrid w:val="0"/>
                <w:color w:val="auto"/>
                <w:spacing w:val="0"/>
                <w:w w:val="100"/>
                <w:kern w:val="0"/>
                <w:position w:val="0"/>
                <w:sz w:val="21"/>
                <w:szCs w:val="21"/>
                <w:highlight w:val="none"/>
                <w:lang w:val="en-US" w:eastAsia="zh-CN"/>
              </w:rPr>
              <w:t xml:space="preserve"> </w:t>
            </w:r>
            <w:r>
              <w:rPr>
                <w:rFonts w:hint="default" w:ascii="Times New Roman" w:hAnsi="Times New Roman" w:cs="Times New Roman"/>
                <w:b/>
                <w:snapToGrid w:val="0"/>
                <w:color w:val="auto"/>
                <w:spacing w:val="0"/>
                <w:w w:val="100"/>
                <w:kern w:val="0"/>
                <w:position w:val="0"/>
                <w:sz w:val="21"/>
                <w:szCs w:val="21"/>
                <w:highlight w:val="none"/>
              </w:rPr>
              <w:t xml:space="preserve">地表水环境质量标准  </w:t>
            </w:r>
            <w:r>
              <w:rPr>
                <w:rFonts w:hint="eastAsia" w:ascii="Times New Roman" w:hAnsi="Times New Roman" w:cs="Times New Roman"/>
                <w:b/>
                <w:snapToGrid w:val="0"/>
                <w:color w:val="auto"/>
                <w:spacing w:val="0"/>
                <w:w w:val="100"/>
                <w:kern w:val="0"/>
                <w:position w:val="0"/>
                <w:sz w:val="21"/>
                <w:szCs w:val="21"/>
                <w:highlight w:val="none"/>
                <w:lang w:val="en-US" w:eastAsia="zh-CN"/>
              </w:rPr>
              <w:t xml:space="preserve">     </w:t>
            </w:r>
            <w:r>
              <w:rPr>
                <w:rFonts w:hint="default" w:ascii="Times New Roman" w:hAnsi="Times New Roman" w:cs="Times New Roman"/>
                <w:b/>
                <w:snapToGrid w:val="0"/>
                <w:color w:val="auto"/>
                <w:spacing w:val="0"/>
                <w:w w:val="100"/>
                <w:kern w:val="0"/>
                <w:position w:val="0"/>
                <w:sz w:val="21"/>
                <w:szCs w:val="21"/>
                <w:highlight w:val="none"/>
              </w:rPr>
              <w:t>单位：mg/L</w:t>
            </w:r>
          </w:p>
          <w:tbl>
            <w:tblPr>
              <w:tblStyle w:val="16"/>
              <w:tblW w:w="8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2"/>
              <w:gridCol w:w="3869"/>
              <w:gridCol w:w="2668"/>
            </w:tblGrid>
            <w:tr w14:paraId="4B1D4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502" w:type="dxa"/>
                  <w:noWrap w:val="0"/>
                  <w:vAlign w:val="center"/>
                </w:tcPr>
                <w:p w14:paraId="5F9CFFA5">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val="0"/>
                      <w:snapToGrid w:val="0"/>
                      <w:color w:val="auto"/>
                      <w:spacing w:val="0"/>
                      <w:w w:val="100"/>
                      <w:kern w:val="0"/>
                      <w:position w:val="0"/>
                      <w:sz w:val="21"/>
                      <w:szCs w:val="21"/>
                      <w:highlight w:val="none"/>
                    </w:rPr>
                  </w:pPr>
                  <w:r>
                    <w:rPr>
                      <w:rFonts w:hint="default" w:ascii="Times New Roman" w:hAnsi="Times New Roman" w:cs="Times New Roman"/>
                      <w:b/>
                      <w:bCs w:val="0"/>
                      <w:snapToGrid w:val="0"/>
                      <w:color w:val="auto"/>
                      <w:spacing w:val="0"/>
                      <w:w w:val="100"/>
                      <w:kern w:val="0"/>
                      <w:position w:val="0"/>
                      <w:sz w:val="21"/>
                      <w:szCs w:val="21"/>
                      <w:highlight w:val="none"/>
                    </w:rPr>
                    <w:t>序号</w:t>
                  </w:r>
                </w:p>
              </w:tc>
              <w:tc>
                <w:tcPr>
                  <w:tcW w:w="3869" w:type="dxa"/>
                  <w:noWrap w:val="0"/>
                  <w:vAlign w:val="center"/>
                </w:tcPr>
                <w:p w14:paraId="5E29A52F">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val="0"/>
                      <w:snapToGrid w:val="0"/>
                      <w:color w:val="auto"/>
                      <w:spacing w:val="0"/>
                      <w:w w:val="100"/>
                      <w:kern w:val="0"/>
                      <w:position w:val="0"/>
                      <w:sz w:val="21"/>
                      <w:szCs w:val="21"/>
                      <w:highlight w:val="none"/>
                    </w:rPr>
                  </w:pPr>
                  <w:r>
                    <w:rPr>
                      <w:rFonts w:hint="default" w:ascii="Times New Roman" w:hAnsi="Times New Roman" w:cs="Times New Roman"/>
                      <w:b/>
                      <w:bCs w:val="0"/>
                      <w:snapToGrid w:val="0"/>
                      <w:color w:val="auto"/>
                      <w:spacing w:val="0"/>
                      <w:w w:val="100"/>
                      <w:kern w:val="0"/>
                      <w:position w:val="0"/>
                      <w:sz w:val="21"/>
                      <w:szCs w:val="21"/>
                      <w:highlight w:val="none"/>
                    </w:rPr>
                    <w:t>项目</w:t>
                  </w:r>
                </w:p>
              </w:tc>
              <w:tc>
                <w:tcPr>
                  <w:tcW w:w="2668" w:type="dxa"/>
                  <w:noWrap w:val="0"/>
                  <w:vAlign w:val="center"/>
                </w:tcPr>
                <w:p w14:paraId="24E2D8DE">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val="0"/>
                      <w:snapToGrid w:val="0"/>
                      <w:color w:val="auto"/>
                      <w:spacing w:val="0"/>
                      <w:w w:val="100"/>
                      <w:kern w:val="0"/>
                      <w:position w:val="0"/>
                      <w:sz w:val="21"/>
                      <w:szCs w:val="21"/>
                      <w:highlight w:val="none"/>
                    </w:rPr>
                  </w:pPr>
                  <w:r>
                    <w:rPr>
                      <w:rFonts w:hint="default"/>
                      <w:color w:val="auto"/>
                      <w:lang w:val="en-US" w:eastAsia="zh-CN"/>
                    </w:rPr>
                    <w:t>Ⅲ</w:t>
                  </w:r>
                  <w:r>
                    <w:rPr>
                      <w:rFonts w:hint="default" w:ascii="Times New Roman" w:hAnsi="Times New Roman" w:cs="Times New Roman"/>
                      <w:b/>
                      <w:bCs w:val="0"/>
                      <w:snapToGrid w:val="0"/>
                      <w:color w:val="auto"/>
                      <w:spacing w:val="0"/>
                      <w:w w:val="100"/>
                      <w:kern w:val="0"/>
                      <w:position w:val="0"/>
                      <w:sz w:val="21"/>
                      <w:szCs w:val="21"/>
                      <w:highlight w:val="none"/>
                    </w:rPr>
                    <w:t>类标准</w:t>
                  </w:r>
                </w:p>
              </w:tc>
            </w:tr>
            <w:tr w14:paraId="47418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502" w:type="dxa"/>
                  <w:noWrap w:val="0"/>
                  <w:vAlign w:val="center"/>
                </w:tcPr>
                <w:p w14:paraId="1ADCC9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r>
                    <w:rPr>
                      <w:rFonts w:hint="default" w:ascii="Times New Roman" w:hAnsi="Times New Roman" w:cs="Times New Roman"/>
                      <w:bCs/>
                      <w:snapToGrid w:val="0"/>
                      <w:color w:val="auto"/>
                      <w:spacing w:val="0"/>
                      <w:w w:val="100"/>
                      <w:kern w:val="0"/>
                      <w:position w:val="0"/>
                      <w:sz w:val="21"/>
                      <w:szCs w:val="21"/>
                      <w:highlight w:val="none"/>
                    </w:rPr>
                    <w:t>1</w:t>
                  </w:r>
                </w:p>
              </w:tc>
              <w:tc>
                <w:tcPr>
                  <w:tcW w:w="3869" w:type="dxa"/>
                  <w:noWrap w:val="0"/>
                  <w:vAlign w:val="center"/>
                </w:tcPr>
                <w:p w14:paraId="10C4BB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kern w:val="2"/>
                      <w:sz w:val="21"/>
                      <w:szCs w:val="21"/>
                      <w:lang w:val="en-US" w:eastAsia="zh-CN" w:bidi="ar-SA"/>
                    </w:rPr>
                  </w:pPr>
                  <w:r>
                    <w:rPr>
                      <w:color w:val="auto"/>
                      <w:sz w:val="21"/>
                      <w:szCs w:val="21"/>
                    </w:rPr>
                    <w:t>pH值</w:t>
                  </w:r>
                  <w:r>
                    <w:rPr>
                      <w:rFonts w:hint="eastAsia"/>
                      <w:color w:val="auto"/>
                      <w:sz w:val="21"/>
                      <w:szCs w:val="21"/>
                      <w:lang w:eastAsia="zh-CN"/>
                    </w:rPr>
                    <w:t>（</w:t>
                  </w:r>
                  <w:r>
                    <w:rPr>
                      <w:rFonts w:hint="eastAsia"/>
                      <w:color w:val="auto"/>
                      <w:sz w:val="21"/>
                      <w:szCs w:val="21"/>
                      <w:lang w:val="en-US" w:eastAsia="zh-CN"/>
                    </w:rPr>
                    <w:t>无量纲）</w:t>
                  </w:r>
                </w:p>
              </w:tc>
              <w:tc>
                <w:tcPr>
                  <w:tcW w:w="2668" w:type="dxa"/>
                  <w:noWrap w:val="0"/>
                  <w:vAlign w:val="center"/>
                </w:tcPr>
                <w:p w14:paraId="2BB87C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kern w:val="2"/>
                      <w:sz w:val="21"/>
                      <w:szCs w:val="21"/>
                      <w:lang w:val="en-US" w:eastAsia="zh-CN" w:bidi="ar-SA"/>
                    </w:rPr>
                  </w:pPr>
                  <w:r>
                    <w:rPr>
                      <w:color w:val="auto"/>
                      <w:sz w:val="21"/>
                      <w:szCs w:val="21"/>
                    </w:rPr>
                    <w:t>6～9</w:t>
                  </w:r>
                </w:p>
              </w:tc>
            </w:tr>
            <w:tr w14:paraId="4D1EC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502" w:type="dxa"/>
                  <w:noWrap w:val="0"/>
                  <w:vAlign w:val="center"/>
                </w:tcPr>
                <w:p w14:paraId="2A7211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val="0"/>
                      <w:color w:val="auto"/>
                      <w:spacing w:val="0"/>
                      <w:w w:val="100"/>
                      <w:kern w:val="0"/>
                      <w:position w:val="0"/>
                      <w:sz w:val="21"/>
                      <w:szCs w:val="21"/>
                      <w:highlight w:val="none"/>
                      <w:lang w:val="en-US" w:eastAsia="zh-CN" w:bidi="ar-SA"/>
                    </w:rPr>
                  </w:pPr>
                  <w:r>
                    <w:rPr>
                      <w:rFonts w:hint="default" w:ascii="Times New Roman" w:hAnsi="Times New Roman" w:cs="Times New Roman"/>
                      <w:snapToGrid w:val="0"/>
                      <w:color w:val="auto"/>
                      <w:spacing w:val="0"/>
                      <w:w w:val="100"/>
                      <w:kern w:val="0"/>
                      <w:position w:val="0"/>
                      <w:sz w:val="21"/>
                      <w:szCs w:val="21"/>
                      <w:highlight w:val="none"/>
                    </w:rPr>
                    <w:t>2</w:t>
                  </w:r>
                </w:p>
              </w:tc>
              <w:tc>
                <w:tcPr>
                  <w:tcW w:w="3869" w:type="dxa"/>
                  <w:noWrap w:val="0"/>
                  <w:vAlign w:val="center"/>
                </w:tcPr>
                <w:p w14:paraId="7DBB2D10">
                  <w:pPr>
                    <w:keepNext w:val="0"/>
                    <w:keepLines w:val="0"/>
                    <w:pageBreakBefore w:val="0"/>
                    <w:widowControl w:val="0"/>
                    <w:kinsoku/>
                    <w:wordWrap/>
                    <w:overflowPunct/>
                    <w:topLinePunct w:val="0"/>
                    <w:autoSpaceDE/>
                    <w:autoSpaceDN/>
                    <w:bidi w:val="0"/>
                    <w:adjustRightInd/>
                    <w:snapToGrid/>
                    <w:spacing w:line="240" w:lineRule="auto"/>
                    <w:jc w:val="center"/>
                    <w:rPr>
                      <w:rFonts w:hint="default"/>
                      <w:color w:val="auto"/>
                      <w:kern w:val="2"/>
                      <w:sz w:val="21"/>
                      <w:szCs w:val="21"/>
                      <w:lang w:val="en-US" w:eastAsia="zh-CN" w:bidi="ar-SA"/>
                    </w:rPr>
                  </w:pPr>
                  <w:r>
                    <w:rPr>
                      <w:rFonts w:hint="eastAsia"/>
                      <w:color w:val="auto"/>
                      <w:sz w:val="21"/>
                      <w:szCs w:val="21"/>
                      <w:lang w:val="en-US" w:eastAsia="zh-CN"/>
                    </w:rPr>
                    <w:t>溶解氧</w:t>
                  </w:r>
                </w:p>
              </w:tc>
              <w:tc>
                <w:tcPr>
                  <w:tcW w:w="2668" w:type="dxa"/>
                  <w:noWrap w:val="0"/>
                  <w:vAlign w:val="center"/>
                </w:tcPr>
                <w:p w14:paraId="6C95CF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5</w:t>
                  </w:r>
                </w:p>
              </w:tc>
            </w:tr>
            <w:tr w14:paraId="4D8F0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502" w:type="dxa"/>
                  <w:noWrap w:val="0"/>
                  <w:vAlign w:val="center"/>
                </w:tcPr>
                <w:p w14:paraId="4BA680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val="0"/>
                      <w:color w:val="auto"/>
                      <w:spacing w:val="0"/>
                      <w:w w:val="100"/>
                      <w:kern w:val="0"/>
                      <w:position w:val="0"/>
                      <w:sz w:val="21"/>
                      <w:szCs w:val="21"/>
                      <w:highlight w:val="none"/>
                      <w:lang w:val="en-US" w:eastAsia="zh-CN" w:bidi="ar-SA"/>
                    </w:rPr>
                  </w:pPr>
                  <w:r>
                    <w:rPr>
                      <w:rFonts w:hint="default" w:ascii="Times New Roman" w:hAnsi="Times New Roman" w:cs="Times New Roman"/>
                      <w:snapToGrid w:val="0"/>
                      <w:color w:val="auto"/>
                      <w:spacing w:val="0"/>
                      <w:w w:val="100"/>
                      <w:kern w:val="0"/>
                      <w:position w:val="0"/>
                      <w:sz w:val="21"/>
                      <w:szCs w:val="21"/>
                      <w:highlight w:val="none"/>
                    </w:rPr>
                    <w:t>3</w:t>
                  </w:r>
                </w:p>
              </w:tc>
              <w:tc>
                <w:tcPr>
                  <w:tcW w:w="3869" w:type="dxa"/>
                  <w:noWrap w:val="0"/>
                  <w:vAlign w:val="center"/>
                </w:tcPr>
                <w:p w14:paraId="5A2B2729">
                  <w:pPr>
                    <w:keepNext w:val="0"/>
                    <w:keepLines w:val="0"/>
                    <w:pageBreakBefore w:val="0"/>
                    <w:widowControl w:val="0"/>
                    <w:kinsoku/>
                    <w:wordWrap/>
                    <w:overflowPunct/>
                    <w:topLinePunct w:val="0"/>
                    <w:autoSpaceDE/>
                    <w:autoSpaceDN/>
                    <w:bidi w:val="0"/>
                    <w:adjustRightInd/>
                    <w:snapToGrid/>
                    <w:spacing w:line="240" w:lineRule="auto"/>
                    <w:jc w:val="center"/>
                    <w:rPr>
                      <w:rFonts w:hint="default"/>
                      <w:color w:val="auto"/>
                      <w:kern w:val="2"/>
                      <w:sz w:val="21"/>
                      <w:szCs w:val="21"/>
                      <w:lang w:val="en-US" w:eastAsia="zh-CN" w:bidi="ar-SA"/>
                    </w:rPr>
                  </w:pPr>
                  <w:r>
                    <w:rPr>
                      <w:color w:val="auto"/>
                      <w:sz w:val="21"/>
                      <w:szCs w:val="21"/>
                    </w:rPr>
                    <w:t>COD</w:t>
                  </w:r>
                </w:p>
              </w:tc>
              <w:tc>
                <w:tcPr>
                  <w:tcW w:w="2668" w:type="dxa"/>
                  <w:noWrap w:val="0"/>
                  <w:vAlign w:val="center"/>
                </w:tcPr>
                <w:p w14:paraId="1D2C53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kern w:val="2"/>
                      <w:sz w:val="21"/>
                      <w:szCs w:val="21"/>
                      <w:lang w:val="en-US" w:eastAsia="zh-CN" w:bidi="ar-SA"/>
                    </w:rPr>
                  </w:pPr>
                  <w:r>
                    <w:rPr>
                      <w:color w:val="auto"/>
                      <w:sz w:val="21"/>
                      <w:szCs w:val="21"/>
                    </w:rPr>
                    <w:t>≤</w:t>
                  </w:r>
                  <w:r>
                    <w:rPr>
                      <w:rFonts w:hint="eastAsia"/>
                      <w:color w:val="auto"/>
                      <w:sz w:val="21"/>
                      <w:szCs w:val="21"/>
                      <w:lang w:val="en-US" w:eastAsia="zh-CN"/>
                    </w:rPr>
                    <w:t>20</w:t>
                  </w:r>
                </w:p>
              </w:tc>
            </w:tr>
            <w:tr w14:paraId="430EC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502" w:type="dxa"/>
                  <w:noWrap w:val="0"/>
                  <w:vAlign w:val="center"/>
                </w:tcPr>
                <w:p w14:paraId="5D0298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napToGrid w:val="0"/>
                      <w:color w:val="auto"/>
                      <w:spacing w:val="0"/>
                      <w:w w:val="100"/>
                      <w:kern w:val="0"/>
                      <w:position w:val="0"/>
                      <w:sz w:val="21"/>
                      <w:szCs w:val="21"/>
                      <w:highlight w:val="none"/>
                      <w:lang w:val="en-US" w:eastAsia="zh-CN" w:bidi="ar-SA"/>
                    </w:rPr>
                  </w:pPr>
                  <w:r>
                    <w:rPr>
                      <w:rFonts w:hint="default" w:ascii="Times New Roman" w:hAnsi="Times New Roman" w:cs="Times New Roman"/>
                      <w:snapToGrid w:val="0"/>
                      <w:color w:val="auto"/>
                      <w:spacing w:val="0"/>
                      <w:w w:val="100"/>
                      <w:kern w:val="0"/>
                      <w:position w:val="0"/>
                      <w:sz w:val="21"/>
                      <w:szCs w:val="21"/>
                      <w:highlight w:val="none"/>
                    </w:rPr>
                    <w:t>4</w:t>
                  </w:r>
                </w:p>
              </w:tc>
              <w:tc>
                <w:tcPr>
                  <w:tcW w:w="3869" w:type="dxa"/>
                  <w:noWrap w:val="0"/>
                  <w:vAlign w:val="center"/>
                </w:tcPr>
                <w:p w14:paraId="239A441F">
                  <w:pPr>
                    <w:keepNext w:val="0"/>
                    <w:keepLines w:val="0"/>
                    <w:pageBreakBefore w:val="0"/>
                    <w:widowControl w:val="0"/>
                    <w:kinsoku/>
                    <w:wordWrap/>
                    <w:overflowPunct/>
                    <w:topLinePunct w:val="0"/>
                    <w:autoSpaceDE/>
                    <w:autoSpaceDN/>
                    <w:bidi w:val="0"/>
                    <w:adjustRightInd/>
                    <w:snapToGrid/>
                    <w:spacing w:line="240" w:lineRule="auto"/>
                    <w:jc w:val="center"/>
                    <w:rPr>
                      <w:rFonts w:hint="default"/>
                      <w:color w:val="auto"/>
                      <w:kern w:val="2"/>
                      <w:sz w:val="21"/>
                      <w:szCs w:val="21"/>
                      <w:lang w:val="en-US" w:eastAsia="zh-CN" w:bidi="ar-SA"/>
                    </w:rPr>
                  </w:pPr>
                  <w:r>
                    <w:rPr>
                      <w:color w:val="auto"/>
                      <w:sz w:val="21"/>
                      <w:szCs w:val="21"/>
                    </w:rPr>
                    <w:t>BOD</w:t>
                  </w:r>
                  <w:r>
                    <w:rPr>
                      <w:color w:val="auto"/>
                      <w:sz w:val="21"/>
                      <w:szCs w:val="21"/>
                      <w:vertAlign w:val="subscript"/>
                    </w:rPr>
                    <w:t>5</w:t>
                  </w:r>
                </w:p>
              </w:tc>
              <w:tc>
                <w:tcPr>
                  <w:tcW w:w="2668" w:type="dxa"/>
                  <w:noWrap w:val="0"/>
                  <w:vAlign w:val="center"/>
                </w:tcPr>
                <w:p w14:paraId="4EF9B4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kern w:val="2"/>
                      <w:sz w:val="21"/>
                      <w:szCs w:val="21"/>
                      <w:lang w:val="en-US" w:eastAsia="zh-CN" w:bidi="ar-SA"/>
                    </w:rPr>
                  </w:pPr>
                  <w:r>
                    <w:rPr>
                      <w:color w:val="auto"/>
                      <w:sz w:val="21"/>
                      <w:szCs w:val="21"/>
                    </w:rPr>
                    <w:t>≤</w:t>
                  </w:r>
                  <w:r>
                    <w:rPr>
                      <w:rFonts w:hint="eastAsia"/>
                      <w:color w:val="auto"/>
                      <w:sz w:val="21"/>
                      <w:szCs w:val="21"/>
                      <w:lang w:val="en-US" w:eastAsia="zh-CN"/>
                    </w:rPr>
                    <w:t>4</w:t>
                  </w:r>
                </w:p>
              </w:tc>
            </w:tr>
            <w:tr w14:paraId="6EA23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502" w:type="dxa"/>
                  <w:noWrap w:val="0"/>
                  <w:vAlign w:val="center"/>
                </w:tcPr>
                <w:p w14:paraId="1E1DA2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val="0"/>
                      <w:color w:val="auto"/>
                      <w:spacing w:val="0"/>
                      <w:w w:val="100"/>
                      <w:kern w:val="0"/>
                      <w:position w:val="0"/>
                      <w:sz w:val="21"/>
                      <w:szCs w:val="21"/>
                      <w:highlight w:val="none"/>
                      <w:lang w:val="en-US" w:eastAsia="zh-CN"/>
                    </w:rPr>
                  </w:pPr>
                  <w:r>
                    <w:rPr>
                      <w:rFonts w:hint="eastAsia" w:ascii="Times New Roman" w:hAnsi="Times New Roman" w:cs="Times New Roman"/>
                      <w:snapToGrid w:val="0"/>
                      <w:color w:val="auto"/>
                      <w:spacing w:val="0"/>
                      <w:w w:val="100"/>
                      <w:kern w:val="0"/>
                      <w:position w:val="0"/>
                      <w:sz w:val="21"/>
                      <w:szCs w:val="21"/>
                      <w:highlight w:val="none"/>
                      <w:lang w:val="en-US" w:eastAsia="zh-CN"/>
                    </w:rPr>
                    <w:t>5</w:t>
                  </w:r>
                </w:p>
              </w:tc>
              <w:tc>
                <w:tcPr>
                  <w:tcW w:w="3869" w:type="dxa"/>
                  <w:shd w:val="clear" w:color="auto" w:fill="auto"/>
                  <w:noWrap w:val="0"/>
                  <w:vAlign w:val="center"/>
                </w:tcPr>
                <w:p w14:paraId="61C4BEBF">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氨氮</w:t>
                  </w:r>
                </w:p>
              </w:tc>
              <w:tc>
                <w:tcPr>
                  <w:tcW w:w="2668" w:type="dxa"/>
                  <w:shd w:val="clear" w:color="auto" w:fill="auto"/>
                  <w:noWrap w:val="0"/>
                  <w:vAlign w:val="center"/>
                </w:tcPr>
                <w:p w14:paraId="592ADC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color w:val="auto"/>
                      <w:sz w:val="21"/>
                      <w:szCs w:val="21"/>
                    </w:rPr>
                    <w:t>≤</w:t>
                  </w:r>
                  <w:r>
                    <w:rPr>
                      <w:rFonts w:hint="eastAsia"/>
                      <w:color w:val="auto"/>
                      <w:sz w:val="21"/>
                      <w:szCs w:val="21"/>
                      <w:lang w:val="en-US" w:eastAsia="zh-CN"/>
                    </w:rPr>
                    <w:t>1.0</w:t>
                  </w:r>
                </w:p>
              </w:tc>
            </w:tr>
            <w:tr w14:paraId="32376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502" w:type="dxa"/>
                  <w:noWrap w:val="0"/>
                  <w:vAlign w:val="center"/>
                </w:tcPr>
                <w:p w14:paraId="597AC3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val="0"/>
                      <w:color w:val="auto"/>
                      <w:spacing w:val="0"/>
                      <w:w w:val="100"/>
                      <w:kern w:val="0"/>
                      <w:position w:val="0"/>
                      <w:sz w:val="21"/>
                      <w:szCs w:val="21"/>
                      <w:highlight w:val="none"/>
                      <w:lang w:val="en-US" w:eastAsia="zh-CN" w:bidi="ar-SA"/>
                    </w:rPr>
                  </w:pPr>
                  <w:r>
                    <w:rPr>
                      <w:rFonts w:hint="eastAsia" w:ascii="Times New Roman" w:hAnsi="Times New Roman" w:cs="Times New Roman"/>
                      <w:snapToGrid w:val="0"/>
                      <w:color w:val="auto"/>
                      <w:spacing w:val="0"/>
                      <w:w w:val="100"/>
                      <w:kern w:val="0"/>
                      <w:position w:val="0"/>
                      <w:sz w:val="21"/>
                      <w:szCs w:val="21"/>
                      <w:highlight w:val="none"/>
                      <w:lang w:val="en-US" w:eastAsia="zh-CN"/>
                    </w:rPr>
                    <w:t>6</w:t>
                  </w:r>
                </w:p>
              </w:tc>
              <w:tc>
                <w:tcPr>
                  <w:tcW w:w="3869" w:type="dxa"/>
                  <w:shd w:val="clear" w:color="auto" w:fill="auto"/>
                  <w:noWrap w:val="0"/>
                  <w:vAlign w:val="center"/>
                </w:tcPr>
                <w:p w14:paraId="0A98AC2B">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vertAlign w:val="baseline"/>
                      <w:lang w:val="en-US" w:eastAsia="zh-CN"/>
                    </w:rPr>
                    <w:t>总磷</w:t>
                  </w:r>
                </w:p>
              </w:tc>
              <w:tc>
                <w:tcPr>
                  <w:tcW w:w="2668" w:type="dxa"/>
                  <w:shd w:val="clear" w:color="auto" w:fill="auto"/>
                  <w:noWrap w:val="0"/>
                  <w:vAlign w:val="center"/>
                </w:tcPr>
                <w:p w14:paraId="7E53C4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color w:val="auto"/>
                      <w:sz w:val="21"/>
                      <w:szCs w:val="21"/>
                    </w:rPr>
                    <w:t>≤</w:t>
                  </w:r>
                  <w:r>
                    <w:rPr>
                      <w:rFonts w:hint="eastAsia"/>
                      <w:color w:val="auto"/>
                      <w:sz w:val="21"/>
                      <w:szCs w:val="21"/>
                      <w:lang w:val="en-US" w:eastAsia="zh-CN"/>
                    </w:rPr>
                    <w:t>0.2</w:t>
                  </w:r>
                </w:p>
              </w:tc>
            </w:tr>
            <w:tr w14:paraId="68232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502" w:type="dxa"/>
                  <w:noWrap w:val="0"/>
                  <w:vAlign w:val="center"/>
                </w:tcPr>
                <w:p w14:paraId="51C34E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val="0"/>
                      <w:color w:val="auto"/>
                      <w:spacing w:val="0"/>
                      <w:w w:val="100"/>
                      <w:kern w:val="0"/>
                      <w:position w:val="0"/>
                      <w:sz w:val="21"/>
                      <w:szCs w:val="21"/>
                      <w:highlight w:val="none"/>
                      <w:lang w:val="en-US" w:eastAsia="zh-CN" w:bidi="ar-SA"/>
                    </w:rPr>
                  </w:pPr>
                  <w:r>
                    <w:rPr>
                      <w:rFonts w:hint="eastAsia" w:ascii="Times New Roman" w:hAnsi="Times New Roman" w:cs="Times New Roman"/>
                      <w:snapToGrid w:val="0"/>
                      <w:color w:val="auto"/>
                      <w:spacing w:val="0"/>
                      <w:w w:val="100"/>
                      <w:kern w:val="0"/>
                      <w:position w:val="0"/>
                      <w:sz w:val="21"/>
                      <w:szCs w:val="21"/>
                      <w:highlight w:val="none"/>
                      <w:lang w:val="en-US" w:eastAsia="zh-CN"/>
                    </w:rPr>
                    <w:t>7</w:t>
                  </w:r>
                </w:p>
              </w:tc>
              <w:tc>
                <w:tcPr>
                  <w:tcW w:w="3869" w:type="dxa"/>
                  <w:shd w:val="clear" w:color="auto" w:fill="auto"/>
                  <w:noWrap w:val="0"/>
                  <w:vAlign w:val="center"/>
                </w:tcPr>
                <w:p w14:paraId="256EFD2D">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vertAlign w:val="baseline"/>
                      <w:lang w:val="en-US" w:eastAsia="zh-CN"/>
                    </w:rPr>
                    <w:t>总氮</w:t>
                  </w:r>
                </w:p>
              </w:tc>
              <w:tc>
                <w:tcPr>
                  <w:tcW w:w="2668" w:type="dxa"/>
                  <w:shd w:val="clear" w:color="auto" w:fill="auto"/>
                  <w:noWrap w:val="0"/>
                  <w:vAlign w:val="center"/>
                </w:tcPr>
                <w:p w14:paraId="295894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color w:val="auto"/>
                      <w:sz w:val="21"/>
                      <w:szCs w:val="21"/>
                    </w:rPr>
                    <w:t>≤</w:t>
                  </w:r>
                  <w:r>
                    <w:rPr>
                      <w:rFonts w:hint="eastAsia"/>
                      <w:color w:val="auto"/>
                      <w:sz w:val="21"/>
                      <w:szCs w:val="21"/>
                      <w:lang w:val="en-US" w:eastAsia="zh-CN"/>
                    </w:rPr>
                    <w:t>1.0</w:t>
                  </w:r>
                </w:p>
              </w:tc>
            </w:tr>
            <w:tr w14:paraId="2DA64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502" w:type="dxa"/>
                  <w:noWrap w:val="0"/>
                  <w:vAlign w:val="center"/>
                </w:tcPr>
                <w:p w14:paraId="5877FF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val="0"/>
                      <w:color w:val="auto"/>
                      <w:spacing w:val="0"/>
                      <w:w w:val="100"/>
                      <w:kern w:val="0"/>
                      <w:position w:val="0"/>
                      <w:sz w:val="21"/>
                      <w:szCs w:val="21"/>
                      <w:highlight w:val="none"/>
                      <w:lang w:val="en-US" w:eastAsia="zh-CN" w:bidi="ar-SA"/>
                    </w:rPr>
                  </w:pPr>
                  <w:r>
                    <w:rPr>
                      <w:rFonts w:hint="eastAsia" w:ascii="Times New Roman" w:hAnsi="Times New Roman" w:cs="Times New Roman"/>
                      <w:snapToGrid w:val="0"/>
                      <w:color w:val="auto"/>
                      <w:spacing w:val="0"/>
                      <w:w w:val="100"/>
                      <w:kern w:val="0"/>
                      <w:position w:val="0"/>
                      <w:sz w:val="21"/>
                      <w:szCs w:val="21"/>
                      <w:highlight w:val="none"/>
                      <w:lang w:val="en-US" w:eastAsia="zh-CN"/>
                    </w:rPr>
                    <w:t>8</w:t>
                  </w:r>
                </w:p>
              </w:tc>
              <w:tc>
                <w:tcPr>
                  <w:tcW w:w="3869" w:type="dxa"/>
                  <w:shd w:val="clear" w:color="auto" w:fill="auto"/>
                  <w:noWrap w:val="0"/>
                  <w:vAlign w:val="center"/>
                </w:tcPr>
                <w:p w14:paraId="6E95CC52">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石油类</w:t>
                  </w:r>
                </w:p>
              </w:tc>
              <w:tc>
                <w:tcPr>
                  <w:tcW w:w="2668" w:type="dxa"/>
                  <w:shd w:val="clear" w:color="auto" w:fill="auto"/>
                  <w:noWrap w:val="0"/>
                  <w:vAlign w:val="center"/>
                </w:tcPr>
                <w:p w14:paraId="770967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color w:val="auto"/>
                      <w:sz w:val="21"/>
                      <w:szCs w:val="21"/>
                    </w:rPr>
                    <w:t>≤</w:t>
                  </w:r>
                  <w:r>
                    <w:rPr>
                      <w:rFonts w:hint="eastAsia"/>
                      <w:color w:val="auto"/>
                      <w:sz w:val="21"/>
                      <w:szCs w:val="21"/>
                      <w:lang w:val="en-US" w:eastAsia="zh-CN"/>
                    </w:rPr>
                    <w:t>0.05</w:t>
                  </w:r>
                </w:p>
              </w:tc>
            </w:tr>
          </w:tbl>
          <w:p w14:paraId="11FEDDDF">
            <w:pPr>
              <w:pStyle w:val="20"/>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rPr>
                <w:rFonts w:hint="default" w:ascii="Times New Roman" w:hAnsi="Times New Roman"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w:t>
            </w:r>
            <w:r>
              <w:rPr>
                <w:rFonts w:hint="default" w:ascii="Times New Roman" w:hAnsi="Times New Roman" w:cs="Times New Roman"/>
                <w:snapToGrid w:val="0"/>
                <w:color w:val="auto"/>
                <w:spacing w:val="0"/>
                <w:w w:val="100"/>
                <w:kern w:val="0"/>
                <w:position w:val="0"/>
                <w:sz w:val="24"/>
                <w:szCs w:val="24"/>
                <w:highlight w:val="none"/>
              </w:rPr>
              <w:t>声环境质量标准</w:t>
            </w:r>
          </w:p>
          <w:p w14:paraId="46C5251C">
            <w:pPr>
              <w:pStyle w:val="20"/>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rPr>
                <w:rFonts w:hint="default" w:ascii="Times New Roman" w:hAnsi="Times New Roman" w:cs="Times New Roman"/>
                <w:b/>
                <w:snapToGrid w:val="0"/>
                <w:color w:val="auto"/>
                <w:spacing w:val="0"/>
                <w:w w:val="100"/>
                <w:kern w:val="0"/>
                <w:position w:val="0"/>
                <w:sz w:val="24"/>
                <w:szCs w:val="24"/>
                <w:highlight w:val="none"/>
              </w:rPr>
            </w:pPr>
            <w:r>
              <w:rPr>
                <w:rFonts w:hint="eastAsia" w:ascii="Times New Roman" w:hAnsi="Times New Roman" w:cs="Times New Roman"/>
                <w:color w:val="auto"/>
                <w:sz w:val="24"/>
                <w:szCs w:val="24"/>
                <w:lang w:val="en-US" w:eastAsia="zh-CN"/>
              </w:rPr>
              <w:t>评价</w:t>
            </w:r>
            <w:r>
              <w:rPr>
                <w:rFonts w:hint="default" w:ascii="Times New Roman" w:hAnsi="Times New Roman" w:cs="Times New Roman"/>
                <w:color w:val="auto"/>
                <w:sz w:val="24"/>
                <w:szCs w:val="24"/>
                <w:lang w:val="en-US" w:eastAsia="zh-CN"/>
              </w:rPr>
              <w:t>区域声环境执行《声环境质量标准》（GB3096-2008）2类标准。</w:t>
            </w:r>
            <w:r>
              <w:rPr>
                <w:rFonts w:hint="default" w:ascii="Times New Roman" w:hAnsi="Times New Roman" w:cs="Times New Roman"/>
                <w:color w:val="auto"/>
                <w:spacing w:val="0"/>
                <w:w w:val="100"/>
                <w:position w:val="0"/>
                <w:sz w:val="24"/>
                <w:szCs w:val="24"/>
                <w:highlight w:val="none"/>
                <w:lang w:val="en-US" w:eastAsia="zh-CN"/>
              </w:rPr>
              <w:t>具体限值</w:t>
            </w:r>
            <w:r>
              <w:rPr>
                <w:rFonts w:hint="default" w:ascii="Times New Roman" w:hAnsi="Times New Roman" w:cs="Times New Roman"/>
                <w:snapToGrid w:val="0"/>
                <w:color w:val="auto"/>
                <w:spacing w:val="0"/>
                <w:w w:val="100"/>
                <w:kern w:val="0"/>
                <w:position w:val="0"/>
                <w:sz w:val="24"/>
                <w:szCs w:val="24"/>
                <w:highlight w:val="none"/>
              </w:rPr>
              <w:t>见表</w:t>
            </w:r>
            <w:r>
              <w:rPr>
                <w:rFonts w:hint="eastAsia" w:ascii="Times New Roman" w:hAnsi="Times New Roman" w:cs="Times New Roman"/>
                <w:snapToGrid w:val="0"/>
                <w:color w:val="auto"/>
                <w:spacing w:val="0"/>
                <w:w w:val="100"/>
                <w:kern w:val="0"/>
                <w:position w:val="0"/>
                <w:sz w:val="24"/>
                <w:szCs w:val="24"/>
                <w:highlight w:val="none"/>
                <w:lang w:val="en-US" w:eastAsia="zh-CN"/>
              </w:rPr>
              <w:t>3-9</w:t>
            </w:r>
            <w:r>
              <w:rPr>
                <w:rFonts w:hint="default" w:ascii="Times New Roman" w:hAnsi="Times New Roman" w:cs="Times New Roman"/>
                <w:snapToGrid w:val="0"/>
                <w:color w:val="auto"/>
                <w:spacing w:val="0"/>
                <w:w w:val="100"/>
                <w:kern w:val="0"/>
                <w:position w:val="0"/>
                <w:sz w:val="24"/>
                <w:szCs w:val="24"/>
                <w:highlight w:val="none"/>
              </w:rPr>
              <w:t>。</w:t>
            </w:r>
          </w:p>
          <w:p w14:paraId="5761F522">
            <w:pPr>
              <w:spacing w:line="240" w:lineRule="auto"/>
              <w:jc w:val="center"/>
              <w:rPr>
                <w:rFonts w:hint="default" w:ascii="Times New Roman" w:hAnsi="Times New Roman" w:eastAsia="宋体" w:cs="Times New Roman"/>
                <w:b/>
                <w:snapToGrid w:val="0"/>
                <w:color w:val="auto"/>
                <w:spacing w:val="0"/>
                <w:w w:val="100"/>
                <w:kern w:val="0"/>
                <w:position w:val="0"/>
                <w:sz w:val="21"/>
                <w:szCs w:val="21"/>
                <w:highlight w:val="none"/>
                <w:lang w:val="en-US" w:eastAsia="zh-CN"/>
              </w:rPr>
            </w:pPr>
            <w:r>
              <w:rPr>
                <w:rFonts w:hint="default" w:ascii="Times New Roman" w:hAnsi="Times New Roman" w:cs="Times New Roman"/>
                <w:b/>
                <w:snapToGrid w:val="0"/>
                <w:color w:val="auto"/>
                <w:spacing w:val="0"/>
                <w:w w:val="100"/>
                <w:kern w:val="0"/>
                <w:position w:val="0"/>
                <w:sz w:val="21"/>
                <w:szCs w:val="21"/>
                <w:highlight w:val="none"/>
              </w:rPr>
              <w:t>表</w:t>
            </w:r>
            <w:r>
              <w:rPr>
                <w:rFonts w:hint="eastAsia" w:ascii="Times New Roman" w:hAnsi="Times New Roman" w:cs="Times New Roman"/>
                <w:b/>
                <w:snapToGrid w:val="0"/>
                <w:color w:val="auto"/>
                <w:spacing w:val="0"/>
                <w:w w:val="100"/>
                <w:kern w:val="0"/>
                <w:position w:val="0"/>
                <w:sz w:val="21"/>
                <w:szCs w:val="21"/>
                <w:highlight w:val="none"/>
                <w:lang w:val="en-US" w:eastAsia="zh-CN"/>
              </w:rPr>
              <w:t>3-</w:t>
            </w:r>
            <w:r>
              <w:rPr>
                <w:rFonts w:hint="eastAsia" w:cs="Times New Roman"/>
                <w:b/>
                <w:snapToGrid w:val="0"/>
                <w:color w:val="auto"/>
                <w:spacing w:val="0"/>
                <w:w w:val="100"/>
                <w:kern w:val="0"/>
                <w:position w:val="0"/>
                <w:sz w:val="21"/>
                <w:szCs w:val="21"/>
                <w:highlight w:val="none"/>
                <w:lang w:val="en-US" w:eastAsia="zh-CN"/>
              </w:rPr>
              <w:t>9</w:t>
            </w:r>
            <w:r>
              <w:rPr>
                <w:rFonts w:hint="default" w:ascii="Times New Roman" w:hAnsi="Times New Roman" w:cs="Times New Roman"/>
                <w:b/>
                <w:snapToGrid w:val="0"/>
                <w:color w:val="auto"/>
                <w:spacing w:val="0"/>
                <w:w w:val="100"/>
                <w:kern w:val="0"/>
                <w:position w:val="0"/>
                <w:sz w:val="21"/>
                <w:szCs w:val="21"/>
                <w:highlight w:val="none"/>
                <w:lang w:val="en-US" w:eastAsia="zh-CN"/>
              </w:rPr>
              <w:t xml:space="preserve"> </w:t>
            </w:r>
            <w:r>
              <w:rPr>
                <w:rFonts w:hint="default" w:ascii="Times New Roman" w:hAnsi="Times New Roman" w:cs="Times New Roman"/>
                <w:b/>
                <w:snapToGrid w:val="0"/>
                <w:color w:val="auto"/>
                <w:spacing w:val="0"/>
                <w:w w:val="100"/>
                <w:kern w:val="0"/>
                <w:position w:val="0"/>
                <w:sz w:val="21"/>
                <w:szCs w:val="21"/>
                <w:highlight w:val="none"/>
              </w:rPr>
              <w:t xml:space="preserve"> 声环境质量标准</w:t>
            </w:r>
            <w:r>
              <w:rPr>
                <w:rFonts w:hint="eastAsia" w:ascii="Times New Roman" w:hAnsi="Times New Roman" w:cs="Times New Roman"/>
                <w:b/>
                <w:snapToGrid w:val="0"/>
                <w:color w:val="auto"/>
                <w:spacing w:val="0"/>
                <w:w w:val="100"/>
                <w:kern w:val="0"/>
                <w:position w:val="0"/>
                <w:sz w:val="21"/>
                <w:szCs w:val="21"/>
                <w:highlight w:val="none"/>
                <w:lang w:val="en-US" w:eastAsia="zh-CN"/>
              </w:rPr>
              <w:t xml:space="preserve">     单位：dB（A）</w:t>
            </w:r>
          </w:p>
          <w:tbl>
            <w:tblPr>
              <w:tblStyle w:val="16"/>
              <w:tblW w:w="79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01"/>
              <w:gridCol w:w="2403"/>
              <w:gridCol w:w="2295"/>
            </w:tblGrid>
            <w:tr w14:paraId="1B691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301" w:type="dxa"/>
                  <w:vMerge w:val="restart"/>
                  <w:noWrap w:val="0"/>
                  <w:vAlign w:val="center"/>
                </w:tcPr>
                <w:p w14:paraId="24C8DE17">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val="0"/>
                      <w:snapToGrid w:val="0"/>
                      <w:color w:val="auto"/>
                      <w:spacing w:val="0"/>
                      <w:w w:val="100"/>
                      <w:kern w:val="0"/>
                      <w:position w:val="0"/>
                      <w:sz w:val="21"/>
                      <w:szCs w:val="21"/>
                      <w:highlight w:val="none"/>
                    </w:rPr>
                  </w:pPr>
                  <w:r>
                    <w:rPr>
                      <w:rFonts w:hint="default" w:ascii="Times New Roman" w:hAnsi="Times New Roman" w:cs="Times New Roman"/>
                      <w:b/>
                      <w:bCs w:val="0"/>
                      <w:snapToGrid w:val="0"/>
                      <w:color w:val="auto"/>
                      <w:spacing w:val="0"/>
                      <w:w w:val="100"/>
                      <w:kern w:val="0"/>
                      <w:position w:val="0"/>
                      <w:sz w:val="21"/>
                      <w:szCs w:val="21"/>
                      <w:highlight w:val="none"/>
                    </w:rPr>
                    <w:t>声环境功能区类别</w:t>
                  </w:r>
                </w:p>
              </w:tc>
              <w:tc>
                <w:tcPr>
                  <w:tcW w:w="4698" w:type="dxa"/>
                  <w:gridSpan w:val="2"/>
                  <w:noWrap w:val="0"/>
                  <w:vAlign w:val="center"/>
                </w:tcPr>
                <w:p w14:paraId="536D77F9">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val="0"/>
                      <w:snapToGrid w:val="0"/>
                      <w:color w:val="auto"/>
                      <w:spacing w:val="0"/>
                      <w:w w:val="100"/>
                      <w:kern w:val="0"/>
                      <w:position w:val="0"/>
                      <w:sz w:val="21"/>
                      <w:szCs w:val="21"/>
                      <w:highlight w:val="none"/>
                    </w:rPr>
                  </w:pPr>
                  <w:r>
                    <w:rPr>
                      <w:rFonts w:hint="default" w:ascii="Times New Roman" w:hAnsi="Times New Roman" w:cs="Times New Roman"/>
                      <w:b/>
                      <w:bCs w:val="0"/>
                      <w:snapToGrid w:val="0"/>
                      <w:color w:val="auto"/>
                      <w:spacing w:val="0"/>
                      <w:w w:val="100"/>
                      <w:kern w:val="0"/>
                      <w:position w:val="0"/>
                      <w:sz w:val="21"/>
                      <w:szCs w:val="21"/>
                      <w:highlight w:val="none"/>
                    </w:rPr>
                    <w:t>标准值</w:t>
                  </w:r>
                </w:p>
              </w:tc>
            </w:tr>
            <w:tr w14:paraId="2518B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01" w:type="dxa"/>
                  <w:vMerge w:val="continue"/>
                  <w:noWrap w:val="0"/>
                  <w:vAlign w:val="center"/>
                </w:tcPr>
                <w:p w14:paraId="7D5AD06C">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val="0"/>
                      <w:snapToGrid w:val="0"/>
                      <w:color w:val="auto"/>
                      <w:spacing w:val="0"/>
                      <w:w w:val="100"/>
                      <w:kern w:val="0"/>
                      <w:position w:val="0"/>
                      <w:sz w:val="21"/>
                      <w:szCs w:val="21"/>
                      <w:highlight w:val="none"/>
                    </w:rPr>
                  </w:pPr>
                </w:p>
              </w:tc>
              <w:tc>
                <w:tcPr>
                  <w:tcW w:w="2403" w:type="dxa"/>
                  <w:noWrap w:val="0"/>
                  <w:vAlign w:val="center"/>
                </w:tcPr>
                <w:p w14:paraId="71905106">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val="0"/>
                      <w:snapToGrid w:val="0"/>
                      <w:color w:val="auto"/>
                      <w:spacing w:val="0"/>
                      <w:w w:val="100"/>
                      <w:kern w:val="0"/>
                      <w:position w:val="0"/>
                      <w:sz w:val="21"/>
                      <w:szCs w:val="21"/>
                      <w:highlight w:val="none"/>
                    </w:rPr>
                  </w:pPr>
                  <w:r>
                    <w:rPr>
                      <w:rFonts w:hint="default" w:ascii="Times New Roman" w:hAnsi="Times New Roman" w:cs="Times New Roman"/>
                      <w:b/>
                      <w:bCs w:val="0"/>
                      <w:snapToGrid w:val="0"/>
                      <w:color w:val="auto"/>
                      <w:spacing w:val="0"/>
                      <w:w w:val="100"/>
                      <w:kern w:val="0"/>
                      <w:position w:val="0"/>
                      <w:sz w:val="21"/>
                      <w:szCs w:val="21"/>
                      <w:highlight w:val="none"/>
                    </w:rPr>
                    <w:t>昼间</w:t>
                  </w:r>
                </w:p>
              </w:tc>
              <w:tc>
                <w:tcPr>
                  <w:tcW w:w="2295" w:type="dxa"/>
                  <w:noWrap w:val="0"/>
                  <w:vAlign w:val="center"/>
                </w:tcPr>
                <w:p w14:paraId="4D99B0B6">
                  <w:pPr>
                    <w:keepNext w:val="0"/>
                    <w:keepLines w:val="0"/>
                    <w:pageBreakBefore w:val="0"/>
                    <w:widowControl w:val="0"/>
                    <w:tabs>
                      <w:tab w:val="left" w:pos="-2848"/>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val="0"/>
                      <w:snapToGrid w:val="0"/>
                      <w:color w:val="auto"/>
                      <w:spacing w:val="0"/>
                      <w:w w:val="100"/>
                      <w:kern w:val="0"/>
                      <w:position w:val="0"/>
                      <w:sz w:val="21"/>
                      <w:szCs w:val="21"/>
                      <w:highlight w:val="none"/>
                    </w:rPr>
                  </w:pPr>
                  <w:r>
                    <w:rPr>
                      <w:rFonts w:hint="default" w:ascii="Times New Roman" w:hAnsi="Times New Roman" w:cs="Times New Roman"/>
                      <w:b/>
                      <w:bCs w:val="0"/>
                      <w:snapToGrid w:val="0"/>
                      <w:color w:val="auto"/>
                      <w:spacing w:val="0"/>
                      <w:w w:val="100"/>
                      <w:kern w:val="0"/>
                      <w:position w:val="0"/>
                      <w:sz w:val="21"/>
                      <w:szCs w:val="21"/>
                      <w:highlight w:val="none"/>
                    </w:rPr>
                    <w:t>夜间</w:t>
                  </w:r>
                </w:p>
              </w:tc>
            </w:tr>
            <w:tr w14:paraId="5E0AD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01" w:type="dxa"/>
                  <w:noWrap w:val="0"/>
                  <w:vAlign w:val="center"/>
                </w:tcPr>
                <w:p w14:paraId="0B3663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napToGrid w:val="0"/>
                      <w:color w:val="auto"/>
                      <w:spacing w:val="0"/>
                      <w:w w:val="100"/>
                      <w:kern w:val="0"/>
                      <w:position w:val="0"/>
                      <w:sz w:val="21"/>
                      <w:szCs w:val="21"/>
                      <w:highlight w:val="none"/>
                    </w:rPr>
                  </w:pPr>
                  <w:r>
                    <w:rPr>
                      <w:rFonts w:hint="eastAsia" w:ascii="Times New Roman" w:hAnsi="Times New Roman" w:cs="Times New Roman"/>
                      <w:bCs/>
                      <w:snapToGrid w:val="0"/>
                      <w:color w:val="auto"/>
                      <w:spacing w:val="0"/>
                      <w:w w:val="100"/>
                      <w:kern w:val="0"/>
                      <w:position w:val="0"/>
                      <w:sz w:val="21"/>
                      <w:szCs w:val="21"/>
                      <w:highlight w:val="none"/>
                      <w:lang w:val="en-US" w:eastAsia="zh-CN"/>
                    </w:rPr>
                    <w:t>2</w:t>
                  </w:r>
                  <w:r>
                    <w:rPr>
                      <w:rFonts w:hint="default" w:ascii="Times New Roman" w:hAnsi="Times New Roman" w:cs="Times New Roman"/>
                      <w:bCs/>
                      <w:snapToGrid w:val="0"/>
                      <w:color w:val="auto"/>
                      <w:spacing w:val="0"/>
                      <w:w w:val="100"/>
                      <w:kern w:val="0"/>
                      <w:position w:val="0"/>
                      <w:sz w:val="21"/>
                      <w:szCs w:val="21"/>
                      <w:highlight w:val="none"/>
                    </w:rPr>
                    <w:t>类</w:t>
                  </w:r>
                </w:p>
              </w:tc>
              <w:tc>
                <w:tcPr>
                  <w:tcW w:w="2403" w:type="dxa"/>
                  <w:noWrap w:val="0"/>
                  <w:vAlign w:val="center"/>
                </w:tcPr>
                <w:p w14:paraId="2D6345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napToGrid w:val="0"/>
                      <w:color w:val="auto"/>
                      <w:spacing w:val="0"/>
                      <w:w w:val="100"/>
                      <w:kern w:val="0"/>
                      <w:position w:val="0"/>
                      <w:sz w:val="21"/>
                      <w:szCs w:val="21"/>
                      <w:highlight w:val="none"/>
                      <w:lang w:val="en-US" w:eastAsia="zh-CN"/>
                    </w:rPr>
                  </w:pPr>
                  <w:r>
                    <w:rPr>
                      <w:rFonts w:hint="eastAsia" w:ascii="Times New Roman" w:hAnsi="Times New Roman" w:cs="Times New Roman"/>
                      <w:bCs/>
                      <w:snapToGrid w:val="0"/>
                      <w:color w:val="auto"/>
                      <w:spacing w:val="0"/>
                      <w:w w:val="100"/>
                      <w:kern w:val="0"/>
                      <w:position w:val="0"/>
                      <w:sz w:val="21"/>
                      <w:szCs w:val="21"/>
                      <w:highlight w:val="none"/>
                      <w:lang w:val="en-US" w:eastAsia="zh-CN"/>
                    </w:rPr>
                    <w:t>60</w:t>
                  </w:r>
                </w:p>
              </w:tc>
              <w:tc>
                <w:tcPr>
                  <w:tcW w:w="2295" w:type="dxa"/>
                  <w:noWrap w:val="0"/>
                  <w:vAlign w:val="center"/>
                </w:tcPr>
                <w:p w14:paraId="4CD82E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napToGrid w:val="0"/>
                      <w:color w:val="auto"/>
                      <w:spacing w:val="0"/>
                      <w:w w:val="100"/>
                      <w:kern w:val="0"/>
                      <w:position w:val="0"/>
                      <w:sz w:val="21"/>
                      <w:szCs w:val="21"/>
                      <w:highlight w:val="none"/>
                      <w:lang w:val="en-US" w:eastAsia="zh-CN"/>
                    </w:rPr>
                  </w:pPr>
                  <w:r>
                    <w:rPr>
                      <w:rFonts w:hint="eastAsia" w:ascii="Times New Roman" w:hAnsi="Times New Roman" w:cs="Times New Roman"/>
                      <w:bCs/>
                      <w:snapToGrid w:val="0"/>
                      <w:color w:val="auto"/>
                      <w:spacing w:val="0"/>
                      <w:w w:val="100"/>
                      <w:kern w:val="0"/>
                      <w:position w:val="0"/>
                      <w:sz w:val="21"/>
                      <w:szCs w:val="21"/>
                      <w:highlight w:val="none"/>
                      <w:lang w:val="en-US" w:eastAsia="zh-CN"/>
                    </w:rPr>
                    <w:t>50</w:t>
                  </w:r>
                </w:p>
              </w:tc>
            </w:tr>
          </w:tbl>
          <w:p w14:paraId="3F1CBDE3">
            <w:pPr>
              <w:pStyle w:val="20"/>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baseline"/>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2、</w:t>
            </w:r>
            <w:r>
              <w:rPr>
                <w:rFonts w:hint="default" w:ascii="Times New Roman" w:hAnsi="Times New Roman" w:cs="Times New Roman"/>
                <w:b/>
                <w:bCs/>
                <w:color w:val="auto"/>
                <w:spacing w:val="0"/>
                <w:w w:val="100"/>
                <w:position w:val="0"/>
                <w:highlight w:val="none"/>
              </w:rPr>
              <w:t>污染物排放标准</w:t>
            </w:r>
          </w:p>
          <w:p w14:paraId="13C410E9">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default" w:ascii="Times New Roman" w:hAnsi="Times New Roman" w:cs="Times New Roman"/>
                <w:snapToGrid w:val="0"/>
                <w:color w:val="auto"/>
                <w:spacing w:val="0"/>
                <w:w w:val="100"/>
                <w:kern w:val="0"/>
                <w:position w:val="0"/>
                <w:sz w:val="24"/>
                <w:szCs w:val="24"/>
                <w:highlight w:val="none"/>
              </w:rPr>
            </w:pPr>
            <w:r>
              <w:rPr>
                <w:rFonts w:hint="eastAsia" w:ascii="Times New Roman" w:hAnsi="Times New Roman" w:cs="Times New Roman"/>
                <w:snapToGrid w:val="0"/>
                <w:color w:val="auto"/>
                <w:spacing w:val="0"/>
                <w:w w:val="100"/>
                <w:kern w:val="0"/>
                <w:position w:val="0"/>
                <w:sz w:val="24"/>
                <w:szCs w:val="24"/>
                <w:highlight w:val="none"/>
                <w:lang w:eastAsia="zh-CN"/>
              </w:rPr>
              <w:t>（</w:t>
            </w:r>
            <w:r>
              <w:rPr>
                <w:rFonts w:hint="eastAsia" w:ascii="Times New Roman" w:hAnsi="Times New Roman" w:cs="Times New Roman"/>
                <w:snapToGrid w:val="0"/>
                <w:color w:val="auto"/>
                <w:spacing w:val="0"/>
                <w:w w:val="100"/>
                <w:kern w:val="0"/>
                <w:position w:val="0"/>
                <w:sz w:val="24"/>
                <w:szCs w:val="24"/>
                <w:highlight w:val="none"/>
                <w:lang w:val="en-US" w:eastAsia="zh-CN"/>
              </w:rPr>
              <w:t>1</w:t>
            </w:r>
            <w:r>
              <w:rPr>
                <w:rFonts w:hint="eastAsia" w:ascii="Times New Roman" w:hAnsi="Times New Roman" w:cs="Times New Roman"/>
                <w:snapToGrid w:val="0"/>
                <w:color w:val="auto"/>
                <w:spacing w:val="0"/>
                <w:w w:val="100"/>
                <w:kern w:val="0"/>
                <w:position w:val="0"/>
                <w:sz w:val="24"/>
                <w:szCs w:val="24"/>
                <w:highlight w:val="none"/>
                <w:lang w:eastAsia="zh-CN"/>
              </w:rPr>
              <w:t>）</w:t>
            </w:r>
            <w:r>
              <w:rPr>
                <w:rFonts w:hint="default" w:ascii="Times New Roman" w:hAnsi="Times New Roman" w:cs="Times New Roman"/>
                <w:snapToGrid w:val="0"/>
                <w:color w:val="auto"/>
                <w:spacing w:val="0"/>
                <w:w w:val="100"/>
                <w:kern w:val="0"/>
                <w:position w:val="0"/>
                <w:sz w:val="24"/>
                <w:szCs w:val="24"/>
                <w:highlight w:val="none"/>
              </w:rPr>
              <w:t>废气</w:t>
            </w:r>
          </w:p>
          <w:p w14:paraId="2EB545F1">
            <w:pPr>
              <w:spacing w:line="360" w:lineRule="auto"/>
              <w:ind w:firstLine="480" w:firstLineChars="200"/>
              <w:rPr>
                <w:rFonts w:hint="default" w:ascii="Times New Roman" w:hAnsi="Times New Roman" w:cs="Times New Roman"/>
                <w:color w:val="auto"/>
              </w:rPr>
            </w:pPr>
            <w:r>
              <w:rPr>
                <w:rFonts w:hint="eastAsia" w:ascii="Times New Roman" w:hAnsi="Times New Roman" w:eastAsia="宋体" w:cs="Times New Roman"/>
                <w:b w:val="0"/>
                <w:bCs/>
                <w:color w:val="auto"/>
                <w:sz w:val="24"/>
                <w:szCs w:val="24"/>
                <w:highlight w:val="none"/>
                <w:lang w:val="en-US" w:eastAsia="zh-CN"/>
              </w:rPr>
              <w:t>施工期</w:t>
            </w:r>
            <w:r>
              <w:rPr>
                <w:rFonts w:hint="default" w:ascii="Times New Roman" w:hAnsi="Times New Roman" w:eastAsia="宋体" w:cs="Times New Roman"/>
                <w:b w:val="0"/>
                <w:bCs/>
                <w:color w:val="auto"/>
                <w:sz w:val="24"/>
                <w:szCs w:val="24"/>
                <w:highlight w:val="none"/>
              </w:rPr>
              <w:t>扬尘执行</w:t>
            </w:r>
            <w:bookmarkStart w:id="9" w:name="_Hlk2531692"/>
            <w:r>
              <w:rPr>
                <w:rFonts w:hint="default" w:ascii="Times New Roman" w:hAnsi="Times New Roman" w:eastAsia="宋体" w:cs="Times New Roman"/>
                <w:b w:val="0"/>
                <w:bCs/>
                <w:color w:val="auto"/>
                <w:sz w:val="24"/>
                <w:szCs w:val="24"/>
                <w:highlight w:val="none"/>
              </w:rPr>
              <w:t>《施工场界扬尘排放限值》（DB61/1078-2017）</w:t>
            </w:r>
            <w:bookmarkEnd w:id="9"/>
            <w:r>
              <w:rPr>
                <w:rFonts w:hint="default" w:ascii="Times New Roman" w:hAnsi="Times New Roman" w:eastAsia="宋体" w:cs="Times New Roman"/>
                <w:b w:val="0"/>
                <w:bCs/>
                <w:color w:val="auto"/>
                <w:sz w:val="24"/>
                <w:szCs w:val="24"/>
                <w:highlight w:val="none"/>
              </w:rPr>
              <w:t>标准限值要求</w:t>
            </w:r>
            <w:r>
              <w:rPr>
                <w:rFonts w:hint="eastAsia" w:ascii="Times New Roman" w:hAnsi="Times New Roman" w:eastAsia="宋体" w:cs="Times New Roman"/>
                <w:b w:val="0"/>
                <w:bCs/>
                <w:color w:val="auto"/>
                <w:sz w:val="24"/>
                <w:szCs w:val="24"/>
                <w:highlight w:val="none"/>
                <w:lang w:val="en-US" w:eastAsia="zh-CN"/>
              </w:rPr>
              <w:t>；运营期无废气产生。</w:t>
            </w:r>
            <w:r>
              <w:rPr>
                <w:rFonts w:hint="default" w:ascii="Times New Roman" w:hAnsi="Times New Roman" w:cs="Times New Roman"/>
                <w:color w:val="auto"/>
                <w:kern w:val="0"/>
                <w:sz w:val="24"/>
                <w:szCs w:val="24"/>
                <w:lang w:bidi="ar"/>
              </w:rPr>
              <w:t>具体标准见表</w:t>
            </w:r>
            <w:r>
              <w:rPr>
                <w:rFonts w:hint="eastAsia" w:ascii="Times New Roman" w:hAnsi="Times New Roman" w:cs="Times New Roman"/>
                <w:color w:val="auto"/>
                <w:kern w:val="0"/>
                <w:sz w:val="24"/>
                <w:szCs w:val="24"/>
                <w:lang w:val="en-US" w:eastAsia="zh-CN" w:bidi="ar"/>
              </w:rPr>
              <w:t>3-</w:t>
            </w:r>
            <w:r>
              <w:rPr>
                <w:rFonts w:hint="eastAsia" w:cs="Times New Roman"/>
                <w:color w:val="auto"/>
                <w:kern w:val="0"/>
                <w:sz w:val="24"/>
                <w:szCs w:val="24"/>
                <w:lang w:val="en-US" w:eastAsia="zh-CN" w:bidi="ar"/>
              </w:rPr>
              <w:t>10</w:t>
            </w:r>
            <w:r>
              <w:rPr>
                <w:rFonts w:hint="default" w:ascii="Times New Roman" w:hAnsi="Times New Roman" w:cs="Times New Roman"/>
                <w:color w:val="auto"/>
                <w:kern w:val="0"/>
                <w:sz w:val="24"/>
                <w:szCs w:val="24"/>
                <w:lang w:bidi="ar"/>
              </w:rPr>
              <w:t>。</w:t>
            </w:r>
          </w:p>
          <w:p w14:paraId="40D9DEB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lang w:bidi="he-IL"/>
              </w:rPr>
              <w:t>表</w:t>
            </w:r>
            <w:r>
              <w:rPr>
                <w:rFonts w:hint="eastAsia" w:ascii="Times New Roman" w:hAnsi="Times New Roman" w:cs="Times New Roman"/>
                <w:b/>
                <w:bCs/>
                <w:color w:val="auto"/>
                <w:sz w:val="21"/>
                <w:szCs w:val="21"/>
                <w:highlight w:val="none"/>
                <w:lang w:val="en-US" w:eastAsia="zh-CN" w:bidi="he-IL"/>
              </w:rPr>
              <w:t>3-</w:t>
            </w:r>
            <w:r>
              <w:rPr>
                <w:rFonts w:hint="eastAsia" w:cs="Times New Roman"/>
                <w:b/>
                <w:bCs/>
                <w:color w:val="auto"/>
                <w:sz w:val="21"/>
                <w:szCs w:val="21"/>
                <w:highlight w:val="none"/>
                <w:lang w:val="en-US" w:eastAsia="zh-CN" w:bidi="he-IL"/>
              </w:rPr>
              <w:t>10</w:t>
            </w:r>
            <w:r>
              <w:rPr>
                <w:rFonts w:hint="default" w:ascii="Times New Roman" w:hAnsi="Times New Roman" w:cs="Times New Roman"/>
                <w:b/>
                <w:bCs/>
                <w:color w:val="auto"/>
                <w:sz w:val="21"/>
                <w:szCs w:val="21"/>
                <w:highlight w:val="none"/>
                <w:lang w:bidi="he-IL"/>
              </w:rPr>
              <w:t xml:space="preserve">  施工场界扬尘浓度限值</w:t>
            </w:r>
          </w:p>
          <w:tbl>
            <w:tblPr>
              <w:tblStyle w:val="16"/>
              <w:tblW w:w="79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39"/>
              <w:gridCol w:w="1189"/>
              <w:gridCol w:w="2706"/>
              <w:gridCol w:w="1805"/>
            </w:tblGrid>
            <w:tr w14:paraId="44F47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2239" w:type="dxa"/>
                  <w:vMerge w:val="restart"/>
                  <w:noWrap w:val="0"/>
                  <w:vAlign w:val="center"/>
                </w:tcPr>
                <w:p w14:paraId="0DFD85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污染物</w:t>
                  </w:r>
                </w:p>
              </w:tc>
              <w:tc>
                <w:tcPr>
                  <w:tcW w:w="5700" w:type="dxa"/>
                  <w:gridSpan w:val="3"/>
                  <w:noWrap w:val="0"/>
                  <w:vAlign w:val="center"/>
                </w:tcPr>
                <w:p w14:paraId="42DC6E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Cs w:val="21"/>
                      <w:highlight w:val="none"/>
                      <w:lang w:val="en-US" w:eastAsia="zh-CN"/>
                    </w:rPr>
                  </w:pPr>
                  <w:r>
                    <w:rPr>
                      <w:rFonts w:hint="eastAsia" w:ascii="Times New Roman" w:hAnsi="Times New Roman" w:cs="Times New Roman"/>
                      <w:b/>
                      <w:bCs/>
                      <w:color w:val="auto"/>
                      <w:kern w:val="0"/>
                      <w:szCs w:val="21"/>
                      <w:highlight w:val="none"/>
                      <w:lang w:val="en-US" w:eastAsia="zh-CN"/>
                    </w:rPr>
                    <w:t>无组织排放监控浓度</w:t>
                  </w:r>
                  <w:r>
                    <w:rPr>
                      <w:rFonts w:hint="default" w:ascii="Times New Roman" w:hAnsi="Times New Roman" w:cs="Times New Roman"/>
                      <w:b/>
                      <w:bCs/>
                      <w:color w:val="auto"/>
                      <w:kern w:val="0"/>
                      <w:szCs w:val="21"/>
                      <w:highlight w:val="none"/>
                    </w:rPr>
                    <w:t>（mg/m</w:t>
                  </w:r>
                  <w:r>
                    <w:rPr>
                      <w:rFonts w:hint="default" w:ascii="Times New Roman" w:hAnsi="Times New Roman" w:cs="Times New Roman"/>
                      <w:b/>
                      <w:bCs/>
                      <w:color w:val="auto"/>
                      <w:kern w:val="0"/>
                      <w:szCs w:val="21"/>
                      <w:highlight w:val="none"/>
                      <w:vertAlign w:val="superscript"/>
                    </w:rPr>
                    <w:t>3</w:t>
                  </w:r>
                  <w:r>
                    <w:rPr>
                      <w:rFonts w:hint="default" w:ascii="Times New Roman" w:hAnsi="Times New Roman" w:cs="Times New Roman"/>
                      <w:b/>
                      <w:bCs/>
                      <w:color w:val="auto"/>
                      <w:kern w:val="0"/>
                      <w:szCs w:val="21"/>
                      <w:highlight w:val="none"/>
                    </w:rPr>
                    <w:t>）</w:t>
                  </w:r>
                </w:p>
              </w:tc>
            </w:tr>
            <w:tr w14:paraId="5CDC1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2239" w:type="dxa"/>
                  <w:vMerge w:val="continue"/>
                  <w:noWrap w:val="0"/>
                  <w:vAlign w:val="center"/>
                </w:tcPr>
                <w:p w14:paraId="103DDC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kern w:val="0"/>
                      <w:szCs w:val="21"/>
                      <w:highlight w:val="none"/>
                    </w:rPr>
                  </w:pPr>
                </w:p>
              </w:tc>
              <w:tc>
                <w:tcPr>
                  <w:tcW w:w="1189" w:type="dxa"/>
                  <w:noWrap w:val="0"/>
                  <w:vAlign w:val="center"/>
                </w:tcPr>
                <w:p w14:paraId="567DB9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监控点</w:t>
                  </w:r>
                </w:p>
              </w:tc>
              <w:tc>
                <w:tcPr>
                  <w:tcW w:w="2706" w:type="dxa"/>
                  <w:noWrap w:val="0"/>
                  <w:vAlign w:val="center"/>
                </w:tcPr>
                <w:p w14:paraId="7C33D7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施工阶段</w:t>
                  </w:r>
                </w:p>
              </w:tc>
              <w:tc>
                <w:tcPr>
                  <w:tcW w:w="1805" w:type="dxa"/>
                  <w:noWrap w:val="0"/>
                  <w:vAlign w:val="center"/>
                </w:tcPr>
                <w:p w14:paraId="12E5A3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小时平均浓度限值</w:t>
                  </w:r>
                </w:p>
              </w:tc>
            </w:tr>
            <w:tr w14:paraId="407A1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2239" w:type="dxa"/>
                  <w:vMerge w:val="restart"/>
                  <w:noWrap w:val="0"/>
                  <w:vAlign w:val="center"/>
                </w:tcPr>
                <w:p w14:paraId="591E46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施工扬尘</w:t>
                  </w:r>
                </w:p>
                <w:p w14:paraId="469BD7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（即总悬浮颗粒物TSP）</w:t>
                  </w:r>
                </w:p>
              </w:tc>
              <w:tc>
                <w:tcPr>
                  <w:tcW w:w="1189" w:type="dxa"/>
                  <w:vMerge w:val="restart"/>
                  <w:noWrap w:val="0"/>
                  <w:vAlign w:val="center"/>
                </w:tcPr>
                <w:p w14:paraId="4B5FE0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周界外浓度</w:t>
                  </w:r>
                </w:p>
                <w:p w14:paraId="1D4763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最高点</w:t>
                  </w:r>
                </w:p>
              </w:tc>
              <w:tc>
                <w:tcPr>
                  <w:tcW w:w="2706" w:type="dxa"/>
                  <w:noWrap w:val="0"/>
                  <w:vAlign w:val="center"/>
                </w:tcPr>
                <w:p w14:paraId="2C9273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拆除、土方及地基处理工程</w:t>
                  </w:r>
                </w:p>
              </w:tc>
              <w:tc>
                <w:tcPr>
                  <w:tcW w:w="1805" w:type="dxa"/>
                  <w:noWrap w:val="0"/>
                  <w:vAlign w:val="center"/>
                </w:tcPr>
                <w:p w14:paraId="7D26FB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Cs w:val="21"/>
                      <w:highlight w:val="none"/>
                    </w:rPr>
                  </w:pPr>
                  <w:r>
                    <w:rPr>
                      <w:rFonts w:hint="eastAsia" w:ascii="宋体" w:hAnsi="宋体" w:eastAsia="宋体" w:cs="宋体"/>
                      <w:color w:val="auto"/>
                      <w:szCs w:val="21"/>
                      <w:highlight w:val="none"/>
                    </w:rPr>
                    <w:t>≤</w:t>
                  </w:r>
                  <w:r>
                    <w:rPr>
                      <w:rFonts w:hint="default" w:ascii="Times New Roman" w:hAnsi="Times New Roman" w:cs="Times New Roman"/>
                      <w:color w:val="auto"/>
                      <w:kern w:val="0"/>
                      <w:szCs w:val="21"/>
                      <w:highlight w:val="none"/>
                    </w:rPr>
                    <w:t>0.8</w:t>
                  </w:r>
                </w:p>
              </w:tc>
            </w:tr>
            <w:tr w14:paraId="480DD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 w:hRule="atLeast"/>
                <w:jc w:val="center"/>
              </w:trPr>
              <w:tc>
                <w:tcPr>
                  <w:tcW w:w="2239" w:type="dxa"/>
                  <w:vMerge w:val="continue"/>
                  <w:noWrap w:val="0"/>
                  <w:vAlign w:val="center"/>
                </w:tcPr>
                <w:p w14:paraId="152688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Cs w:val="21"/>
                      <w:highlight w:val="none"/>
                    </w:rPr>
                  </w:pPr>
                </w:p>
              </w:tc>
              <w:tc>
                <w:tcPr>
                  <w:tcW w:w="1189" w:type="dxa"/>
                  <w:vMerge w:val="continue"/>
                  <w:noWrap w:val="0"/>
                  <w:vAlign w:val="center"/>
                </w:tcPr>
                <w:p w14:paraId="0C550D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Cs w:val="21"/>
                      <w:highlight w:val="none"/>
                    </w:rPr>
                  </w:pPr>
                </w:p>
              </w:tc>
              <w:tc>
                <w:tcPr>
                  <w:tcW w:w="2706" w:type="dxa"/>
                  <w:noWrap w:val="0"/>
                  <w:vAlign w:val="center"/>
                </w:tcPr>
                <w:p w14:paraId="4A09A4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基础、主体结构及装饰工程</w:t>
                  </w:r>
                </w:p>
              </w:tc>
              <w:tc>
                <w:tcPr>
                  <w:tcW w:w="1805" w:type="dxa"/>
                  <w:noWrap w:val="0"/>
                  <w:vAlign w:val="center"/>
                </w:tcPr>
                <w:p w14:paraId="2F4413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Cs w:val="21"/>
                      <w:highlight w:val="none"/>
                    </w:rPr>
                  </w:pPr>
                  <w:r>
                    <w:rPr>
                      <w:rFonts w:hint="eastAsia" w:ascii="宋体" w:hAnsi="宋体" w:eastAsia="宋体" w:cs="宋体"/>
                      <w:color w:val="auto"/>
                      <w:szCs w:val="21"/>
                      <w:highlight w:val="none"/>
                    </w:rPr>
                    <w:t>≤</w:t>
                  </w:r>
                  <w:r>
                    <w:rPr>
                      <w:rFonts w:hint="default" w:ascii="Times New Roman" w:hAnsi="Times New Roman" w:cs="Times New Roman"/>
                      <w:color w:val="auto"/>
                      <w:kern w:val="0"/>
                      <w:szCs w:val="21"/>
                      <w:highlight w:val="none"/>
                    </w:rPr>
                    <w:t>0.7</w:t>
                  </w:r>
                </w:p>
              </w:tc>
            </w:tr>
          </w:tbl>
          <w:p w14:paraId="035886F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Pr>
                <w:rFonts w:hint="eastAsia" w:ascii="Times New Roman" w:hAnsi="Times New Roman" w:eastAsia="宋体" w:cs="Times New Roman"/>
                <w:snapToGrid w:val="0"/>
                <w:color w:val="auto"/>
                <w:spacing w:val="0"/>
                <w:w w:val="100"/>
                <w:kern w:val="0"/>
                <w:position w:val="0"/>
                <w:sz w:val="24"/>
                <w:szCs w:val="24"/>
                <w:highlight w:val="none"/>
                <w:lang w:eastAsia="zh-CN"/>
              </w:rPr>
            </w:pPr>
            <w:r>
              <w:rPr>
                <w:rFonts w:hint="eastAsia" w:ascii="Times New Roman" w:hAnsi="Times New Roman" w:eastAsia="宋体" w:cs="Times New Roman"/>
                <w:snapToGrid w:val="0"/>
                <w:color w:val="auto"/>
                <w:spacing w:val="0"/>
                <w:w w:val="100"/>
                <w:kern w:val="0"/>
                <w:position w:val="0"/>
                <w:sz w:val="24"/>
                <w:szCs w:val="24"/>
                <w:highlight w:val="none"/>
                <w:lang w:eastAsia="zh-CN"/>
              </w:rPr>
              <w:t>（</w:t>
            </w:r>
            <w:r>
              <w:rPr>
                <w:rFonts w:hint="eastAsia" w:ascii="Times New Roman" w:hAnsi="Times New Roman" w:eastAsia="宋体" w:cs="Times New Roman"/>
                <w:snapToGrid w:val="0"/>
                <w:color w:val="auto"/>
                <w:spacing w:val="0"/>
                <w:w w:val="100"/>
                <w:kern w:val="0"/>
                <w:position w:val="0"/>
                <w:sz w:val="24"/>
                <w:szCs w:val="24"/>
                <w:highlight w:val="none"/>
                <w:lang w:val="en-US" w:eastAsia="zh-CN"/>
              </w:rPr>
              <w:t>2</w:t>
            </w:r>
            <w:r>
              <w:rPr>
                <w:rFonts w:hint="eastAsia" w:ascii="Times New Roman" w:hAnsi="Times New Roman" w:eastAsia="宋体" w:cs="Times New Roman"/>
                <w:snapToGrid w:val="0"/>
                <w:color w:val="auto"/>
                <w:spacing w:val="0"/>
                <w:w w:val="100"/>
                <w:kern w:val="0"/>
                <w:position w:val="0"/>
                <w:sz w:val="24"/>
                <w:szCs w:val="24"/>
                <w:highlight w:val="none"/>
                <w:lang w:eastAsia="zh-CN"/>
              </w:rPr>
              <w:t>）废水</w:t>
            </w:r>
          </w:p>
          <w:p w14:paraId="3BAA40C7">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default" w:ascii="Times New Roman" w:hAnsi="Times New Roman" w:eastAsia="宋体" w:cs="Times New Roman"/>
                <w:color w:val="auto"/>
                <w:spacing w:val="0"/>
                <w:w w:val="100"/>
                <w:kern w:val="0"/>
                <w:position w:val="0"/>
                <w:sz w:val="24"/>
                <w:szCs w:val="24"/>
                <w:highlight w:val="none"/>
                <w:lang w:val="en-US" w:eastAsia="zh-CN"/>
              </w:rPr>
            </w:pPr>
            <w:r>
              <w:rPr>
                <w:rFonts w:hint="eastAsia" w:cs="Times New Roman"/>
                <w:color w:val="auto"/>
                <w:spacing w:val="0"/>
                <w:w w:val="100"/>
                <w:kern w:val="0"/>
                <w:position w:val="0"/>
                <w:sz w:val="24"/>
                <w:szCs w:val="24"/>
                <w:highlight w:val="none"/>
                <w:lang w:val="en-US" w:eastAsia="zh-CN"/>
              </w:rPr>
              <w:t>施工废水综合利用，不外排</w:t>
            </w:r>
            <w:r>
              <w:rPr>
                <w:rFonts w:hint="default" w:ascii="Times New Roman" w:hAnsi="Times New Roman" w:eastAsia="宋体" w:cs="Times New Roman"/>
                <w:color w:val="auto"/>
                <w:spacing w:val="0"/>
                <w:w w:val="100"/>
                <w:kern w:val="0"/>
                <w:position w:val="0"/>
                <w:sz w:val="24"/>
                <w:szCs w:val="24"/>
                <w:highlight w:val="none"/>
                <w:lang w:val="en-US" w:eastAsia="zh-CN"/>
              </w:rPr>
              <w:t>。</w:t>
            </w:r>
          </w:p>
          <w:p w14:paraId="0C03E49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Pr>
                <w:rFonts w:hint="default" w:ascii="Times New Roman" w:hAnsi="Times New Roman" w:cs="Times New Roman"/>
                <w:snapToGrid w:val="0"/>
                <w:color w:val="auto"/>
                <w:spacing w:val="0"/>
                <w:w w:val="100"/>
                <w:kern w:val="0"/>
                <w:position w:val="0"/>
                <w:sz w:val="24"/>
                <w:szCs w:val="24"/>
                <w:highlight w:val="none"/>
              </w:rPr>
            </w:pPr>
            <w:r>
              <w:rPr>
                <w:rFonts w:hint="default" w:ascii="Times New Roman" w:hAnsi="Times New Roman" w:eastAsia="宋体" w:cs="Times New Roman"/>
                <w:snapToGrid w:val="0"/>
                <w:color w:val="auto"/>
                <w:spacing w:val="0"/>
                <w:w w:val="100"/>
                <w:kern w:val="0"/>
                <w:position w:val="0"/>
                <w:sz w:val="24"/>
                <w:szCs w:val="24"/>
                <w:highlight w:val="none"/>
                <w:lang w:eastAsia="zh-CN"/>
              </w:rPr>
              <w:t>（</w:t>
            </w:r>
            <w:r>
              <w:rPr>
                <w:rFonts w:hint="eastAsia" w:ascii="Times New Roman" w:hAnsi="Times New Roman" w:eastAsia="宋体" w:cs="Times New Roman"/>
                <w:snapToGrid w:val="0"/>
                <w:color w:val="auto"/>
                <w:spacing w:val="0"/>
                <w:w w:val="100"/>
                <w:kern w:val="0"/>
                <w:position w:val="0"/>
                <w:sz w:val="24"/>
                <w:szCs w:val="24"/>
                <w:highlight w:val="none"/>
                <w:lang w:val="en-US" w:eastAsia="zh-CN"/>
              </w:rPr>
              <w:t>3</w:t>
            </w:r>
            <w:r>
              <w:rPr>
                <w:rFonts w:hint="default" w:ascii="Times New Roman" w:hAnsi="Times New Roman" w:eastAsia="宋体" w:cs="Times New Roman"/>
                <w:snapToGrid w:val="0"/>
                <w:color w:val="auto"/>
                <w:spacing w:val="0"/>
                <w:w w:val="100"/>
                <w:kern w:val="0"/>
                <w:position w:val="0"/>
                <w:sz w:val="24"/>
                <w:szCs w:val="24"/>
                <w:highlight w:val="none"/>
                <w:lang w:eastAsia="zh-CN"/>
              </w:rPr>
              <w:t>）</w:t>
            </w:r>
            <w:r>
              <w:rPr>
                <w:rFonts w:hint="default" w:ascii="Times New Roman" w:hAnsi="Times New Roman" w:cs="Times New Roman"/>
                <w:snapToGrid w:val="0"/>
                <w:color w:val="auto"/>
                <w:spacing w:val="0"/>
                <w:w w:val="100"/>
                <w:kern w:val="0"/>
                <w:position w:val="0"/>
                <w:sz w:val="24"/>
                <w:szCs w:val="24"/>
                <w:highlight w:val="none"/>
              </w:rPr>
              <w:t>噪声</w:t>
            </w:r>
          </w:p>
          <w:p w14:paraId="02B09374">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default" w:ascii="Times New Roman" w:hAnsi="Times New Roman" w:cs="Times New Roman"/>
                <w:color w:val="auto"/>
                <w:spacing w:val="0"/>
                <w:w w:val="100"/>
                <w:kern w:val="0"/>
                <w:position w:val="0"/>
                <w:sz w:val="24"/>
                <w:szCs w:val="24"/>
                <w:highlight w:val="none"/>
              </w:rPr>
            </w:pPr>
            <w:r>
              <w:rPr>
                <w:rFonts w:hint="default" w:ascii="Times New Roman" w:hAnsi="Times New Roman" w:cs="Times New Roman"/>
                <w:color w:val="auto"/>
                <w:spacing w:val="0"/>
                <w:w w:val="100"/>
                <w:kern w:val="0"/>
                <w:position w:val="0"/>
                <w:sz w:val="24"/>
                <w:szCs w:val="24"/>
                <w:highlight w:val="none"/>
              </w:rPr>
              <w:t>施工期</w:t>
            </w:r>
            <w:r>
              <w:rPr>
                <w:rFonts w:hint="eastAsia" w:ascii="Times New Roman" w:hAnsi="Times New Roman" w:cs="Times New Roman"/>
                <w:color w:val="auto"/>
                <w:spacing w:val="0"/>
                <w:w w:val="100"/>
                <w:kern w:val="0"/>
                <w:position w:val="0"/>
                <w:sz w:val="24"/>
                <w:szCs w:val="24"/>
                <w:highlight w:val="none"/>
                <w:lang w:val="en-US" w:eastAsia="zh-CN"/>
              </w:rPr>
              <w:t>噪声</w:t>
            </w:r>
            <w:r>
              <w:rPr>
                <w:rFonts w:hint="default" w:ascii="Times New Roman" w:hAnsi="Times New Roman" w:cs="Times New Roman"/>
                <w:color w:val="auto"/>
                <w:spacing w:val="0"/>
                <w:w w:val="100"/>
                <w:kern w:val="0"/>
                <w:position w:val="0"/>
                <w:sz w:val="24"/>
                <w:szCs w:val="24"/>
                <w:highlight w:val="none"/>
              </w:rPr>
              <w:t>执行《</w:t>
            </w:r>
            <w:r>
              <w:rPr>
                <w:rFonts w:hint="eastAsia" w:cs="Times New Roman"/>
                <w:color w:val="auto"/>
                <w:spacing w:val="0"/>
                <w:w w:val="100"/>
                <w:kern w:val="0"/>
                <w:position w:val="0"/>
                <w:sz w:val="24"/>
                <w:szCs w:val="24"/>
                <w:highlight w:val="none"/>
                <w:lang w:eastAsia="zh-CN"/>
              </w:rPr>
              <w:t>建筑施工噪声排放标准</w:t>
            </w:r>
            <w:r>
              <w:rPr>
                <w:rFonts w:hint="default" w:ascii="Times New Roman" w:hAnsi="Times New Roman" w:cs="Times New Roman"/>
                <w:color w:val="auto"/>
                <w:spacing w:val="0"/>
                <w:w w:val="100"/>
                <w:kern w:val="0"/>
                <w:position w:val="0"/>
                <w:sz w:val="24"/>
                <w:szCs w:val="24"/>
                <w:highlight w:val="none"/>
              </w:rPr>
              <w:t>》（GB12523-20</w:t>
            </w:r>
            <w:r>
              <w:rPr>
                <w:rFonts w:hint="eastAsia" w:cs="Times New Roman"/>
                <w:color w:val="auto"/>
                <w:spacing w:val="0"/>
                <w:w w:val="100"/>
                <w:kern w:val="0"/>
                <w:position w:val="0"/>
                <w:sz w:val="24"/>
                <w:szCs w:val="24"/>
                <w:highlight w:val="none"/>
                <w:lang w:val="en-US" w:eastAsia="zh-CN"/>
              </w:rPr>
              <w:t>25</w:t>
            </w:r>
            <w:r>
              <w:rPr>
                <w:rFonts w:hint="default" w:ascii="Times New Roman" w:hAnsi="Times New Roman" w:cs="Times New Roman"/>
                <w:color w:val="auto"/>
                <w:spacing w:val="0"/>
                <w:w w:val="100"/>
                <w:kern w:val="0"/>
                <w:position w:val="0"/>
                <w:sz w:val="24"/>
                <w:szCs w:val="24"/>
                <w:highlight w:val="none"/>
              </w:rPr>
              <w:t>）</w:t>
            </w:r>
            <w:r>
              <w:rPr>
                <w:rFonts w:hint="eastAsia" w:ascii="Times New Roman" w:hAnsi="Times New Roman" w:cs="Times New Roman"/>
                <w:color w:val="auto"/>
                <w:spacing w:val="0"/>
                <w:w w:val="100"/>
                <w:kern w:val="0"/>
                <w:position w:val="0"/>
                <w:sz w:val="24"/>
                <w:szCs w:val="24"/>
                <w:highlight w:val="none"/>
                <w:lang w:eastAsia="zh-CN"/>
              </w:rPr>
              <w:t>，</w:t>
            </w:r>
            <w:r>
              <w:rPr>
                <w:rFonts w:hint="default" w:ascii="Times New Roman" w:hAnsi="Times New Roman" w:cs="Times New Roman"/>
                <w:color w:val="auto"/>
                <w:spacing w:val="0"/>
                <w:w w:val="100"/>
                <w:kern w:val="0"/>
                <w:position w:val="0"/>
                <w:sz w:val="24"/>
                <w:szCs w:val="24"/>
                <w:highlight w:val="none"/>
              </w:rPr>
              <w:t>具体</w:t>
            </w:r>
            <w:r>
              <w:rPr>
                <w:rFonts w:hint="eastAsia" w:ascii="Times New Roman" w:hAnsi="Times New Roman" w:cs="Times New Roman"/>
                <w:color w:val="auto"/>
                <w:spacing w:val="0"/>
                <w:w w:val="100"/>
                <w:kern w:val="0"/>
                <w:position w:val="0"/>
                <w:sz w:val="24"/>
                <w:szCs w:val="24"/>
                <w:highlight w:val="none"/>
                <w:lang w:val="en-US" w:eastAsia="zh-CN"/>
              </w:rPr>
              <w:t>标准限值</w:t>
            </w:r>
            <w:r>
              <w:rPr>
                <w:rFonts w:hint="default" w:ascii="Times New Roman" w:hAnsi="Times New Roman" w:cs="Times New Roman"/>
                <w:color w:val="auto"/>
                <w:spacing w:val="0"/>
                <w:w w:val="100"/>
                <w:kern w:val="0"/>
                <w:position w:val="0"/>
                <w:sz w:val="24"/>
                <w:szCs w:val="24"/>
                <w:highlight w:val="none"/>
              </w:rPr>
              <w:t>见表</w:t>
            </w:r>
            <w:r>
              <w:rPr>
                <w:rFonts w:hint="eastAsia" w:ascii="Times New Roman" w:hAnsi="Times New Roman" w:cs="Times New Roman"/>
                <w:color w:val="auto"/>
                <w:spacing w:val="0"/>
                <w:w w:val="100"/>
                <w:kern w:val="0"/>
                <w:position w:val="0"/>
                <w:sz w:val="24"/>
                <w:szCs w:val="24"/>
                <w:highlight w:val="none"/>
                <w:lang w:val="en-US" w:eastAsia="zh-CN"/>
              </w:rPr>
              <w:t>3-</w:t>
            </w:r>
            <w:r>
              <w:rPr>
                <w:rFonts w:hint="eastAsia" w:cs="Times New Roman"/>
                <w:color w:val="auto"/>
                <w:spacing w:val="0"/>
                <w:w w:val="100"/>
                <w:kern w:val="0"/>
                <w:position w:val="0"/>
                <w:sz w:val="24"/>
                <w:szCs w:val="24"/>
                <w:highlight w:val="none"/>
                <w:lang w:val="en-US" w:eastAsia="zh-CN"/>
              </w:rPr>
              <w:t>11</w:t>
            </w:r>
            <w:r>
              <w:rPr>
                <w:rFonts w:hint="default" w:ascii="Times New Roman" w:hAnsi="Times New Roman" w:cs="Times New Roman"/>
                <w:color w:val="auto"/>
                <w:spacing w:val="0"/>
                <w:w w:val="100"/>
                <w:kern w:val="0"/>
                <w:position w:val="0"/>
                <w:sz w:val="24"/>
                <w:szCs w:val="24"/>
                <w:highlight w:val="none"/>
              </w:rPr>
              <w:t>。</w:t>
            </w:r>
          </w:p>
          <w:p w14:paraId="2AB5795F">
            <w:pPr>
              <w:spacing w:before="72"/>
              <w:ind w:firstLine="442"/>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表</w:t>
            </w:r>
            <w:r>
              <w:rPr>
                <w:rFonts w:hint="eastAsia" w:ascii="Times New Roman" w:hAnsi="Times New Roman" w:cs="Times New Roman"/>
                <w:b/>
                <w:bCs/>
                <w:color w:val="auto"/>
                <w:sz w:val="21"/>
                <w:szCs w:val="21"/>
                <w:highlight w:val="none"/>
                <w:lang w:val="en-US" w:eastAsia="zh-CN"/>
              </w:rPr>
              <w:t>3-</w:t>
            </w:r>
            <w:r>
              <w:rPr>
                <w:rFonts w:hint="eastAsia" w:cs="Times New Roman"/>
                <w:b/>
                <w:bCs/>
                <w:color w:val="auto"/>
                <w:sz w:val="21"/>
                <w:szCs w:val="21"/>
                <w:highlight w:val="none"/>
                <w:lang w:val="en-US" w:eastAsia="zh-CN"/>
              </w:rPr>
              <w:t>11</w:t>
            </w:r>
            <w:r>
              <w:rPr>
                <w:rFonts w:hint="default" w:ascii="Times New Roman" w:hAnsi="Times New Roman" w:cs="Times New Roman"/>
                <w:b/>
                <w:bCs/>
                <w:color w:val="auto"/>
                <w:sz w:val="21"/>
                <w:szCs w:val="21"/>
                <w:highlight w:val="none"/>
              </w:rPr>
              <w:t xml:space="preserve">  噪声</w:t>
            </w:r>
            <w:r>
              <w:rPr>
                <w:rFonts w:hint="eastAsia" w:ascii="Times New Roman" w:hAnsi="Times New Roman" w:cs="Times New Roman"/>
                <w:b/>
                <w:bCs/>
                <w:color w:val="auto"/>
                <w:sz w:val="21"/>
                <w:szCs w:val="21"/>
                <w:highlight w:val="none"/>
                <w:lang w:val="en-US" w:eastAsia="zh-CN"/>
              </w:rPr>
              <w:t>排放</w:t>
            </w:r>
            <w:r>
              <w:rPr>
                <w:rFonts w:hint="default" w:ascii="Times New Roman" w:hAnsi="Times New Roman" w:cs="Times New Roman"/>
                <w:b/>
                <w:bCs/>
                <w:color w:val="auto"/>
                <w:sz w:val="21"/>
                <w:szCs w:val="21"/>
                <w:highlight w:val="none"/>
              </w:rPr>
              <w:t>标准      单位：dB（A）</w:t>
            </w:r>
          </w:p>
          <w:tbl>
            <w:tblPr>
              <w:tblStyle w:val="16"/>
              <w:tblW w:w="8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85"/>
              <w:gridCol w:w="967"/>
              <w:gridCol w:w="1106"/>
            </w:tblGrid>
            <w:tr w14:paraId="006BE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5985" w:type="dxa"/>
                  <w:tcBorders>
                    <w:top w:val="single" w:color="auto" w:sz="4" w:space="0"/>
                    <w:bottom w:val="single" w:color="auto" w:sz="4" w:space="0"/>
                    <w:right w:val="single" w:color="auto" w:sz="4" w:space="0"/>
                  </w:tcBorders>
                  <w:noWrap w:val="0"/>
                  <w:vAlign w:val="center"/>
                </w:tcPr>
                <w:p w14:paraId="436EE69F">
                  <w:pPr>
                    <w:keepNext w:val="0"/>
                    <w:keepLines w:val="0"/>
                    <w:pageBreakBefore w:val="0"/>
                    <w:widowControl w:val="0"/>
                    <w:kinsoku/>
                    <w:wordWrap/>
                    <w:overflowPunct/>
                    <w:topLinePunct w:val="0"/>
                    <w:autoSpaceDE/>
                    <w:autoSpaceDN/>
                    <w:bidi w:val="0"/>
                    <w:adjustRightInd/>
                    <w:snapToGrid/>
                    <w:spacing w:line="360" w:lineRule="exact"/>
                    <w:contextualSpacing/>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执行标准</w:t>
                  </w:r>
                </w:p>
              </w:tc>
              <w:tc>
                <w:tcPr>
                  <w:tcW w:w="967" w:type="dxa"/>
                  <w:tcBorders>
                    <w:top w:val="single" w:color="auto" w:sz="4" w:space="0"/>
                    <w:left w:val="single" w:color="auto" w:sz="4" w:space="0"/>
                    <w:bottom w:val="single" w:color="auto" w:sz="4" w:space="0"/>
                    <w:right w:val="single" w:color="auto" w:sz="4" w:space="0"/>
                  </w:tcBorders>
                  <w:noWrap w:val="0"/>
                  <w:vAlign w:val="center"/>
                </w:tcPr>
                <w:p w14:paraId="47D3EBE1">
                  <w:pPr>
                    <w:keepNext w:val="0"/>
                    <w:keepLines w:val="0"/>
                    <w:pageBreakBefore w:val="0"/>
                    <w:widowControl w:val="0"/>
                    <w:kinsoku/>
                    <w:wordWrap/>
                    <w:overflowPunct/>
                    <w:topLinePunct w:val="0"/>
                    <w:autoSpaceDE/>
                    <w:autoSpaceDN/>
                    <w:bidi w:val="0"/>
                    <w:adjustRightInd/>
                    <w:snapToGrid/>
                    <w:spacing w:line="360" w:lineRule="exact"/>
                    <w:contextualSpacing/>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昼间</w:t>
                  </w:r>
                </w:p>
              </w:tc>
              <w:tc>
                <w:tcPr>
                  <w:tcW w:w="1106" w:type="dxa"/>
                  <w:tcBorders>
                    <w:top w:val="single" w:color="auto" w:sz="4" w:space="0"/>
                    <w:left w:val="single" w:color="auto" w:sz="4" w:space="0"/>
                    <w:bottom w:val="single" w:color="auto" w:sz="4" w:space="0"/>
                    <w:right w:val="single" w:color="auto" w:sz="4" w:space="0"/>
                  </w:tcBorders>
                  <w:noWrap w:val="0"/>
                  <w:vAlign w:val="center"/>
                </w:tcPr>
                <w:p w14:paraId="76CC94B8">
                  <w:pPr>
                    <w:keepNext w:val="0"/>
                    <w:keepLines w:val="0"/>
                    <w:pageBreakBefore w:val="0"/>
                    <w:widowControl w:val="0"/>
                    <w:kinsoku/>
                    <w:wordWrap/>
                    <w:overflowPunct/>
                    <w:topLinePunct w:val="0"/>
                    <w:autoSpaceDE/>
                    <w:autoSpaceDN/>
                    <w:bidi w:val="0"/>
                    <w:adjustRightInd/>
                    <w:snapToGrid/>
                    <w:spacing w:line="360" w:lineRule="exact"/>
                    <w:contextualSpacing/>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夜间</w:t>
                  </w:r>
                </w:p>
              </w:tc>
            </w:tr>
            <w:tr w14:paraId="1EC0B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5985" w:type="dxa"/>
                  <w:tcBorders>
                    <w:top w:val="single" w:color="auto" w:sz="4" w:space="0"/>
                    <w:left w:val="single" w:color="auto" w:sz="4" w:space="0"/>
                    <w:bottom w:val="single" w:color="auto" w:sz="4" w:space="0"/>
                    <w:right w:val="single" w:color="auto" w:sz="4" w:space="0"/>
                  </w:tcBorders>
                  <w:noWrap w:val="0"/>
                  <w:vAlign w:val="center"/>
                </w:tcPr>
                <w:p w14:paraId="7A63831F">
                  <w:pPr>
                    <w:keepNext w:val="0"/>
                    <w:keepLines w:val="0"/>
                    <w:pageBreakBefore w:val="0"/>
                    <w:widowControl w:val="0"/>
                    <w:kinsoku/>
                    <w:wordWrap/>
                    <w:overflowPunct/>
                    <w:topLinePunct w:val="0"/>
                    <w:autoSpaceDE/>
                    <w:autoSpaceDN/>
                    <w:bidi w:val="0"/>
                    <w:adjustRightInd/>
                    <w:snapToGrid/>
                    <w:spacing w:line="360" w:lineRule="exact"/>
                    <w:contextualSpacing/>
                    <w:jc w:val="center"/>
                    <w:textAlignment w:val="auto"/>
                    <w:rPr>
                      <w:rFonts w:hint="default" w:ascii="Times New Roman" w:hAnsi="Times New Roman" w:cs="Times New Roman"/>
                      <w:bCs/>
                      <w:color w:val="auto"/>
                      <w:kern w:val="2"/>
                      <w:sz w:val="21"/>
                      <w:szCs w:val="21"/>
                      <w:highlight w:val="none"/>
                      <w:lang w:val="en-US" w:eastAsia="zh-CN" w:bidi="ar-SA"/>
                    </w:rPr>
                  </w:pPr>
                  <w:r>
                    <w:rPr>
                      <w:rFonts w:hint="default" w:ascii="Times New Roman" w:hAnsi="Times New Roman" w:cs="Times New Roman"/>
                      <w:color w:val="auto"/>
                      <w:spacing w:val="4"/>
                      <w:sz w:val="21"/>
                      <w:szCs w:val="21"/>
                      <w:highlight w:val="none"/>
                    </w:rPr>
                    <w:t>《</w:t>
                  </w:r>
                  <w:r>
                    <w:rPr>
                      <w:rFonts w:hint="eastAsia" w:cs="Times New Roman"/>
                      <w:color w:val="auto"/>
                      <w:spacing w:val="4"/>
                      <w:sz w:val="21"/>
                      <w:szCs w:val="21"/>
                      <w:highlight w:val="none"/>
                      <w:lang w:eastAsia="zh-CN"/>
                    </w:rPr>
                    <w:t>建筑施工噪声排放标准</w:t>
                  </w:r>
                  <w:r>
                    <w:rPr>
                      <w:rFonts w:hint="default" w:ascii="Times New Roman" w:hAnsi="Times New Roman" w:cs="Times New Roman"/>
                      <w:color w:val="auto"/>
                      <w:spacing w:val="4"/>
                      <w:sz w:val="21"/>
                      <w:szCs w:val="21"/>
                      <w:highlight w:val="none"/>
                    </w:rPr>
                    <w:t>》（GB12523-20</w:t>
                  </w:r>
                  <w:r>
                    <w:rPr>
                      <w:rFonts w:hint="eastAsia" w:cs="Times New Roman"/>
                      <w:color w:val="auto"/>
                      <w:spacing w:val="4"/>
                      <w:sz w:val="21"/>
                      <w:szCs w:val="21"/>
                      <w:highlight w:val="none"/>
                      <w:lang w:val="en-US" w:eastAsia="zh-CN"/>
                    </w:rPr>
                    <w:t>25</w:t>
                  </w:r>
                  <w:r>
                    <w:rPr>
                      <w:rFonts w:hint="default" w:ascii="Times New Roman" w:hAnsi="Times New Roman" w:cs="Times New Roman"/>
                      <w:color w:val="auto"/>
                      <w:spacing w:val="4"/>
                      <w:sz w:val="21"/>
                      <w:szCs w:val="21"/>
                      <w:highlight w:val="none"/>
                    </w:rPr>
                    <w:t>）</w:t>
                  </w:r>
                </w:p>
              </w:tc>
              <w:tc>
                <w:tcPr>
                  <w:tcW w:w="967" w:type="dxa"/>
                  <w:tcBorders>
                    <w:top w:val="single" w:color="auto" w:sz="4" w:space="0"/>
                    <w:left w:val="single" w:color="auto" w:sz="4" w:space="0"/>
                    <w:bottom w:val="single" w:color="auto" w:sz="4" w:space="0"/>
                    <w:right w:val="single" w:color="auto" w:sz="4" w:space="0"/>
                  </w:tcBorders>
                  <w:noWrap w:val="0"/>
                  <w:vAlign w:val="center"/>
                </w:tcPr>
                <w:p w14:paraId="3D14C3A7">
                  <w:pPr>
                    <w:keepNext w:val="0"/>
                    <w:keepLines w:val="0"/>
                    <w:pageBreakBefore w:val="0"/>
                    <w:widowControl w:val="0"/>
                    <w:kinsoku/>
                    <w:wordWrap/>
                    <w:overflowPunct/>
                    <w:topLinePunct w:val="0"/>
                    <w:autoSpaceDE/>
                    <w:autoSpaceDN/>
                    <w:bidi w:val="0"/>
                    <w:adjustRightInd/>
                    <w:snapToGrid/>
                    <w:spacing w:line="360" w:lineRule="exact"/>
                    <w:contextualSpacing/>
                    <w:jc w:val="center"/>
                    <w:textAlignment w:val="auto"/>
                    <w:rPr>
                      <w:rFonts w:hint="eastAsia"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70</w:t>
                  </w:r>
                </w:p>
              </w:tc>
              <w:tc>
                <w:tcPr>
                  <w:tcW w:w="1106" w:type="dxa"/>
                  <w:tcBorders>
                    <w:top w:val="single" w:color="auto" w:sz="4" w:space="0"/>
                    <w:left w:val="single" w:color="auto" w:sz="4" w:space="0"/>
                    <w:bottom w:val="single" w:color="auto" w:sz="4" w:space="0"/>
                    <w:right w:val="single" w:color="auto" w:sz="4" w:space="0"/>
                  </w:tcBorders>
                  <w:noWrap w:val="0"/>
                  <w:vAlign w:val="center"/>
                </w:tcPr>
                <w:p w14:paraId="2BD277E4">
                  <w:pPr>
                    <w:keepNext w:val="0"/>
                    <w:keepLines w:val="0"/>
                    <w:pageBreakBefore w:val="0"/>
                    <w:widowControl w:val="0"/>
                    <w:kinsoku/>
                    <w:wordWrap/>
                    <w:overflowPunct/>
                    <w:topLinePunct w:val="0"/>
                    <w:autoSpaceDE/>
                    <w:autoSpaceDN/>
                    <w:bidi w:val="0"/>
                    <w:adjustRightInd/>
                    <w:snapToGrid/>
                    <w:spacing w:line="360" w:lineRule="exact"/>
                    <w:contextualSpacing/>
                    <w:jc w:val="center"/>
                    <w:textAlignment w:val="auto"/>
                    <w:rPr>
                      <w:rFonts w:hint="eastAsia"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55</w:t>
                  </w:r>
                </w:p>
              </w:tc>
            </w:tr>
          </w:tbl>
          <w:p w14:paraId="354DE3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w w:val="100"/>
                <w:kern w:val="0"/>
                <w:position w:val="0"/>
                <w:sz w:val="24"/>
                <w:szCs w:val="24"/>
                <w:highlight w:val="none"/>
                <w:lang w:val="en-US" w:eastAsia="zh-CN"/>
              </w:rPr>
            </w:pPr>
            <w:r>
              <w:rPr>
                <w:rFonts w:hint="default" w:ascii="Times New Roman" w:hAnsi="Times New Roman" w:eastAsia="宋体" w:cs="Times New Roman"/>
                <w:color w:val="auto"/>
                <w:spacing w:val="0"/>
                <w:w w:val="100"/>
                <w:kern w:val="0"/>
                <w:position w:val="0"/>
                <w:sz w:val="24"/>
                <w:szCs w:val="24"/>
                <w:highlight w:val="none"/>
                <w:lang w:val="en-US" w:eastAsia="zh-CN"/>
              </w:rPr>
              <w:t>（4）固体废物</w:t>
            </w:r>
          </w:p>
          <w:p w14:paraId="412956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lang w:val="en-US" w:eastAsia="zh-CN"/>
              </w:rPr>
            </w:pPr>
            <w:r>
              <w:rPr>
                <w:rFonts w:hint="default" w:ascii="Times New Roman" w:hAnsi="Times New Roman" w:eastAsia="宋体" w:cs="Times New Roman"/>
                <w:color w:val="auto"/>
                <w:spacing w:val="0"/>
                <w:w w:val="100"/>
                <w:kern w:val="0"/>
                <w:position w:val="0"/>
                <w:sz w:val="24"/>
                <w:szCs w:val="24"/>
                <w:highlight w:val="none"/>
                <w:lang w:val="en-US" w:eastAsia="zh-CN"/>
              </w:rPr>
              <w:t>一般工业固体废物贮存、处置执行《一般工业固体废物贮存和填埋污染控制标准》（GB18599-2020）中的有关规定。</w:t>
            </w:r>
          </w:p>
        </w:tc>
      </w:tr>
      <w:tr w14:paraId="49A3C1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9" w:hRule="atLeast"/>
          <w:jc w:val="center"/>
        </w:trPr>
        <w:tc>
          <w:tcPr>
            <w:tcW w:w="786" w:type="dxa"/>
            <w:noWrap w:val="0"/>
            <w:vAlign w:val="center"/>
          </w:tcPr>
          <w:p w14:paraId="65E545EF">
            <w:pPr>
              <w:adjustRightInd w:val="0"/>
              <w:snapToGrid w:val="0"/>
              <w:jc w:val="center"/>
              <w:rPr>
                <w:rFonts w:hint="default" w:ascii="宋体" w:hAnsi="宋体" w:cs="宋体"/>
                <w:color w:val="auto"/>
                <w:kern w:val="0"/>
                <w:sz w:val="24"/>
                <w:lang w:val="en-US" w:eastAsia="zh-CN"/>
              </w:rPr>
            </w:pPr>
            <w:r>
              <w:rPr>
                <w:rFonts w:hint="eastAsia" w:ascii="宋体" w:hAnsi="宋体" w:cs="宋体"/>
                <w:color w:val="auto"/>
                <w:kern w:val="0"/>
                <w:sz w:val="24"/>
                <w:lang w:val="en-US" w:eastAsia="zh-CN"/>
              </w:rPr>
              <w:t>其他</w:t>
            </w:r>
          </w:p>
        </w:tc>
        <w:tc>
          <w:tcPr>
            <w:tcW w:w="8253" w:type="dxa"/>
            <w:noWrap w:val="0"/>
            <w:vAlign w:val="center"/>
          </w:tcPr>
          <w:p w14:paraId="528D7A88">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本</w:t>
            </w:r>
            <w:r>
              <w:rPr>
                <w:rFonts w:hint="eastAsia" w:ascii="Times New Roman" w:hAnsi="Times New Roman" w:cs="Times New Roman"/>
                <w:color w:val="auto"/>
                <w:kern w:val="0"/>
                <w:sz w:val="24"/>
                <w:szCs w:val="24"/>
                <w:lang w:val="en-US" w:eastAsia="zh-CN"/>
              </w:rPr>
              <w:t>工程</w:t>
            </w:r>
            <w:r>
              <w:rPr>
                <w:rFonts w:hint="default" w:ascii="Times New Roman" w:hAnsi="Times New Roman" w:cs="Times New Roman"/>
                <w:color w:val="auto"/>
                <w:kern w:val="0"/>
                <w:sz w:val="24"/>
                <w:szCs w:val="24"/>
                <w:lang w:val="en-US" w:eastAsia="zh-CN"/>
              </w:rPr>
              <w:t>为</w:t>
            </w:r>
            <w:r>
              <w:rPr>
                <w:rFonts w:hint="eastAsia" w:cs="Times New Roman"/>
                <w:color w:val="auto"/>
                <w:kern w:val="0"/>
                <w:sz w:val="24"/>
                <w:szCs w:val="24"/>
                <w:lang w:val="en-US" w:eastAsia="zh-CN"/>
              </w:rPr>
              <w:t>污水处理厂人工湿地水质净化</w:t>
            </w:r>
            <w:r>
              <w:rPr>
                <w:rFonts w:hint="default" w:ascii="Times New Roman" w:hAnsi="Times New Roman" w:cs="Times New Roman"/>
                <w:color w:val="auto"/>
                <w:kern w:val="0"/>
                <w:sz w:val="24"/>
                <w:szCs w:val="24"/>
                <w:lang w:val="en-US" w:eastAsia="zh-CN"/>
              </w:rPr>
              <w:t>工程，主要污染物在施工期产生，施工废水经沉淀池收集处理后回用不外排，生活污水依托周边</w:t>
            </w:r>
            <w:r>
              <w:rPr>
                <w:rFonts w:hint="eastAsia" w:cs="Times New Roman"/>
                <w:color w:val="auto"/>
                <w:kern w:val="0"/>
                <w:sz w:val="24"/>
                <w:szCs w:val="24"/>
                <w:lang w:val="en-US" w:eastAsia="zh-CN"/>
              </w:rPr>
              <w:t>村民</w:t>
            </w:r>
            <w:r>
              <w:rPr>
                <w:rFonts w:hint="default" w:ascii="Times New Roman" w:hAnsi="Times New Roman" w:cs="Times New Roman"/>
                <w:color w:val="auto"/>
                <w:kern w:val="0"/>
                <w:sz w:val="24"/>
                <w:szCs w:val="24"/>
                <w:lang w:val="en-US" w:eastAsia="zh-CN"/>
              </w:rPr>
              <w:t>化粪池处理后</w:t>
            </w:r>
            <w:r>
              <w:rPr>
                <w:rFonts w:hint="eastAsia" w:cs="Times New Roman"/>
                <w:color w:val="auto"/>
                <w:kern w:val="0"/>
                <w:sz w:val="24"/>
                <w:szCs w:val="24"/>
                <w:lang w:val="en-US" w:eastAsia="zh-CN"/>
              </w:rPr>
              <w:t>进入市政污水管网</w:t>
            </w:r>
            <w:r>
              <w:rPr>
                <w:rFonts w:hint="default" w:ascii="Times New Roman" w:hAnsi="Times New Roman" w:cs="Times New Roman"/>
                <w:color w:val="auto"/>
                <w:kern w:val="0"/>
                <w:sz w:val="24"/>
                <w:szCs w:val="24"/>
                <w:lang w:val="en-US" w:eastAsia="zh-CN"/>
              </w:rPr>
              <w:t>；施工期大气污染以施工器械燃油尾气和施工扬尘为主，污染源分散于</w:t>
            </w:r>
            <w:r>
              <w:rPr>
                <w:rFonts w:hint="eastAsia" w:cs="Times New Roman"/>
                <w:color w:val="auto"/>
                <w:kern w:val="0"/>
                <w:sz w:val="24"/>
                <w:szCs w:val="24"/>
                <w:lang w:val="en-US" w:eastAsia="zh-CN"/>
              </w:rPr>
              <w:t>各施工段处</w:t>
            </w:r>
            <w:r>
              <w:rPr>
                <w:rFonts w:hint="default" w:ascii="Times New Roman" w:hAnsi="Times New Roman" w:cs="Times New Roman"/>
                <w:color w:val="auto"/>
                <w:kern w:val="0"/>
                <w:sz w:val="24"/>
                <w:szCs w:val="24"/>
                <w:lang w:val="en-US" w:eastAsia="zh-CN"/>
              </w:rPr>
              <w:t>，影响轻微。</w:t>
            </w:r>
          </w:p>
          <w:p w14:paraId="1BBA12BB">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因此，根据《建设项目主要污染物排放总量指标审核及管理暂行办法》（环发〔2014〕19号）的要求和国家</w:t>
            </w:r>
            <w:r>
              <w:rPr>
                <w:rFonts w:hint="eastAsia" w:cs="Times New Roman"/>
                <w:color w:val="auto"/>
                <w:kern w:val="0"/>
                <w:sz w:val="24"/>
                <w:szCs w:val="24"/>
                <w:lang w:val="en-US" w:eastAsia="zh-CN"/>
              </w:rPr>
              <w:t>″</w:t>
            </w:r>
            <w:r>
              <w:rPr>
                <w:rFonts w:hint="default" w:ascii="Times New Roman" w:hAnsi="Times New Roman" w:cs="Times New Roman"/>
                <w:color w:val="auto"/>
                <w:kern w:val="0"/>
                <w:sz w:val="24"/>
                <w:szCs w:val="24"/>
                <w:lang w:val="en-US" w:eastAsia="zh-CN"/>
              </w:rPr>
              <w:t>十四五</w:t>
            </w:r>
            <w:r>
              <w:rPr>
                <w:rFonts w:hint="eastAsia" w:cs="Times New Roman"/>
                <w:color w:val="auto"/>
                <w:kern w:val="0"/>
                <w:sz w:val="24"/>
                <w:szCs w:val="24"/>
                <w:lang w:val="en-US" w:eastAsia="zh-CN"/>
              </w:rPr>
              <w:t>″</w:t>
            </w:r>
            <w:r>
              <w:rPr>
                <w:rFonts w:hint="default" w:ascii="Times New Roman" w:hAnsi="Times New Roman" w:cs="Times New Roman"/>
                <w:color w:val="auto"/>
                <w:kern w:val="0"/>
                <w:sz w:val="24"/>
                <w:szCs w:val="24"/>
                <w:lang w:val="en-US" w:eastAsia="zh-CN"/>
              </w:rPr>
              <w:t>总量控制指标，结合</w:t>
            </w:r>
            <w:r>
              <w:rPr>
                <w:rFonts w:hint="eastAsia" w:ascii="Times New Roman" w:hAnsi="Times New Roman" w:cs="Times New Roman"/>
                <w:color w:val="auto"/>
                <w:kern w:val="0"/>
                <w:sz w:val="24"/>
                <w:szCs w:val="24"/>
                <w:lang w:val="en-US" w:eastAsia="zh-CN"/>
              </w:rPr>
              <w:t>工程</w:t>
            </w:r>
            <w:r>
              <w:rPr>
                <w:rFonts w:hint="default" w:ascii="Times New Roman" w:hAnsi="Times New Roman" w:cs="Times New Roman"/>
                <w:color w:val="auto"/>
                <w:kern w:val="0"/>
                <w:sz w:val="24"/>
                <w:szCs w:val="24"/>
                <w:lang w:val="en-US" w:eastAsia="zh-CN"/>
              </w:rPr>
              <w:t>的工艺特征、排污特点和周围环境情况，本</w:t>
            </w:r>
            <w:r>
              <w:rPr>
                <w:rFonts w:hint="eastAsia" w:ascii="Times New Roman" w:hAnsi="Times New Roman" w:cs="Times New Roman"/>
                <w:color w:val="auto"/>
                <w:kern w:val="0"/>
                <w:sz w:val="24"/>
                <w:szCs w:val="24"/>
                <w:lang w:val="en-US" w:eastAsia="zh-CN"/>
              </w:rPr>
              <w:t>工程</w:t>
            </w:r>
            <w:r>
              <w:rPr>
                <w:rFonts w:hint="default" w:ascii="Times New Roman" w:hAnsi="Times New Roman" w:cs="Times New Roman"/>
                <w:color w:val="auto"/>
                <w:kern w:val="0"/>
                <w:sz w:val="24"/>
                <w:szCs w:val="24"/>
                <w:lang w:val="en-US" w:eastAsia="zh-CN"/>
              </w:rPr>
              <w:t>可不设污染物总量控制指标。</w:t>
            </w:r>
          </w:p>
        </w:tc>
      </w:tr>
    </w:tbl>
    <w:p w14:paraId="16480DA9">
      <w:pPr>
        <w:pStyle w:val="1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outlineLvl w:val="0"/>
        <w:rPr>
          <w:rFonts w:hint="eastAsia" w:ascii="黑体" w:hAnsi="黑体" w:eastAsia="黑体"/>
          <w:snapToGrid w:val="0"/>
          <w:color w:val="auto"/>
          <w:sz w:val="30"/>
          <w:szCs w:val="30"/>
          <w:lang w:val="en-US" w:eastAsia="zh-CN"/>
        </w:rPr>
      </w:pPr>
      <w:r>
        <w:rPr>
          <w:rFonts w:ascii="黑体" w:hAnsi="黑体" w:eastAsia="黑体"/>
          <w:snapToGrid w:val="0"/>
          <w:color w:val="auto"/>
          <w:sz w:val="36"/>
          <w:szCs w:val="36"/>
        </w:rPr>
        <w:br w:type="page"/>
      </w:r>
      <w:r>
        <w:rPr>
          <w:rFonts w:hint="eastAsia" w:ascii="黑体" w:hAnsi="黑体" w:eastAsia="黑体"/>
          <w:snapToGrid w:val="0"/>
          <w:color w:val="auto"/>
          <w:sz w:val="30"/>
          <w:szCs w:val="30"/>
        </w:rPr>
        <w:t>四、</w:t>
      </w:r>
      <w:r>
        <w:rPr>
          <w:rFonts w:hint="eastAsia" w:ascii="黑体" w:hAnsi="黑体" w:eastAsia="黑体"/>
          <w:snapToGrid w:val="0"/>
          <w:color w:val="auto"/>
          <w:sz w:val="30"/>
          <w:szCs w:val="30"/>
          <w:lang w:val="en-US" w:eastAsia="zh-CN"/>
        </w:rPr>
        <w:t>生态</w:t>
      </w:r>
      <w:r>
        <w:rPr>
          <w:rFonts w:hint="eastAsia" w:ascii="黑体" w:hAnsi="黑体" w:eastAsia="黑体"/>
          <w:snapToGrid w:val="0"/>
          <w:color w:val="auto"/>
          <w:sz w:val="30"/>
          <w:szCs w:val="30"/>
        </w:rPr>
        <w:t>环境影响</w:t>
      </w:r>
      <w:r>
        <w:rPr>
          <w:rFonts w:hint="eastAsia" w:ascii="黑体" w:hAnsi="黑体" w:eastAsia="黑体"/>
          <w:snapToGrid w:val="0"/>
          <w:color w:val="auto"/>
          <w:sz w:val="30"/>
          <w:szCs w:val="30"/>
          <w:lang w:val="en-US" w:eastAsia="zh-CN"/>
        </w:rPr>
        <w:t>分析</w:t>
      </w:r>
    </w:p>
    <w:tbl>
      <w:tblPr>
        <w:tblStyle w:val="16"/>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1"/>
        <w:gridCol w:w="8090"/>
      </w:tblGrid>
      <w:tr w14:paraId="536EA3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38" w:hRule="atLeast"/>
          <w:jc w:val="center"/>
        </w:trPr>
        <w:tc>
          <w:tcPr>
            <w:tcW w:w="891" w:type="dxa"/>
            <w:noWrap w:val="0"/>
            <w:tcMar>
              <w:left w:w="28" w:type="dxa"/>
              <w:right w:w="28" w:type="dxa"/>
            </w:tcMar>
            <w:vAlign w:val="center"/>
          </w:tcPr>
          <w:p w14:paraId="3D642EFE">
            <w:pPr>
              <w:pStyle w:val="15"/>
              <w:adjustRightInd w:val="0"/>
              <w:snapToGrid w:val="0"/>
              <w:spacing w:before="0" w:beforeAutospacing="0" w:after="0" w:afterAutospacing="0"/>
              <w:jc w:val="center"/>
              <w:rPr>
                <w:rFonts w:hint="default" w:cs="宋体"/>
                <w:bCs/>
                <w:color w:val="auto"/>
                <w:kern w:val="2"/>
                <w:sz w:val="21"/>
                <w:szCs w:val="21"/>
                <w:lang w:val="en-US" w:eastAsia="zh-CN"/>
              </w:rPr>
            </w:pPr>
            <w:r>
              <w:rPr>
                <w:rFonts w:hint="eastAsia" w:cs="宋体"/>
                <w:color w:val="auto"/>
                <w:kern w:val="2"/>
                <w:sz w:val="24"/>
                <w:szCs w:val="24"/>
                <w:lang w:val="en-US" w:eastAsia="zh-CN"/>
              </w:rPr>
              <w:t>施工期生态环境影响分析</w:t>
            </w:r>
          </w:p>
        </w:tc>
        <w:tc>
          <w:tcPr>
            <w:tcW w:w="8090" w:type="dxa"/>
            <w:noWrap w:val="0"/>
            <w:vAlign w:val="center"/>
          </w:tcPr>
          <w:p w14:paraId="34A7655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pacing w:val="0"/>
                <w:w w:val="100"/>
                <w:position w:val="0"/>
                <w:sz w:val="24"/>
                <w:szCs w:val="24"/>
                <w:highlight w:val="none"/>
                <w:lang w:val="en-US" w:eastAsia="zh-CN"/>
              </w:rPr>
            </w:pPr>
            <w:r>
              <w:rPr>
                <w:rFonts w:hint="default" w:ascii="Times New Roman" w:hAnsi="Times New Roman" w:cs="Times New Roman"/>
                <w:b/>
                <w:bCs/>
                <w:color w:val="auto"/>
                <w:spacing w:val="0"/>
                <w:w w:val="100"/>
                <w:position w:val="0"/>
                <w:sz w:val="24"/>
                <w:szCs w:val="24"/>
                <w:highlight w:val="none"/>
                <w:lang w:val="en-US" w:eastAsia="zh-CN"/>
              </w:rPr>
              <w:t>1、生态环境影响分析</w:t>
            </w:r>
          </w:p>
          <w:p w14:paraId="619C400E">
            <w:pPr>
              <w:pStyle w:val="20"/>
              <w:keepNext w:val="0"/>
              <w:keepLines w:val="0"/>
              <w:pageBreakBefore w:val="0"/>
              <w:widowControl w:val="0"/>
              <w:kinsoku/>
              <w:wordWrap/>
              <w:overflowPunct w:val="0"/>
              <w:topLinePunct w:val="0"/>
              <w:autoSpaceDE/>
              <w:autoSpaceDN/>
              <w:bidi w:val="0"/>
              <w:adjustRightInd/>
              <w:snapToGrid/>
              <w:spacing w:line="360" w:lineRule="auto"/>
              <w:ind w:leftChars="0" w:firstLine="480" w:firstLineChars="200"/>
              <w:textAlignment w:val="baseline"/>
              <w:rPr>
                <w:rFonts w:hint="default" w:ascii="Times New Roman" w:hAnsi="Times New Roman" w:cs="Times New Roman"/>
                <w:b w:val="0"/>
                <w:bCs/>
                <w:color w:val="auto"/>
                <w:spacing w:val="0"/>
                <w:sz w:val="24"/>
                <w:szCs w:val="24"/>
              </w:rPr>
            </w:pPr>
            <w:r>
              <w:rPr>
                <w:rFonts w:hint="eastAsia" w:ascii="Times New Roman" w:hAnsi="Times New Roman" w:cs="Times New Roman"/>
                <w:color w:val="auto"/>
                <w:spacing w:val="0"/>
                <w:w w:val="100"/>
                <w:position w:val="0"/>
                <w:sz w:val="24"/>
                <w:szCs w:val="24"/>
                <w:highlight w:val="none"/>
                <w:lang w:val="en-US" w:eastAsia="zh-CN"/>
              </w:rPr>
              <w:t>本项目为</w:t>
            </w:r>
            <w:r>
              <w:rPr>
                <w:rFonts w:hint="eastAsia" w:cs="Times New Roman"/>
                <w:color w:val="auto"/>
                <w:spacing w:val="0"/>
                <w:w w:val="100"/>
                <w:position w:val="0"/>
                <w:sz w:val="24"/>
                <w:szCs w:val="24"/>
                <w:highlight w:val="none"/>
                <w:lang w:val="en-US" w:eastAsia="zh-CN"/>
              </w:rPr>
              <w:t>污水处理厂人工湿地水质净化工程</w:t>
            </w:r>
            <w:r>
              <w:rPr>
                <w:rFonts w:hint="eastAsia" w:ascii="Times New Roman" w:hAnsi="Times New Roman" w:cs="Times New Roman"/>
                <w:color w:val="auto"/>
                <w:spacing w:val="0"/>
                <w:w w:val="100"/>
                <w:position w:val="0"/>
                <w:sz w:val="24"/>
                <w:szCs w:val="24"/>
                <w:highlight w:val="none"/>
                <w:lang w:val="en-US" w:eastAsia="zh-CN"/>
              </w:rPr>
              <w:t>，主要建设内容为</w:t>
            </w:r>
            <w:r>
              <w:rPr>
                <w:rFonts w:hint="eastAsia" w:cs="Times New Roman"/>
                <w:color w:val="auto"/>
                <w:spacing w:val="0"/>
                <w:w w:val="100"/>
                <w:position w:val="0"/>
                <w:sz w:val="24"/>
                <w:szCs w:val="24"/>
                <w:highlight w:val="none"/>
                <w:lang w:val="en-US" w:eastAsia="zh-CN"/>
              </w:rPr>
              <w:t>潜流人工湿地、护岸挡墙、护坡、湿地进出水管</w:t>
            </w:r>
            <w:r>
              <w:rPr>
                <w:rFonts w:hint="eastAsia" w:ascii="Times New Roman" w:hAnsi="Times New Roman" w:cs="Times New Roman"/>
                <w:color w:val="auto"/>
                <w:spacing w:val="0"/>
                <w:w w:val="100"/>
                <w:position w:val="0"/>
                <w:sz w:val="24"/>
                <w:szCs w:val="24"/>
                <w:highlight w:val="none"/>
                <w:lang w:val="en-US" w:eastAsia="zh-CN"/>
              </w:rPr>
              <w:t>等，</w:t>
            </w:r>
            <w:r>
              <w:rPr>
                <w:rFonts w:hint="default" w:ascii="Times New Roman" w:hAnsi="Times New Roman" w:cs="Times New Roman"/>
                <w:b w:val="0"/>
                <w:bCs/>
                <w:color w:val="auto"/>
                <w:spacing w:val="0"/>
                <w:sz w:val="24"/>
                <w:szCs w:val="24"/>
              </w:rPr>
              <w:t>生态环境影响主要集中在施工期，</w:t>
            </w:r>
            <w:r>
              <w:rPr>
                <w:rFonts w:hint="eastAsia" w:ascii="Times New Roman" w:hAnsi="Times New Roman" w:cs="Times New Roman"/>
                <w:b w:val="0"/>
                <w:bCs/>
                <w:color w:val="auto"/>
                <w:spacing w:val="0"/>
                <w:sz w:val="24"/>
                <w:szCs w:val="24"/>
                <w:lang w:eastAsia="zh-CN"/>
              </w:rPr>
              <w:t>工程</w:t>
            </w:r>
            <w:r>
              <w:rPr>
                <w:rFonts w:hint="default" w:ascii="Times New Roman" w:hAnsi="Times New Roman" w:cs="Times New Roman"/>
                <w:b w:val="0"/>
                <w:bCs/>
                <w:color w:val="auto"/>
                <w:spacing w:val="0"/>
                <w:sz w:val="24"/>
                <w:szCs w:val="24"/>
              </w:rPr>
              <w:t>施工过程中不仅要进行土石方的填挖，而且有大量的施工机械及人员活动。施工</w:t>
            </w:r>
            <w:r>
              <w:rPr>
                <w:rFonts w:hint="eastAsia" w:ascii="Times New Roman" w:hAnsi="Times New Roman" w:cs="Times New Roman"/>
                <w:b w:val="0"/>
                <w:bCs/>
                <w:color w:val="auto"/>
                <w:spacing w:val="0"/>
                <w:sz w:val="24"/>
                <w:szCs w:val="24"/>
                <w:lang w:eastAsia="zh-CN"/>
              </w:rPr>
              <w:t>期间</w:t>
            </w:r>
            <w:r>
              <w:rPr>
                <w:rFonts w:hint="default" w:ascii="Times New Roman" w:hAnsi="Times New Roman" w:cs="Times New Roman"/>
                <w:b w:val="0"/>
                <w:bCs/>
                <w:color w:val="auto"/>
                <w:spacing w:val="0"/>
                <w:sz w:val="24"/>
                <w:szCs w:val="24"/>
              </w:rPr>
              <w:t>对区域生态环境的影响主要表现在</w:t>
            </w:r>
            <w:r>
              <w:rPr>
                <w:rFonts w:hint="eastAsia" w:ascii="Times New Roman" w:hAnsi="Times New Roman" w:cs="Times New Roman"/>
                <w:b w:val="0"/>
                <w:bCs/>
                <w:color w:val="auto"/>
                <w:spacing w:val="0"/>
                <w:sz w:val="24"/>
                <w:szCs w:val="24"/>
                <w:lang w:val="en-US" w:eastAsia="zh-CN"/>
              </w:rPr>
              <w:t>挖填作业、永久占地等</w:t>
            </w:r>
            <w:r>
              <w:rPr>
                <w:rFonts w:hint="default" w:ascii="Times New Roman" w:hAnsi="Times New Roman" w:cs="Times New Roman"/>
                <w:b w:val="0"/>
                <w:bCs/>
                <w:color w:val="auto"/>
                <w:spacing w:val="0"/>
                <w:sz w:val="24"/>
                <w:szCs w:val="24"/>
              </w:rPr>
              <w:t>土壤扰动</w:t>
            </w:r>
            <w:r>
              <w:rPr>
                <w:rFonts w:hint="eastAsia" w:ascii="Times New Roman" w:hAnsi="Times New Roman" w:cs="Times New Roman"/>
                <w:b w:val="0"/>
                <w:bCs/>
                <w:color w:val="auto"/>
                <w:spacing w:val="0"/>
                <w:sz w:val="24"/>
                <w:szCs w:val="24"/>
                <w:lang w:val="en-US" w:eastAsia="zh-CN"/>
              </w:rPr>
              <w:t>对</w:t>
            </w:r>
            <w:r>
              <w:rPr>
                <w:rFonts w:hint="default" w:ascii="Times New Roman" w:hAnsi="Times New Roman" w:cs="Times New Roman"/>
                <w:b w:val="0"/>
                <w:bCs/>
                <w:color w:val="auto"/>
                <w:spacing w:val="0"/>
                <w:sz w:val="24"/>
                <w:szCs w:val="24"/>
              </w:rPr>
              <w:t>地表植被的破坏，</w:t>
            </w:r>
            <w:r>
              <w:rPr>
                <w:rFonts w:hint="eastAsia" w:ascii="Times New Roman" w:hAnsi="Times New Roman" w:cs="Times New Roman"/>
                <w:b w:val="0"/>
                <w:bCs/>
                <w:color w:val="auto"/>
                <w:spacing w:val="0"/>
                <w:sz w:val="24"/>
                <w:szCs w:val="24"/>
                <w:lang w:eastAsia="zh-CN"/>
              </w:rPr>
              <w:t>造成水土流失、破坏动物栖息环境</w:t>
            </w:r>
            <w:r>
              <w:rPr>
                <w:rFonts w:hint="default" w:ascii="Times New Roman" w:hAnsi="Times New Roman" w:cs="Times New Roman"/>
                <w:b w:val="0"/>
                <w:bCs/>
                <w:color w:val="auto"/>
                <w:spacing w:val="0"/>
                <w:sz w:val="24"/>
                <w:szCs w:val="24"/>
              </w:rPr>
              <w:t>。</w:t>
            </w:r>
          </w:p>
          <w:p w14:paraId="0EFC04D7">
            <w:pPr>
              <w:pStyle w:val="20"/>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baseline"/>
              <w:rPr>
                <w:rFonts w:hint="default" w:ascii="Times New Roman" w:hAnsi="Times New Roman" w:eastAsia="宋体" w:cs="Times New Roman"/>
                <w:b w:val="0"/>
                <w:bCs/>
                <w:color w:val="auto"/>
                <w:spacing w:val="0"/>
                <w:sz w:val="24"/>
                <w:szCs w:val="24"/>
                <w:lang w:val="en-US" w:eastAsia="zh-CN"/>
              </w:rPr>
            </w:pPr>
            <w:r>
              <w:rPr>
                <w:rFonts w:hint="default" w:ascii="Times New Roman" w:hAnsi="Times New Roman" w:eastAsia="宋体" w:cs="Times New Roman"/>
                <w:b w:val="0"/>
                <w:bCs/>
                <w:color w:val="auto"/>
                <w:spacing w:val="0"/>
                <w:sz w:val="24"/>
                <w:szCs w:val="24"/>
                <w:lang w:eastAsia="zh-CN"/>
              </w:rPr>
              <w:t>（</w:t>
            </w:r>
            <w:r>
              <w:rPr>
                <w:rFonts w:hint="default" w:ascii="Times New Roman" w:hAnsi="Times New Roman" w:eastAsia="宋体" w:cs="Times New Roman"/>
                <w:b w:val="0"/>
                <w:bCs/>
                <w:color w:val="auto"/>
                <w:spacing w:val="0"/>
                <w:sz w:val="24"/>
                <w:szCs w:val="24"/>
                <w:lang w:val="en-US" w:eastAsia="zh-CN"/>
              </w:rPr>
              <w:t>1</w:t>
            </w:r>
            <w:r>
              <w:rPr>
                <w:rFonts w:hint="default" w:ascii="Times New Roman" w:hAnsi="Times New Roman" w:eastAsia="宋体" w:cs="Times New Roman"/>
                <w:b w:val="0"/>
                <w:bCs/>
                <w:color w:val="auto"/>
                <w:spacing w:val="0"/>
                <w:sz w:val="24"/>
                <w:szCs w:val="24"/>
                <w:lang w:eastAsia="zh-CN"/>
              </w:rPr>
              <w:t>）</w:t>
            </w:r>
            <w:r>
              <w:rPr>
                <w:rFonts w:hint="default" w:ascii="Times New Roman" w:hAnsi="Times New Roman" w:eastAsia="宋体" w:cs="Times New Roman"/>
                <w:b w:val="0"/>
                <w:bCs/>
                <w:color w:val="auto"/>
                <w:spacing w:val="0"/>
                <w:sz w:val="24"/>
                <w:szCs w:val="24"/>
                <w:lang w:val="en-US" w:eastAsia="zh-CN"/>
              </w:rPr>
              <w:t>对陆生生态的影响</w:t>
            </w:r>
          </w:p>
          <w:p w14:paraId="4C850348">
            <w:pPr>
              <w:pStyle w:val="20"/>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baseline"/>
              <w:rPr>
                <w:rFonts w:hint="eastAsia" w:eastAsia="宋体" w:cs="宋体"/>
                <w:b w:val="0"/>
                <w:bCs/>
                <w:color w:val="auto"/>
                <w:spacing w:val="0"/>
                <w:sz w:val="24"/>
                <w:szCs w:val="24"/>
                <w:lang w:val="en-US" w:eastAsia="zh-CN"/>
              </w:rPr>
            </w:pPr>
            <w:r>
              <w:rPr>
                <w:rFonts w:hint="default" w:ascii="Times New Roman" w:hAnsi="Times New Roman" w:eastAsia="宋体" w:cs="Times New Roman"/>
                <w:b w:val="0"/>
                <w:bCs/>
                <w:color w:val="auto"/>
                <w:spacing w:val="0"/>
                <w:sz w:val="24"/>
                <w:szCs w:val="24"/>
                <w:lang w:val="en-US" w:eastAsia="zh-CN"/>
              </w:rPr>
              <w:t>①对土地利用格</w:t>
            </w:r>
            <w:r>
              <w:rPr>
                <w:rFonts w:hint="eastAsia" w:eastAsia="宋体" w:cs="宋体"/>
                <w:b w:val="0"/>
                <w:bCs/>
                <w:color w:val="auto"/>
                <w:spacing w:val="0"/>
                <w:sz w:val="24"/>
                <w:szCs w:val="24"/>
                <w:lang w:val="en-US" w:eastAsia="zh-CN"/>
              </w:rPr>
              <w:t>局的影响</w:t>
            </w:r>
          </w:p>
          <w:p w14:paraId="788B1AD6">
            <w:pPr>
              <w:pStyle w:val="20"/>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baseline"/>
              <w:rPr>
                <w:rFonts w:hint="eastAsia" w:cs="宋体"/>
                <w:b w:val="0"/>
                <w:bCs/>
                <w:color w:val="auto"/>
                <w:spacing w:val="0"/>
                <w:sz w:val="24"/>
                <w:szCs w:val="24"/>
                <w:lang w:val="en-US" w:eastAsia="zh-CN"/>
              </w:rPr>
            </w:pPr>
            <w:r>
              <w:rPr>
                <w:rFonts w:hint="eastAsia" w:ascii="宋体" w:hAnsi="宋体" w:eastAsia="宋体" w:cs="宋体"/>
                <w:color w:val="auto"/>
                <w:kern w:val="0"/>
                <w:sz w:val="24"/>
                <w:szCs w:val="24"/>
                <w:lang w:val="en-US" w:eastAsia="zh-CN" w:bidi="ar"/>
              </w:rPr>
              <w:t>工程</w:t>
            </w:r>
            <w:r>
              <w:rPr>
                <w:rFonts w:hint="default" w:ascii="Times New Roman" w:hAnsi="Times New Roman" w:eastAsia="宋体" w:cs="Times New Roman"/>
                <w:color w:val="auto"/>
                <w:kern w:val="0"/>
                <w:sz w:val="24"/>
                <w:szCs w:val="24"/>
                <w:lang w:val="en-US" w:eastAsia="zh-CN" w:bidi="ar"/>
              </w:rPr>
              <w:t>总占地面积</w:t>
            </w:r>
            <w:r>
              <w:rPr>
                <w:rFonts w:hint="eastAsia" w:ascii="Times New Roman" w:hAnsi="Times New Roman" w:cs="Times New Roman"/>
                <w:color w:val="auto"/>
                <w:kern w:val="0"/>
                <w:sz w:val="24"/>
                <w:szCs w:val="24"/>
                <w:lang w:val="en-US" w:eastAsia="zh-CN" w:bidi="ar"/>
              </w:rPr>
              <w:t>36.57</w:t>
            </w:r>
            <w:r>
              <w:rPr>
                <w:rFonts w:hint="default" w:ascii="Times New Roman" w:hAnsi="Times New Roman" w:cs="Times New Roman"/>
                <w:color w:val="auto"/>
                <w:sz w:val="24"/>
                <w:szCs w:val="24"/>
                <w:lang w:val="en-US" w:eastAsia="zh-CN"/>
              </w:rPr>
              <w:t>亩，其中永久</w:t>
            </w:r>
            <w:r>
              <w:rPr>
                <w:rFonts w:hint="eastAsia" w:ascii="Times New Roman" w:hAnsi="Times New Roman" w:cs="Times New Roman"/>
                <w:color w:val="auto"/>
                <w:sz w:val="24"/>
                <w:szCs w:val="24"/>
                <w:lang w:val="en-US" w:eastAsia="zh-CN"/>
              </w:rPr>
              <w:t>占地30.95</w:t>
            </w:r>
            <w:r>
              <w:rPr>
                <w:rFonts w:hint="default" w:ascii="Times New Roman" w:hAnsi="Times New Roman" w:cs="Times New Roman"/>
                <w:color w:val="auto"/>
                <w:sz w:val="24"/>
                <w:szCs w:val="24"/>
                <w:lang w:val="en-US" w:eastAsia="zh-CN"/>
              </w:rPr>
              <w:t>亩，临时占地</w:t>
            </w:r>
            <w:r>
              <w:rPr>
                <w:rFonts w:hint="eastAsia" w:ascii="Times New Roman" w:hAnsi="Times New Roman" w:cs="Times New Roman"/>
                <w:color w:val="auto"/>
                <w:sz w:val="24"/>
                <w:szCs w:val="24"/>
                <w:lang w:val="en-US" w:eastAsia="zh-CN"/>
              </w:rPr>
              <w:t>5.62</w:t>
            </w:r>
            <w:r>
              <w:rPr>
                <w:rFonts w:hint="default" w:ascii="Times New Roman" w:hAnsi="Times New Roman" w:cs="Times New Roman"/>
                <w:color w:val="auto"/>
                <w:sz w:val="24"/>
                <w:szCs w:val="24"/>
                <w:lang w:val="en-US" w:eastAsia="zh-CN"/>
              </w:rPr>
              <w:t>亩</w:t>
            </w:r>
            <w:r>
              <w:rPr>
                <w:rFonts w:hint="default" w:ascii="Times New Roman" w:hAnsi="Times New Roman" w:eastAsia="宋体" w:cs="Times New Roman"/>
                <w:color w:val="auto"/>
                <w:kern w:val="0"/>
                <w:sz w:val="24"/>
                <w:szCs w:val="24"/>
                <w:lang w:val="en-US" w:eastAsia="zh-CN" w:bidi="ar"/>
              </w:rPr>
              <w:t>，</w:t>
            </w:r>
            <w:r>
              <w:rPr>
                <w:rFonts w:hint="default" w:ascii="Times New Roman" w:hAnsi="Times New Roman" w:cs="Times New Roman"/>
                <w:bCs/>
                <w:color w:val="auto"/>
                <w:sz w:val="24"/>
                <w:lang w:eastAsia="zh-TW"/>
              </w:rPr>
              <w:t>占用</w:t>
            </w:r>
            <w:r>
              <w:rPr>
                <w:rFonts w:hint="default" w:ascii="Times New Roman" w:hAnsi="Times New Roman" w:cs="Times New Roman"/>
                <w:color w:val="auto"/>
                <w:sz w:val="24"/>
              </w:rPr>
              <w:t>类型</w:t>
            </w:r>
            <w:r>
              <w:rPr>
                <w:rFonts w:hint="eastAsia" w:ascii="Times New Roman" w:hAnsi="Times New Roman" w:cs="Times New Roman"/>
                <w:color w:val="auto"/>
                <w:sz w:val="24"/>
                <w:lang w:val="en-US" w:eastAsia="zh-CN"/>
              </w:rPr>
              <w:t>以</w:t>
            </w:r>
            <w:r>
              <w:rPr>
                <w:rFonts w:hint="eastAsia" w:cs="Times New Roman"/>
                <w:b w:val="0"/>
                <w:bCs w:val="0"/>
                <w:color w:val="auto"/>
                <w:sz w:val="24"/>
                <w:szCs w:val="24"/>
                <w:highlight w:val="none"/>
                <w:lang w:val="en-US" w:eastAsia="zh-CN"/>
              </w:rPr>
              <w:t>园地、其他林地、草地、乔木林地、公用设施用地</w:t>
            </w:r>
            <w:r>
              <w:rPr>
                <w:rFonts w:hint="default" w:ascii="Times New Roman" w:hAnsi="Times New Roman" w:eastAsia="宋体" w:cs="Times New Roman"/>
                <w:color w:val="auto"/>
                <w:kern w:val="0"/>
                <w:sz w:val="24"/>
                <w:szCs w:val="24"/>
                <w:lang w:val="en-US" w:eastAsia="zh-CN" w:bidi="ar"/>
              </w:rPr>
              <w:t>为主。</w:t>
            </w:r>
            <w:r>
              <w:rPr>
                <w:rFonts w:hint="eastAsia"/>
                <w:bCs/>
                <w:color w:val="auto"/>
                <w:sz w:val="24"/>
                <w:lang w:val="en-US" w:eastAsia="zh-CN"/>
              </w:rPr>
              <w:t>永久</w:t>
            </w:r>
            <w:r>
              <w:rPr>
                <w:bCs/>
                <w:color w:val="auto"/>
                <w:sz w:val="24"/>
                <w:lang w:eastAsia="zh-TW"/>
              </w:rPr>
              <w:t>占地</w:t>
            </w:r>
            <w:r>
              <w:rPr>
                <w:rFonts w:hint="eastAsia"/>
                <w:bCs/>
                <w:color w:val="auto"/>
                <w:sz w:val="24"/>
                <w:lang w:eastAsia="zh-CN"/>
              </w:rPr>
              <w:t>主要是</w:t>
            </w:r>
            <w:r>
              <w:rPr>
                <w:rFonts w:hint="eastAsia"/>
                <w:bCs/>
                <w:color w:val="auto"/>
                <w:sz w:val="24"/>
                <w:lang w:val="en-US" w:eastAsia="zh-CN"/>
              </w:rPr>
              <w:t>护岸挡墙、护坡</w:t>
            </w:r>
            <w:r>
              <w:rPr>
                <w:rFonts w:hint="eastAsia"/>
                <w:bCs/>
                <w:color w:val="auto"/>
                <w:sz w:val="24"/>
                <w:lang w:eastAsia="zh-CN"/>
              </w:rPr>
              <w:t>、</w:t>
            </w:r>
            <w:r>
              <w:rPr>
                <w:rFonts w:hint="eastAsia"/>
                <w:bCs/>
                <w:color w:val="auto"/>
                <w:sz w:val="24"/>
                <w:lang w:val="en-US" w:eastAsia="zh-CN"/>
              </w:rPr>
              <w:t>人工湿地和堤顶道路</w:t>
            </w:r>
            <w:r>
              <w:rPr>
                <w:rFonts w:hint="eastAsia"/>
                <w:bCs/>
                <w:color w:val="auto"/>
                <w:sz w:val="24"/>
                <w:lang w:eastAsia="zh-CN"/>
              </w:rPr>
              <w:t>压占土地，工程建设</w:t>
            </w:r>
            <w:r>
              <w:rPr>
                <w:rFonts w:hint="eastAsia"/>
                <w:bCs/>
                <w:color w:val="auto"/>
                <w:sz w:val="24"/>
                <w:lang w:val="en-US" w:eastAsia="zh-CN"/>
              </w:rPr>
              <w:t>不仅</w:t>
            </w:r>
            <w:r>
              <w:rPr>
                <w:bCs/>
                <w:color w:val="auto"/>
                <w:sz w:val="24"/>
                <w:lang w:eastAsia="zh-TW"/>
              </w:rPr>
              <w:t>使这些土地失去原有的生物生产功能和生态服务功能，对局部的土地利用产生一定的影响</w:t>
            </w:r>
            <w:r>
              <w:rPr>
                <w:rFonts w:hint="eastAsia"/>
                <w:bCs/>
                <w:color w:val="auto"/>
                <w:sz w:val="24"/>
                <w:lang w:eastAsia="zh-CN"/>
              </w:rPr>
              <w:t>；</w:t>
            </w:r>
            <w:r>
              <w:rPr>
                <w:rFonts w:hint="eastAsia"/>
                <w:bCs/>
                <w:color w:val="auto"/>
                <w:sz w:val="24"/>
                <w:lang w:val="en-US" w:eastAsia="zh-CN"/>
              </w:rPr>
              <w:t>同时也破坏地表植被，对区域</w:t>
            </w:r>
            <w:r>
              <w:rPr>
                <w:bCs/>
                <w:color w:val="auto"/>
                <w:sz w:val="24"/>
                <w:lang w:eastAsia="zh-TW"/>
              </w:rPr>
              <w:t>生态系统</w:t>
            </w:r>
            <w:r>
              <w:rPr>
                <w:rFonts w:hint="eastAsia"/>
                <w:bCs/>
                <w:color w:val="auto"/>
                <w:sz w:val="24"/>
                <w:lang w:val="en-US" w:eastAsia="zh-CN"/>
              </w:rPr>
              <w:t>造成</w:t>
            </w:r>
            <w:r>
              <w:rPr>
                <w:bCs/>
                <w:color w:val="auto"/>
                <w:sz w:val="24"/>
                <w:lang w:eastAsia="zh-TW"/>
              </w:rPr>
              <w:t>一定影响</w:t>
            </w:r>
            <w:r>
              <w:rPr>
                <w:rFonts w:hint="eastAsia"/>
                <w:bCs/>
                <w:color w:val="auto"/>
                <w:sz w:val="24"/>
                <w:lang w:eastAsia="zh-CN"/>
              </w:rPr>
              <w:t>。</w:t>
            </w:r>
            <w:r>
              <w:rPr>
                <w:rFonts w:hint="default" w:eastAsia="宋体" w:cs="宋体"/>
                <w:b w:val="0"/>
                <w:bCs/>
                <w:color w:val="auto"/>
                <w:spacing w:val="0"/>
                <w:sz w:val="24"/>
                <w:szCs w:val="24"/>
                <w:lang w:val="en-US" w:eastAsia="zh-CN"/>
              </w:rPr>
              <w:t>临时占地</w:t>
            </w:r>
            <w:r>
              <w:rPr>
                <w:rFonts w:hint="eastAsia" w:cs="宋体"/>
                <w:b w:val="0"/>
                <w:bCs/>
                <w:color w:val="auto"/>
                <w:spacing w:val="0"/>
                <w:sz w:val="24"/>
                <w:szCs w:val="24"/>
                <w:lang w:val="en-US" w:eastAsia="zh-CN"/>
              </w:rPr>
              <w:t>主要用于堆存建筑材料和开挖土石方以及停放施工机械设备，临时占地将破坏占地区原有植被，但临时占地时间较短，占地面积较小，施工结束后对临时占地进行生态恢复后，可使占地区破坏的植被恢复至原有状态，因此，本工程临时占地不会改变区域土地利用格局。工程仅在施工期内较短时间内影响土地利用，经过一定恢复期后，工程建设区域内土地利用状况不会发生改变，仍可保持原有使用功能。施工中应该严格控制临时占地区域，结合项目施工工段周边现状，合理选择临时堆场，尽量选择空荒地。</w:t>
            </w:r>
          </w:p>
          <w:p w14:paraId="370FB4E1">
            <w:pPr>
              <w:pStyle w:val="20"/>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baseline"/>
              <w:rPr>
                <w:rFonts w:hint="eastAsia" w:eastAsia="宋体" w:cs="宋体"/>
                <w:b w:val="0"/>
                <w:bCs/>
                <w:color w:val="auto"/>
                <w:spacing w:val="0"/>
                <w:sz w:val="24"/>
                <w:szCs w:val="24"/>
                <w:lang w:val="en-US" w:eastAsia="zh-CN"/>
              </w:rPr>
            </w:pPr>
            <w:r>
              <w:rPr>
                <w:rFonts w:hint="eastAsia" w:ascii="宋体" w:hAnsi="宋体" w:eastAsia="宋体" w:cs="宋体"/>
                <w:b w:val="0"/>
                <w:bCs/>
                <w:color w:val="auto"/>
                <w:spacing w:val="0"/>
                <w:sz w:val="24"/>
                <w:szCs w:val="24"/>
              </w:rPr>
              <w:t>②</w:t>
            </w:r>
            <w:r>
              <w:rPr>
                <w:rFonts w:hint="eastAsia" w:eastAsia="宋体" w:cs="宋体"/>
                <w:b w:val="0"/>
                <w:bCs/>
                <w:color w:val="auto"/>
                <w:spacing w:val="0"/>
                <w:sz w:val="24"/>
                <w:szCs w:val="24"/>
                <w:lang w:val="en-US" w:eastAsia="zh-CN"/>
              </w:rPr>
              <w:t>对</w:t>
            </w:r>
            <w:r>
              <w:rPr>
                <w:rFonts w:hint="eastAsia" w:cs="宋体"/>
                <w:b w:val="0"/>
                <w:bCs/>
                <w:color w:val="auto"/>
                <w:spacing w:val="0"/>
                <w:sz w:val="24"/>
                <w:szCs w:val="24"/>
                <w:lang w:val="en-US" w:eastAsia="zh-CN"/>
              </w:rPr>
              <w:t>陆生</w:t>
            </w:r>
            <w:r>
              <w:rPr>
                <w:rFonts w:hint="eastAsia" w:eastAsia="宋体" w:cs="宋体"/>
                <w:b w:val="0"/>
                <w:bCs/>
                <w:color w:val="auto"/>
                <w:spacing w:val="0"/>
                <w:sz w:val="24"/>
                <w:szCs w:val="24"/>
                <w:lang w:val="en-US" w:eastAsia="zh-CN"/>
              </w:rPr>
              <w:t>植物的影响</w:t>
            </w:r>
          </w:p>
          <w:p w14:paraId="2EAE4BE0">
            <w:pPr>
              <w:pStyle w:val="20"/>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baseline"/>
              <w:rPr>
                <w:rFonts w:hint="eastAsia" w:ascii="宋体" w:hAnsi="宋体" w:eastAsia="宋体" w:cs="宋体"/>
                <w:b w:val="0"/>
                <w:bCs/>
                <w:color w:val="auto"/>
                <w:spacing w:val="0"/>
                <w:sz w:val="24"/>
                <w:szCs w:val="24"/>
                <w:lang w:eastAsia="zh-CN"/>
              </w:rPr>
            </w:pPr>
            <w:r>
              <w:rPr>
                <w:rFonts w:hint="eastAsia" w:eastAsia="宋体" w:cs="宋体"/>
                <w:b w:val="0"/>
                <w:bCs/>
                <w:color w:val="auto"/>
                <w:spacing w:val="0"/>
                <w:sz w:val="24"/>
                <w:szCs w:val="24"/>
                <w:lang w:val="en-US" w:eastAsia="zh-CN"/>
              </w:rPr>
              <w:t>在施工过程中由于</w:t>
            </w:r>
            <w:r>
              <w:rPr>
                <w:rFonts w:hint="default" w:eastAsia="宋体" w:cs="宋体"/>
                <w:b w:val="0"/>
                <w:bCs/>
                <w:color w:val="auto"/>
                <w:spacing w:val="0"/>
                <w:sz w:val="24"/>
                <w:szCs w:val="24"/>
                <w:lang w:val="en-US" w:eastAsia="zh-CN"/>
              </w:rPr>
              <w:t>填挖方及临时</w:t>
            </w:r>
            <w:r>
              <w:rPr>
                <w:rFonts w:hint="eastAsia" w:eastAsia="宋体" w:cs="宋体"/>
                <w:b w:val="0"/>
                <w:bCs/>
                <w:color w:val="auto"/>
                <w:spacing w:val="0"/>
                <w:sz w:val="24"/>
                <w:szCs w:val="24"/>
                <w:lang w:val="en-US" w:eastAsia="zh-CN"/>
              </w:rPr>
              <w:t>占地等因素造成</w:t>
            </w:r>
            <w:r>
              <w:rPr>
                <w:rFonts w:hint="default" w:eastAsia="宋体" w:cs="宋体"/>
                <w:b w:val="0"/>
                <w:bCs/>
                <w:color w:val="auto"/>
                <w:spacing w:val="0"/>
                <w:sz w:val="24"/>
                <w:szCs w:val="24"/>
                <w:lang w:val="en-US" w:eastAsia="zh-CN"/>
              </w:rPr>
              <w:t>占地范围内的</w:t>
            </w:r>
            <w:r>
              <w:rPr>
                <w:rFonts w:hint="eastAsia" w:eastAsia="宋体" w:cs="宋体"/>
                <w:b w:val="0"/>
                <w:bCs/>
                <w:color w:val="auto"/>
                <w:spacing w:val="0"/>
                <w:sz w:val="24"/>
                <w:szCs w:val="24"/>
                <w:lang w:val="en-US" w:eastAsia="zh-CN"/>
              </w:rPr>
              <w:t>植被</w:t>
            </w:r>
            <w:r>
              <w:rPr>
                <w:rFonts w:hint="default" w:eastAsia="宋体" w:cs="宋体"/>
                <w:b w:val="0"/>
                <w:bCs/>
                <w:color w:val="auto"/>
                <w:spacing w:val="0"/>
                <w:sz w:val="24"/>
                <w:szCs w:val="24"/>
                <w:lang w:val="en-US" w:eastAsia="zh-CN"/>
              </w:rPr>
              <w:t>遭</w:t>
            </w:r>
            <w:r>
              <w:rPr>
                <w:rFonts w:hint="eastAsia" w:eastAsia="宋体" w:cs="宋体"/>
                <w:b w:val="0"/>
                <w:bCs/>
                <w:color w:val="auto"/>
                <w:spacing w:val="0"/>
                <w:sz w:val="24"/>
                <w:szCs w:val="24"/>
                <w:lang w:val="en-US" w:eastAsia="zh-CN"/>
              </w:rPr>
              <w:t>到</w:t>
            </w:r>
            <w:r>
              <w:rPr>
                <w:rFonts w:hint="default" w:eastAsia="宋体" w:cs="宋体"/>
                <w:b w:val="0"/>
                <w:bCs/>
                <w:color w:val="auto"/>
                <w:spacing w:val="0"/>
                <w:sz w:val="24"/>
                <w:szCs w:val="24"/>
                <w:lang w:val="en-US" w:eastAsia="zh-CN"/>
              </w:rPr>
              <w:t>砍伐、铲除、掩埋等一系列人为</w:t>
            </w:r>
            <w:r>
              <w:rPr>
                <w:rFonts w:hint="eastAsia" w:eastAsia="宋体" w:cs="宋体"/>
                <w:b w:val="0"/>
                <w:bCs/>
                <w:color w:val="auto"/>
                <w:spacing w:val="0"/>
                <w:sz w:val="24"/>
                <w:szCs w:val="24"/>
                <w:lang w:val="en-US" w:eastAsia="zh-CN"/>
              </w:rPr>
              <w:t>破坏</w:t>
            </w:r>
            <w:r>
              <w:rPr>
                <w:rFonts w:hint="default" w:eastAsia="宋体" w:cs="宋体"/>
                <w:b w:val="0"/>
                <w:bCs/>
                <w:color w:val="auto"/>
                <w:spacing w:val="0"/>
                <w:sz w:val="24"/>
                <w:szCs w:val="24"/>
                <w:lang w:val="en-US" w:eastAsia="zh-CN"/>
              </w:rPr>
              <w:t>活动。</w:t>
            </w:r>
            <w:r>
              <w:rPr>
                <w:rFonts w:hint="eastAsia" w:ascii="宋体" w:hAnsi="宋体" w:eastAsia="宋体" w:cs="宋体"/>
                <w:b w:val="0"/>
                <w:bCs/>
                <w:color w:val="auto"/>
                <w:spacing w:val="0"/>
                <w:sz w:val="24"/>
                <w:szCs w:val="24"/>
              </w:rPr>
              <w:t>同时施工机械、人员</w:t>
            </w:r>
            <w:r>
              <w:rPr>
                <w:rFonts w:hint="eastAsia" w:cs="宋体"/>
                <w:b w:val="0"/>
                <w:bCs/>
                <w:color w:val="auto"/>
                <w:spacing w:val="0"/>
                <w:sz w:val="24"/>
                <w:szCs w:val="24"/>
                <w:lang w:eastAsia="zh-CN"/>
              </w:rPr>
              <w:t>踩踏</w:t>
            </w:r>
            <w:r>
              <w:rPr>
                <w:rFonts w:hint="eastAsia" w:ascii="宋体" w:hAnsi="宋体" w:eastAsia="宋体" w:cs="宋体"/>
                <w:b w:val="0"/>
                <w:bCs/>
                <w:color w:val="auto"/>
                <w:spacing w:val="0"/>
                <w:sz w:val="24"/>
                <w:szCs w:val="24"/>
              </w:rPr>
              <w:t>活动也会使施工区及周围植被受到不同程度的影响</w:t>
            </w:r>
            <w:r>
              <w:rPr>
                <w:rFonts w:hint="eastAsia" w:eastAsia="宋体" w:cs="宋体"/>
                <w:b w:val="0"/>
                <w:bCs/>
                <w:color w:val="auto"/>
                <w:spacing w:val="0"/>
                <w:sz w:val="24"/>
                <w:szCs w:val="24"/>
                <w:lang w:eastAsia="zh-CN"/>
              </w:rPr>
              <w:t>。</w:t>
            </w:r>
          </w:p>
          <w:p w14:paraId="267DED96">
            <w:pPr>
              <w:pStyle w:val="20"/>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baseline"/>
              <w:rPr>
                <w:rFonts w:hint="eastAsia" w:ascii="宋体" w:hAnsi="宋体" w:eastAsia="宋体" w:cs="宋体"/>
                <w:b w:val="0"/>
                <w:bCs/>
                <w:color w:val="auto"/>
                <w:spacing w:val="0"/>
                <w:sz w:val="24"/>
                <w:szCs w:val="24"/>
              </w:rPr>
            </w:pPr>
            <w:r>
              <w:rPr>
                <w:rFonts w:hint="eastAsia" w:ascii="宋体" w:hAnsi="宋体" w:eastAsia="宋体" w:cs="宋体"/>
                <w:b w:val="0"/>
                <w:bCs/>
                <w:color w:val="auto"/>
                <w:spacing w:val="0"/>
                <w:sz w:val="24"/>
                <w:szCs w:val="24"/>
              </w:rPr>
              <w:t>从植被现状调查的结果看，</w:t>
            </w:r>
            <w:r>
              <w:rPr>
                <w:rFonts w:hint="eastAsia" w:eastAsia="宋体" w:cs="宋体"/>
                <w:b w:val="0"/>
                <w:bCs/>
                <w:color w:val="auto"/>
                <w:spacing w:val="0"/>
                <w:sz w:val="24"/>
                <w:szCs w:val="24"/>
                <w:lang w:eastAsia="zh-CN"/>
              </w:rPr>
              <w:t>工程</w:t>
            </w:r>
            <w:r>
              <w:rPr>
                <w:rFonts w:hint="eastAsia" w:ascii="宋体" w:hAnsi="宋体" w:eastAsia="宋体" w:cs="宋体"/>
                <w:b w:val="0"/>
                <w:bCs/>
                <w:color w:val="auto"/>
                <w:spacing w:val="0"/>
                <w:sz w:val="24"/>
                <w:szCs w:val="24"/>
              </w:rPr>
              <w:t>沿线人类活动频繁，评价范围内植被</w:t>
            </w:r>
            <w:r>
              <w:rPr>
                <w:rFonts w:hint="eastAsia" w:eastAsia="宋体" w:cs="宋体"/>
                <w:b w:val="0"/>
                <w:bCs/>
                <w:color w:val="auto"/>
                <w:spacing w:val="0"/>
                <w:sz w:val="24"/>
                <w:szCs w:val="24"/>
                <w:lang w:val="en-US" w:eastAsia="zh-CN"/>
              </w:rPr>
              <w:t>类型</w:t>
            </w:r>
            <w:r>
              <w:rPr>
                <w:rFonts w:hint="default" w:ascii="Times New Roman" w:hAnsi="Times New Roman" w:cs="Times New Roman"/>
                <w:color w:val="auto"/>
                <w:sz w:val="24"/>
                <w:szCs w:val="24"/>
                <w:lang w:val="en-US" w:eastAsia="zh-CN"/>
              </w:rPr>
              <w:t>大多为</w:t>
            </w:r>
            <w:r>
              <w:rPr>
                <w:rFonts w:hint="eastAsia" w:ascii="宋体" w:hAnsi="宋体" w:eastAsia="宋体" w:cs="宋体"/>
                <w:b w:val="0"/>
                <w:bCs/>
                <w:color w:val="auto"/>
                <w:spacing w:val="0"/>
                <w:sz w:val="24"/>
                <w:szCs w:val="24"/>
              </w:rPr>
              <w:t>常见</w:t>
            </w:r>
            <w:r>
              <w:rPr>
                <w:rFonts w:hint="eastAsia" w:ascii="宋体" w:hAnsi="宋体" w:eastAsia="宋体" w:cs="宋体"/>
                <w:b w:val="0"/>
                <w:bCs/>
                <w:color w:val="auto"/>
                <w:spacing w:val="0"/>
                <w:sz w:val="24"/>
                <w:szCs w:val="24"/>
                <w:lang w:val="en-US" w:eastAsia="zh-CN"/>
              </w:rPr>
              <w:t>植物物种，</w:t>
            </w:r>
            <w:r>
              <w:rPr>
                <w:rFonts w:hint="eastAsia" w:eastAsia="宋体" w:cs="宋体"/>
                <w:b w:val="0"/>
                <w:bCs/>
                <w:color w:val="auto"/>
                <w:spacing w:val="0"/>
                <w:sz w:val="24"/>
                <w:szCs w:val="24"/>
                <w:lang w:eastAsia="zh-CN"/>
              </w:rPr>
              <w:t>未发现</w:t>
            </w:r>
            <w:r>
              <w:rPr>
                <w:rFonts w:hint="eastAsia" w:ascii="宋体" w:hAnsi="宋体" w:eastAsia="宋体" w:cs="宋体"/>
                <w:b w:val="0"/>
                <w:bCs/>
                <w:color w:val="auto"/>
                <w:spacing w:val="0"/>
                <w:sz w:val="24"/>
                <w:szCs w:val="24"/>
              </w:rPr>
              <w:t>珍稀濒危及保护类野生植物分布</w:t>
            </w:r>
            <w:r>
              <w:rPr>
                <w:rFonts w:hint="eastAsia" w:eastAsia="宋体" w:cs="宋体"/>
                <w:b w:val="0"/>
                <w:bCs/>
                <w:color w:val="auto"/>
                <w:spacing w:val="0"/>
                <w:sz w:val="24"/>
                <w:szCs w:val="24"/>
                <w:lang w:eastAsia="zh-CN"/>
              </w:rPr>
              <w:t>。</w:t>
            </w:r>
            <w:r>
              <w:rPr>
                <w:rFonts w:hint="eastAsia" w:ascii="宋体" w:hAnsi="宋体" w:eastAsia="宋体" w:cs="宋体"/>
                <w:b w:val="0"/>
                <w:bCs/>
                <w:color w:val="auto"/>
                <w:spacing w:val="0"/>
                <w:sz w:val="24"/>
                <w:szCs w:val="24"/>
              </w:rPr>
              <w:t>地表植被的损失将对现有生态系统产生一定的影响，但由于植被损失面积占</w:t>
            </w:r>
            <w:r>
              <w:rPr>
                <w:rFonts w:hint="eastAsia" w:cs="宋体"/>
                <w:b w:val="0"/>
                <w:bCs/>
                <w:color w:val="auto"/>
                <w:spacing w:val="0"/>
                <w:sz w:val="24"/>
                <w:szCs w:val="24"/>
                <w:lang w:val="en-US" w:eastAsia="zh-CN"/>
              </w:rPr>
              <w:t>项目</w:t>
            </w:r>
            <w:r>
              <w:rPr>
                <w:rFonts w:hint="eastAsia" w:ascii="宋体" w:hAnsi="宋体" w:eastAsia="宋体" w:cs="宋体"/>
                <w:b w:val="0"/>
                <w:bCs/>
                <w:color w:val="auto"/>
                <w:spacing w:val="0"/>
                <w:sz w:val="24"/>
                <w:szCs w:val="24"/>
              </w:rPr>
              <w:t>地区同一植被类型面积的比例极小，同时</w:t>
            </w:r>
            <w:r>
              <w:rPr>
                <w:rFonts w:hint="eastAsia" w:cs="宋体"/>
                <w:b w:val="0"/>
                <w:bCs/>
                <w:color w:val="auto"/>
                <w:spacing w:val="0"/>
                <w:sz w:val="24"/>
                <w:szCs w:val="24"/>
                <w:lang w:val="en-US" w:eastAsia="zh-CN"/>
              </w:rPr>
              <w:t>人工湿地建成后种植水生植物，</w:t>
            </w:r>
            <w:r>
              <w:rPr>
                <w:rFonts w:hint="eastAsia" w:ascii="宋体" w:hAnsi="宋体" w:eastAsia="宋体" w:cs="宋体"/>
                <w:b w:val="0"/>
                <w:bCs/>
                <w:color w:val="auto"/>
                <w:spacing w:val="0"/>
                <w:sz w:val="24"/>
                <w:szCs w:val="24"/>
              </w:rPr>
              <w:t>又将弥补部分损失的植被，</w:t>
            </w:r>
            <w:r>
              <w:rPr>
                <w:rFonts w:hint="eastAsia" w:eastAsia="宋体" w:cs="宋体"/>
                <w:b w:val="0"/>
                <w:bCs/>
                <w:color w:val="auto"/>
                <w:spacing w:val="0"/>
                <w:sz w:val="24"/>
                <w:szCs w:val="24"/>
                <w:lang w:val="en-US" w:eastAsia="zh-CN"/>
              </w:rPr>
              <w:t>因此工程建设对区域内</w:t>
            </w:r>
            <w:r>
              <w:rPr>
                <w:rFonts w:hint="eastAsia" w:ascii="宋体" w:hAnsi="宋体" w:eastAsia="宋体" w:cs="宋体"/>
                <w:b w:val="0"/>
                <w:bCs/>
                <w:color w:val="auto"/>
                <w:spacing w:val="0"/>
                <w:sz w:val="24"/>
                <w:szCs w:val="24"/>
              </w:rPr>
              <w:t>植物物种多样性影响</w:t>
            </w:r>
            <w:r>
              <w:rPr>
                <w:rFonts w:hint="eastAsia" w:ascii="宋体" w:hAnsi="宋体" w:eastAsia="宋体" w:cs="宋体"/>
                <w:b w:val="0"/>
                <w:bCs/>
                <w:color w:val="auto"/>
                <w:spacing w:val="0"/>
                <w:sz w:val="24"/>
                <w:szCs w:val="24"/>
                <w:lang w:val="en-US" w:eastAsia="zh-CN"/>
              </w:rPr>
              <w:t>较小</w:t>
            </w:r>
            <w:r>
              <w:rPr>
                <w:rFonts w:hint="eastAsia" w:ascii="宋体" w:hAnsi="宋体" w:eastAsia="宋体" w:cs="宋体"/>
                <w:b w:val="0"/>
                <w:bCs/>
                <w:color w:val="auto"/>
                <w:spacing w:val="0"/>
                <w:sz w:val="24"/>
                <w:szCs w:val="24"/>
              </w:rPr>
              <w:t>，</w:t>
            </w:r>
            <w:r>
              <w:rPr>
                <w:rFonts w:hint="eastAsia" w:ascii="宋体" w:hAnsi="宋体" w:eastAsia="宋体" w:cs="宋体"/>
                <w:b w:val="0"/>
                <w:bCs/>
                <w:color w:val="auto"/>
                <w:spacing w:val="0"/>
                <w:sz w:val="24"/>
                <w:szCs w:val="24"/>
                <w:lang w:val="en-US" w:eastAsia="zh-CN"/>
              </w:rPr>
              <w:t>更</w:t>
            </w:r>
            <w:r>
              <w:rPr>
                <w:rFonts w:hint="eastAsia" w:ascii="宋体" w:hAnsi="宋体" w:eastAsia="宋体" w:cs="宋体"/>
                <w:b w:val="0"/>
                <w:bCs/>
                <w:color w:val="auto"/>
                <w:spacing w:val="0"/>
                <w:sz w:val="24"/>
                <w:szCs w:val="24"/>
              </w:rPr>
              <w:t>不会因局部植被破坏而导致某一</w:t>
            </w:r>
            <w:r>
              <w:rPr>
                <w:rFonts w:hint="eastAsia" w:ascii="宋体" w:hAnsi="宋体" w:eastAsia="宋体" w:cs="宋体"/>
                <w:b w:val="0"/>
                <w:bCs/>
                <w:color w:val="auto"/>
                <w:spacing w:val="0"/>
                <w:sz w:val="24"/>
                <w:szCs w:val="24"/>
                <w:lang w:val="en-US" w:eastAsia="zh-CN"/>
              </w:rPr>
              <w:t>植物</w:t>
            </w:r>
            <w:r>
              <w:rPr>
                <w:rFonts w:hint="eastAsia" w:ascii="宋体" w:hAnsi="宋体" w:eastAsia="宋体" w:cs="宋体"/>
                <w:b w:val="0"/>
                <w:bCs/>
                <w:color w:val="auto"/>
                <w:spacing w:val="0"/>
                <w:sz w:val="24"/>
                <w:szCs w:val="24"/>
              </w:rPr>
              <w:t>物种的消失。但是在施工过程中应该加强施工管理，严格控制施工范围，</w:t>
            </w:r>
            <w:r>
              <w:rPr>
                <w:rFonts w:hint="eastAsia" w:ascii="宋体" w:hAnsi="宋体" w:eastAsia="宋体" w:cs="宋体"/>
                <w:b w:val="0"/>
                <w:bCs/>
                <w:color w:val="auto"/>
                <w:spacing w:val="0"/>
                <w:sz w:val="24"/>
                <w:szCs w:val="24"/>
                <w:lang w:val="en-US" w:eastAsia="zh-CN"/>
              </w:rPr>
              <w:t>将</w:t>
            </w:r>
            <w:r>
              <w:rPr>
                <w:rFonts w:hint="eastAsia" w:ascii="宋体" w:hAnsi="宋体" w:eastAsia="宋体" w:cs="宋体"/>
                <w:b w:val="0"/>
                <w:bCs/>
                <w:color w:val="auto"/>
                <w:spacing w:val="0"/>
                <w:sz w:val="24"/>
                <w:szCs w:val="24"/>
              </w:rPr>
              <w:t>对植物群落的影响降到</w:t>
            </w:r>
            <w:r>
              <w:rPr>
                <w:rFonts w:hint="eastAsia" w:ascii="宋体" w:hAnsi="宋体" w:eastAsia="宋体" w:cs="宋体"/>
                <w:b w:val="0"/>
                <w:bCs/>
                <w:color w:val="auto"/>
                <w:spacing w:val="0"/>
                <w:sz w:val="24"/>
                <w:szCs w:val="24"/>
                <w:lang w:eastAsia="zh-CN"/>
              </w:rPr>
              <w:t>最低</w:t>
            </w:r>
            <w:r>
              <w:rPr>
                <w:rFonts w:hint="eastAsia" w:ascii="宋体" w:hAnsi="宋体" w:eastAsia="宋体" w:cs="宋体"/>
                <w:b w:val="0"/>
                <w:bCs/>
                <w:color w:val="auto"/>
                <w:spacing w:val="0"/>
                <w:sz w:val="24"/>
                <w:szCs w:val="24"/>
              </w:rPr>
              <w:t>。</w:t>
            </w:r>
          </w:p>
          <w:p w14:paraId="4165B15B">
            <w:pPr>
              <w:pStyle w:val="20"/>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baseline"/>
              <w:rPr>
                <w:rFonts w:hint="default" w:ascii="宋体" w:hAnsi="宋体" w:eastAsia="宋体" w:cs="宋体"/>
                <w:b w:val="0"/>
                <w:bCs/>
                <w:color w:val="auto"/>
                <w:spacing w:val="0"/>
                <w:sz w:val="24"/>
                <w:szCs w:val="24"/>
                <w:lang w:val="en-US" w:eastAsia="zh-CN"/>
              </w:rPr>
            </w:pPr>
            <w:r>
              <w:rPr>
                <w:rFonts w:hint="eastAsia" w:ascii="宋体" w:hAnsi="宋体" w:eastAsia="宋体" w:cs="宋体"/>
                <w:b w:val="0"/>
                <w:bCs/>
                <w:color w:val="auto"/>
                <w:spacing w:val="0"/>
                <w:sz w:val="24"/>
                <w:szCs w:val="24"/>
              </w:rPr>
              <w:t>③</w:t>
            </w:r>
            <w:r>
              <w:rPr>
                <w:rFonts w:hint="eastAsia" w:eastAsia="宋体" w:cs="宋体"/>
                <w:b w:val="0"/>
                <w:bCs/>
                <w:color w:val="auto"/>
                <w:spacing w:val="0"/>
                <w:sz w:val="24"/>
                <w:szCs w:val="24"/>
                <w:lang w:val="en-US" w:eastAsia="zh-CN"/>
              </w:rPr>
              <w:t>对</w:t>
            </w:r>
            <w:r>
              <w:rPr>
                <w:rFonts w:hint="eastAsia" w:cs="宋体"/>
                <w:b w:val="0"/>
                <w:bCs/>
                <w:color w:val="auto"/>
                <w:spacing w:val="0"/>
                <w:sz w:val="24"/>
                <w:szCs w:val="24"/>
                <w:lang w:val="en-US" w:eastAsia="zh-CN"/>
              </w:rPr>
              <w:t>陆生</w:t>
            </w:r>
            <w:r>
              <w:rPr>
                <w:rFonts w:hint="eastAsia" w:eastAsia="宋体" w:cs="宋体"/>
                <w:b w:val="0"/>
                <w:bCs/>
                <w:color w:val="auto"/>
                <w:spacing w:val="0"/>
                <w:sz w:val="24"/>
                <w:szCs w:val="24"/>
                <w:lang w:val="en-US" w:eastAsia="zh-CN"/>
              </w:rPr>
              <w:t>动物的影响</w:t>
            </w:r>
          </w:p>
          <w:p w14:paraId="796760CD">
            <w:pPr>
              <w:pStyle w:val="20"/>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baseline"/>
              <w:rPr>
                <w:rFonts w:hint="eastAsia" w:ascii="宋体" w:hAnsi="宋体" w:eastAsia="宋体" w:cs="宋体"/>
                <w:b w:val="0"/>
                <w:bCs/>
                <w:color w:val="auto"/>
                <w:spacing w:val="0"/>
                <w:sz w:val="24"/>
                <w:szCs w:val="24"/>
              </w:rPr>
            </w:pPr>
            <w:r>
              <w:rPr>
                <w:rFonts w:hint="eastAsia" w:eastAsia="宋体" w:cs="宋体"/>
                <w:b w:val="0"/>
                <w:bCs/>
                <w:color w:val="auto"/>
                <w:spacing w:val="0"/>
                <w:sz w:val="24"/>
                <w:szCs w:val="24"/>
                <w:lang w:eastAsia="zh-CN"/>
              </w:rPr>
              <w:t>工程</w:t>
            </w:r>
            <w:r>
              <w:rPr>
                <w:rFonts w:hint="eastAsia" w:ascii="宋体" w:hAnsi="宋体" w:eastAsia="宋体" w:cs="宋体"/>
                <w:b w:val="0"/>
                <w:bCs/>
                <w:color w:val="auto"/>
                <w:spacing w:val="0"/>
                <w:sz w:val="24"/>
                <w:szCs w:val="24"/>
              </w:rPr>
              <w:t>区人为活动较为频繁，区域内小动物均为当地常见物种，受影响的主要是行动较慢的动物，如蟾蜍类、蛙类</w:t>
            </w:r>
            <w:r>
              <w:rPr>
                <w:rFonts w:hint="eastAsia" w:eastAsia="宋体" w:cs="宋体"/>
                <w:b w:val="0"/>
                <w:bCs/>
                <w:color w:val="auto"/>
                <w:spacing w:val="0"/>
                <w:sz w:val="24"/>
                <w:szCs w:val="24"/>
                <w:lang w:eastAsia="zh-CN"/>
              </w:rPr>
              <w:t>。</w:t>
            </w:r>
            <w:r>
              <w:rPr>
                <w:rFonts w:hint="eastAsia" w:ascii="宋体" w:hAnsi="宋体" w:eastAsia="宋体" w:cs="宋体"/>
                <w:b w:val="0"/>
                <w:bCs/>
                <w:color w:val="auto"/>
                <w:spacing w:val="0"/>
                <w:sz w:val="24"/>
                <w:szCs w:val="24"/>
              </w:rPr>
              <w:t>其他的鸟类、爬行类和小型兽类行动较为敏捷，受到机械损伤的可能性极低。</w:t>
            </w:r>
            <w:r>
              <w:rPr>
                <w:rFonts w:hint="eastAsia" w:eastAsia="宋体" w:cs="宋体"/>
                <w:b w:val="0"/>
                <w:bCs/>
                <w:color w:val="auto"/>
                <w:spacing w:val="0"/>
                <w:sz w:val="24"/>
                <w:szCs w:val="24"/>
                <w:lang w:eastAsia="zh-CN"/>
              </w:rPr>
              <w:t>工程</w:t>
            </w:r>
            <w:r>
              <w:rPr>
                <w:rFonts w:hint="eastAsia" w:ascii="宋体" w:hAnsi="宋体" w:eastAsia="宋体" w:cs="宋体"/>
                <w:b w:val="0"/>
                <w:bCs/>
                <w:color w:val="auto"/>
                <w:spacing w:val="0"/>
                <w:sz w:val="24"/>
                <w:szCs w:val="24"/>
              </w:rPr>
              <w:t>实施过程中对野生动物原有栖息地或觅食地将造成一定时间的占压和破坏，施工噪声惊扰、人为破坏都将使区域动物远离，</w:t>
            </w:r>
            <w:r>
              <w:rPr>
                <w:rFonts w:hint="eastAsia" w:eastAsia="宋体" w:cs="宋体"/>
                <w:b w:val="0"/>
                <w:bCs/>
                <w:color w:val="auto"/>
                <w:spacing w:val="0"/>
                <w:sz w:val="24"/>
                <w:szCs w:val="24"/>
                <w:lang w:eastAsia="zh-CN"/>
              </w:rPr>
              <w:t>但</w:t>
            </w:r>
            <w:r>
              <w:rPr>
                <w:rFonts w:hint="eastAsia" w:cs="宋体"/>
                <w:b w:val="0"/>
                <w:bCs/>
                <w:color w:val="auto"/>
                <w:spacing w:val="0"/>
                <w:sz w:val="24"/>
                <w:szCs w:val="24"/>
                <w:lang w:val="en-US" w:eastAsia="zh-CN"/>
              </w:rPr>
              <w:t>工程</w:t>
            </w:r>
            <w:r>
              <w:rPr>
                <w:rFonts w:hint="eastAsia" w:ascii="宋体" w:hAnsi="宋体" w:eastAsia="宋体" w:cs="宋体"/>
                <w:b w:val="0"/>
                <w:bCs/>
                <w:color w:val="auto"/>
                <w:spacing w:val="0"/>
                <w:sz w:val="24"/>
                <w:szCs w:val="24"/>
              </w:rPr>
              <w:t>实施结束后</w:t>
            </w:r>
            <w:r>
              <w:rPr>
                <w:rFonts w:hint="eastAsia" w:eastAsia="宋体" w:cs="宋体"/>
                <w:b w:val="0"/>
                <w:bCs/>
                <w:color w:val="auto"/>
                <w:spacing w:val="0"/>
                <w:sz w:val="24"/>
                <w:szCs w:val="24"/>
                <w:lang w:eastAsia="zh-CN"/>
              </w:rPr>
              <w:t>，</w:t>
            </w:r>
            <w:r>
              <w:rPr>
                <w:rFonts w:hint="eastAsia" w:ascii="宋体" w:hAnsi="宋体" w:eastAsia="宋体" w:cs="宋体"/>
                <w:b w:val="0"/>
                <w:bCs/>
                <w:color w:val="auto"/>
                <w:spacing w:val="0"/>
                <w:sz w:val="24"/>
                <w:szCs w:val="24"/>
              </w:rPr>
              <w:t>植被逐渐恢复，野生动物亦将逐渐回归</w:t>
            </w:r>
            <w:r>
              <w:rPr>
                <w:rFonts w:hint="eastAsia" w:cs="宋体"/>
                <w:b w:val="0"/>
                <w:bCs/>
                <w:color w:val="auto"/>
                <w:spacing w:val="0"/>
                <w:sz w:val="24"/>
                <w:szCs w:val="24"/>
                <w:lang w:eastAsia="zh-CN"/>
              </w:rPr>
              <w:t>，</w:t>
            </w:r>
            <w:r>
              <w:rPr>
                <w:rFonts w:hint="eastAsia" w:eastAsia="宋体" w:cs="宋体"/>
                <w:b w:val="0"/>
                <w:bCs/>
                <w:color w:val="auto"/>
                <w:spacing w:val="0"/>
                <w:sz w:val="24"/>
                <w:szCs w:val="24"/>
                <w:lang w:eastAsia="zh-CN"/>
              </w:rPr>
              <w:t>预测</w:t>
            </w:r>
            <w:r>
              <w:rPr>
                <w:rFonts w:hint="eastAsia" w:ascii="宋体" w:hAnsi="宋体" w:eastAsia="宋体" w:cs="宋体"/>
                <w:b w:val="0"/>
                <w:bCs/>
                <w:color w:val="auto"/>
                <w:spacing w:val="0"/>
                <w:sz w:val="24"/>
                <w:szCs w:val="24"/>
              </w:rPr>
              <w:t>恢复后野生动物生存环境转好，种群数量将增加。总的来看，不会引起评价区内动物种类丰富度的减少，也不会引起种群个体数量发生很大变化，对于整个区域而言，动物物种丰富度亦不会减少</w:t>
            </w:r>
            <w:r>
              <w:rPr>
                <w:rFonts w:hint="eastAsia" w:eastAsia="宋体" w:cs="宋体"/>
                <w:b w:val="0"/>
                <w:bCs/>
                <w:color w:val="auto"/>
                <w:spacing w:val="0"/>
                <w:sz w:val="24"/>
                <w:szCs w:val="24"/>
                <w:lang w:eastAsia="zh-CN"/>
              </w:rPr>
              <w:t>。</w:t>
            </w:r>
            <w:r>
              <w:rPr>
                <w:rFonts w:hint="eastAsia" w:ascii="宋体" w:hAnsi="宋体" w:eastAsia="宋体" w:cs="宋体"/>
                <w:b w:val="0"/>
                <w:bCs/>
                <w:color w:val="auto"/>
                <w:spacing w:val="0"/>
                <w:sz w:val="24"/>
                <w:szCs w:val="24"/>
              </w:rPr>
              <w:t>经实地调查及对相关部门了解，</w:t>
            </w:r>
            <w:r>
              <w:rPr>
                <w:rFonts w:hint="eastAsia" w:eastAsia="宋体" w:cs="宋体"/>
                <w:b w:val="0"/>
                <w:bCs/>
                <w:color w:val="auto"/>
                <w:spacing w:val="0"/>
                <w:sz w:val="24"/>
                <w:szCs w:val="24"/>
                <w:lang w:eastAsia="zh-CN"/>
              </w:rPr>
              <w:t>工程</w:t>
            </w:r>
            <w:r>
              <w:rPr>
                <w:rFonts w:hint="eastAsia" w:ascii="宋体" w:hAnsi="宋体" w:eastAsia="宋体" w:cs="宋体"/>
                <w:b w:val="0"/>
                <w:bCs/>
                <w:color w:val="auto"/>
                <w:spacing w:val="0"/>
                <w:sz w:val="24"/>
                <w:szCs w:val="24"/>
              </w:rPr>
              <w:t>评价范围内无重点保护类野生动物及大中型兽类的栖息地和繁殖地。</w:t>
            </w:r>
          </w:p>
          <w:p w14:paraId="2A7E0591">
            <w:pPr>
              <w:pStyle w:val="20"/>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baseline"/>
              <w:rPr>
                <w:rFonts w:hint="default" w:ascii="宋体" w:hAnsi="宋体" w:eastAsia="宋体" w:cs="宋体"/>
                <w:b w:val="0"/>
                <w:bCs/>
                <w:color w:val="auto"/>
                <w:spacing w:val="0"/>
                <w:sz w:val="24"/>
                <w:szCs w:val="24"/>
                <w:lang w:val="en-US" w:eastAsia="zh-CN"/>
              </w:rPr>
            </w:pPr>
            <w:r>
              <w:rPr>
                <w:rFonts w:hint="eastAsia" w:ascii="宋体" w:hAnsi="宋体" w:eastAsia="宋体" w:cs="宋体"/>
                <w:b w:val="0"/>
                <w:bCs/>
                <w:color w:val="auto"/>
                <w:spacing w:val="0"/>
                <w:sz w:val="24"/>
                <w:szCs w:val="24"/>
              </w:rPr>
              <w:t>④</w:t>
            </w:r>
            <w:r>
              <w:rPr>
                <w:rFonts w:hint="eastAsia" w:eastAsia="宋体" w:cs="宋体"/>
                <w:b w:val="0"/>
                <w:bCs/>
                <w:color w:val="auto"/>
                <w:spacing w:val="0"/>
                <w:sz w:val="24"/>
                <w:szCs w:val="24"/>
                <w:lang w:val="en-US" w:eastAsia="zh-CN"/>
              </w:rPr>
              <w:t>水土流失影响</w:t>
            </w:r>
          </w:p>
          <w:p w14:paraId="572E3ED3">
            <w:pPr>
              <w:pStyle w:val="20"/>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baseline"/>
              <w:rPr>
                <w:rFonts w:hint="default" w:ascii="Times New Roman" w:hAnsi="Times New Roman" w:eastAsia="宋体" w:cs="Times New Roman"/>
                <w:b w:val="0"/>
                <w:bCs/>
                <w:color w:val="auto"/>
                <w:spacing w:val="0"/>
                <w:sz w:val="24"/>
                <w:szCs w:val="24"/>
                <w:lang w:eastAsia="zh-CN"/>
              </w:rPr>
            </w:pPr>
            <w:r>
              <w:rPr>
                <w:rFonts w:hint="eastAsia" w:ascii="宋体" w:hAnsi="宋体" w:eastAsia="宋体" w:cs="宋体"/>
                <w:b w:val="0"/>
                <w:bCs/>
                <w:color w:val="auto"/>
                <w:spacing w:val="0"/>
                <w:sz w:val="24"/>
                <w:szCs w:val="24"/>
              </w:rPr>
              <w:t>工程</w:t>
            </w:r>
            <w:r>
              <w:rPr>
                <w:rFonts w:hint="eastAsia" w:eastAsia="宋体" w:cs="宋体"/>
                <w:b w:val="0"/>
                <w:bCs/>
                <w:color w:val="auto"/>
                <w:spacing w:val="0"/>
                <w:sz w:val="24"/>
                <w:szCs w:val="24"/>
                <w:lang w:val="en-US" w:eastAsia="zh-CN"/>
              </w:rPr>
              <w:t>建设</w:t>
            </w:r>
            <w:r>
              <w:rPr>
                <w:rFonts w:hint="eastAsia" w:ascii="宋体" w:hAnsi="宋体" w:eastAsia="宋体" w:cs="宋体"/>
                <w:b w:val="0"/>
                <w:bCs/>
                <w:color w:val="auto"/>
                <w:spacing w:val="0"/>
                <w:sz w:val="24"/>
                <w:szCs w:val="24"/>
              </w:rPr>
              <w:t>扰动地表，破坏地表植被和表层土壤结构，改变了原地貌形状，降低了原来所具有的保持水土的功能</w:t>
            </w:r>
            <w:r>
              <w:rPr>
                <w:rFonts w:hint="eastAsia" w:eastAsia="宋体" w:cs="宋体"/>
                <w:b w:val="0"/>
                <w:bCs/>
                <w:color w:val="auto"/>
                <w:spacing w:val="0"/>
                <w:sz w:val="24"/>
                <w:szCs w:val="24"/>
                <w:lang w:eastAsia="zh-CN"/>
              </w:rPr>
              <w:t>。</w:t>
            </w:r>
            <w:r>
              <w:rPr>
                <w:rFonts w:hint="eastAsia" w:ascii="宋体" w:hAnsi="宋体" w:eastAsia="宋体" w:cs="宋体"/>
                <w:b w:val="0"/>
                <w:bCs/>
                <w:color w:val="auto"/>
                <w:spacing w:val="0"/>
                <w:sz w:val="24"/>
                <w:szCs w:val="24"/>
              </w:rPr>
              <w:t>裸地、弃土弃渣如不采取防护措施，遇上大雨时会因施工改变了地面径流条件而造成</w:t>
            </w:r>
            <w:r>
              <w:rPr>
                <w:rFonts w:hint="eastAsia" w:ascii="宋体" w:hAnsi="宋体" w:eastAsia="宋体" w:cs="宋体"/>
                <w:b w:val="0"/>
                <w:bCs/>
                <w:color w:val="auto"/>
                <w:spacing w:val="0"/>
                <w:sz w:val="24"/>
                <w:szCs w:val="24"/>
                <w:lang w:val="en-US" w:eastAsia="zh-CN"/>
              </w:rPr>
              <w:t>一定程度的</w:t>
            </w:r>
            <w:r>
              <w:rPr>
                <w:rFonts w:hint="eastAsia" w:ascii="宋体" w:hAnsi="宋体" w:eastAsia="宋体" w:cs="宋体"/>
                <w:b w:val="0"/>
                <w:bCs/>
                <w:color w:val="auto"/>
                <w:spacing w:val="0"/>
                <w:sz w:val="24"/>
                <w:szCs w:val="24"/>
              </w:rPr>
              <w:t>水土流失。工程对土壤的扰动范围主要集中在</w:t>
            </w:r>
            <w:r>
              <w:rPr>
                <w:rFonts w:hint="eastAsia" w:cs="宋体"/>
                <w:b w:val="0"/>
                <w:bCs/>
                <w:color w:val="auto"/>
                <w:spacing w:val="0"/>
                <w:sz w:val="24"/>
                <w:szCs w:val="24"/>
                <w:lang w:val="en-US" w:eastAsia="zh-CN"/>
              </w:rPr>
              <w:t>施工范围内</w:t>
            </w:r>
            <w:r>
              <w:rPr>
                <w:rFonts w:hint="eastAsia" w:ascii="宋体" w:hAnsi="宋体" w:eastAsia="宋体" w:cs="宋体"/>
                <w:b w:val="0"/>
                <w:bCs/>
                <w:color w:val="auto"/>
                <w:spacing w:val="0"/>
                <w:sz w:val="24"/>
                <w:szCs w:val="24"/>
              </w:rPr>
              <w:t>，影响范围有限</w:t>
            </w:r>
            <w:r>
              <w:rPr>
                <w:rFonts w:hint="eastAsia" w:eastAsia="宋体" w:cs="宋体"/>
                <w:b w:val="0"/>
                <w:bCs/>
                <w:color w:val="auto"/>
                <w:spacing w:val="0"/>
                <w:sz w:val="24"/>
                <w:szCs w:val="24"/>
                <w:lang w:eastAsia="zh-CN"/>
              </w:rPr>
              <w:t>；</w:t>
            </w:r>
            <w:r>
              <w:rPr>
                <w:rFonts w:hint="eastAsia" w:eastAsia="宋体" w:cs="宋体"/>
                <w:b w:val="0"/>
                <w:bCs/>
                <w:color w:val="auto"/>
                <w:spacing w:val="0"/>
                <w:sz w:val="24"/>
                <w:szCs w:val="24"/>
                <w:lang w:val="en-US" w:eastAsia="zh-CN"/>
              </w:rPr>
              <w:t>且</w:t>
            </w:r>
            <w:r>
              <w:rPr>
                <w:rFonts w:hint="eastAsia" w:ascii="宋体" w:hAnsi="宋体" w:eastAsia="宋体" w:cs="宋体"/>
                <w:b w:val="0"/>
                <w:bCs/>
                <w:color w:val="auto"/>
                <w:spacing w:val="0"/>
                <w:sz w:val="24"/>
                <w:szCs w:val="24"/>
              </w:rPr>
              <w:t>水土流失影响是局部、暂时性</w:t>
            </w:r>
            <w:r>
              <w:rPr>
                <w:rFonts w:hint="default" w:ascii="Times New Roman" w:hAnsi="Times New Roman" w:eastAsia="宋体" w:cs="Times New Roman"/>
                <w:b w:val="0"/>
                <w:bCs/>
                <w:color w:val="auto"/>
                <w:spacing w:val="0"/>
                <w:sz w:val="24"/>
                <w:szCs w:val="24"/>
              </w:rPr>
              <w:t>的，只要在施工过程中加强管理，文明施工，</w:t>
            </w:r>
            <w:r>
              <w:rPr>
                <w:rFonts w:hint="default" w:ascii="Times New Roman" w:hAnsi="Times New Roman" w:eastAsia="宋体" w:cs="Times New Roman"/>
                <w:b w:val="0"/>
                <w:bCs/>
                <w:color w:val="auto"/>
                <w:spacing w:val="0"/>
                <w:sz w:val="24"/>
                <w:szCs w:val="24"/>
                <w:lang w:eastAsia="zh-CN"/>
              </w:rPr>
              <w:t>落实水土保持方案中的相关要求，</w:t>
            </w:r>
            <w:r>
              <w:rPr>
                <w:rFonts w:hint="default" w:ascii="Times New Roman" w:hAnsi="Times New Roman" w:eastAsia="宋体" w:cs="Times New Roman"/>
                <w:b w:val="0"/>
                <w:bCs/>
                <w:color w:val="auto"/>
                <w:spacing w:val="0"/>
                <w:sz w:val="24"/>
                <w:szCs w:val="24"/>
              </w:rPr>
              <w:t>做好水土保持措施，对周围生态环境影响</w:t>
            </w:r>
            <w:r>
              <w:rPr>
                <w:rFonts w:hint="default" w:ascii="Times New Roman" w:hAnsi="Times New Roman" w:eastAsia="宋体" w:cs="Times New Roman"/>
                <w:b w:val="0"/>
                <w:bCs/>
                <w:color w:val="auto"/>
                <w:spacing w:val="0"/>
                <w:sz w:val="24"/>
                <w:szCs w:val="24"/>
                <w:lang w:val="en-US" w:eastAsia="zh-CN"/>
              </w:rPr>
              <w:t>较小。</w:t>
            </w:r>
          </w:p>
          <w:p w14:paraId="7969D2BF">
            <w:pPr>
              <w:pStyle w:val="20"/>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baseline"/>
              <w:rPr>
                <w:rFonts w:hint="default" w:ascii="宋体" w:hAnsi="宋体" w:eastAsia="宋体" w:cs="宋体"/>
                <w:b w:val="0"/>
                <w:bCs/>
                <w:color w:val="auto"/>
                <w:spacing w:val="0"/>
                <w:sz w:val="24"/>
                <w:szCs w:val="24"/>
                <w:lang w:val="en-US" w:eastAsia="zh-CN"/>
              </w:rPr>
            </w:pPr>
            <w:r>
              <w:rPr>
                <w:rFonts w:hint="default" w:ascii="Times New Roman" w:hAnsi="Times New Roman" w:eastAsia="宋体" w:cs="Times New Roman"/>
                <w:b w:val="0"/>
                <w:bCs/>
                <w:color w:val="auto"/>
                <w:spacing w:val="0"/>
                <w:sz w:val="24"/>
                <w:szCs w:val="24"/>
                <w:lang w:eastAsia="zh-CN"/>
              </w:rPr>
              <w:t>（</w:t>
            </w:r>
            <w:r>
              <w:rPr>
                <w:rFonts w:hint="default" w:ascii="Times New Roman" w:hAnsi="Times New Roman" w:eastAsia="宋体" w:cs="Times New Roman"/>
                <w:b w:val="0"/>
                <w:bCs/>
                <w:color w:val="auto"/>
                <w:spacing w:val="0"/>
                <w:sz w:val="24"/>
                <w:szCs w:val="24"/>
                <w:lang w:val="en-US" w:eastAsia="zh-CN"/>
              </w:rPr>
              <w:t>2</w:t>
            </w:r>
            <w:r>
              <w:rPr>
                <w:rFonts w:hint="default" w:ascii="Times New Roman" w:hAnsi="Times New Roman" w:eastAsia="宋体" w:cs="Times New Roman"/>
                <w:b w:val="0"/>
                <w:bCs/>
                <w:color w:val="auto"/>
                <w:spacing w:val="0"/>
                <w:sz w:val="24"/>
                <w:szCs w:val="24"/>
                <w:lang w:eastAsia="zh-CN"/>
              </w:rPr>
              <w:t>）</w:t>
            </w:r>
            <w:r>
              <w:rPr>
                <w:rFonts w:hint="default" w:ascii="Times New Roman" w:hAnsi="Times New Roman" w:eastAsia="宋体" w:cs="Times New Roman"/>
                <w:b w:val="0"/>
                <w:bCs/>
                <w:color w:val="auto"/>
                <w:spacing w:val="0"/>
                <w:sz w:val="24"/>
                <w:szCs w:val="24"/>
                <w:lang w:val="en-US" w:eastAsia="zh-CN"/>
              </w:rPr>
              <w:t>对水生生</w:t>
            </w:r>
            <w:r>
              <w:rPr>
                <w:rFonts w:hint="eastAsia" w:eastAsia="宋体" w:cs="宋体"/>
                <w:b w:val="0"/>
                <w:bCs/>
                <w:color w:val="auto"/>
                <w:spacing w:val="0"/>
                <w:sz w:val="24"/>
                <w:szCs w:val="24"/>
                <w:lang w:val="en-US" w:eastAsia="zh-CN"/>
              </w:rPr>
              <w:t>态的影响</w:t>
            </w:r>
          </w:p>
          <w:p w14:paraId="54AC930F">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default" w:ascii="Times New Roman" w:hAnsi="Times New Roman" w:eastAsia="宋体" w:cs="Times New Roman"/>
                <w:color w:val="auto"/>
                <w:spacing w:val="0"/>
                <w:w w:val="100"/>
                <w:kern w:val="0"/>
                <w:position w:val="0"/>
                <w:sz w:val="24"/>
                <w:szCs w:val="24"/>
                <w:highlight w:val="none"/>
                <w:lang w:val="en-US" w:eastAsia="zh-CN"/>
              </w:rPr>
            </w:pPr>
            <w:r>
              <w:rPr>
                <w:rFonts w:hint="default" w:ascii="Times New Roman" w:hAnsi="Times New Roman" w:eastAsia="宋体" w:cs="Times New Roman"/>
                <w:color w:val="auto"/>
                <w:spacing w:val="0"/>
                <w:w w:val="100"/>
                <w:kern w:val="0"/>
                <w:position w:val="0"/>
                <w:sz w:val="24"/>
                <w:szCs w:val="24"/>
                <w:highlight w:val="none"/>
                <w:lang w:val="en-US" w:eastAsia="zh-CN"/>
              </w:rPr>
              <w:t>①施工污染对鱼类等水生生物区系的影响</w:t>
            </w:r>
          </w:p>
          <w:p w14:paraId="2021411B">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eastAsia" w:ascii="Times New Roman" w:hAnsi="Times New Roman" w:eastAsia="宋体" w:cs="Times New Roman"/>
                <w:color w:val="auto"/>
                <w:spacing w:val="0"/>
                <w:w w:val="100"/>
                <w:kern w:val="0"/>
                <w:position w:val="0"/>
                <w:sz w:val="24"/>
                <w:szCs w:val="24"/>
                <w:highlight w:val="none"/>
                <w:lang w:val="en-US" w:eastAsia="zh-CN"/>
              </w:rPr>
            </w:pPr>
            <w:r>
              <w:rPr>
                <w:rFonts w:hint="eastAsia" w:ascii="Times New Roman" w:hAnsi="Times New Roman" w:eastAsia="宋体" w:cs="Times New Roman"/>
                <w:color w:val="auto"/>
                <w:spacing w:val="0"/>
                <w:w w:val="100"/>
                <w:kern w:val="0"/>
                <w:position w:val="0"/>
                <w:sz w:val="24"/>
                <w:szCs w:val="24"/>
                <w:highlight w:val="none"/>
                <w:lang w:val="en-US" w:eastAsia="zh-CN"/>
              </w:rPr>
              <w:t>本工程</w:t>
            </w:r>
            <w:r>
              <w:rPr>
                <w:rFonts w:hint="eastAsia" w:cs="Times New Roman"/>
                <w:color w:val="auto"/>
                <w:spacing w:val="0"/>
                <w:w w:val="100"/>
                <w:kern w:val="0"/>
                <w:position w:val="0"/>
                <w:sz w:val="24"/>
                <w:szCs w:val="24"/>
                <w:highlight w:val="none"/>
                <w:lang w:val="en-US" w:eastAsia="zh-CN"/>
              </w:rPr>
              <w:t>护岸挡墙和护坡施工</w:t>
            </w:r>
            <w:r>
              <w:rPr>
                <w:rFonts w:hint="eastAsia" w:ascii="Times New Roman" w:hAnsi="Times New Roman" w:cs="Times New Roman"/>
                <w:color w:val="auto"/>
                <w:spacing w:val="0"/>
                <w:w w:val="100"/>
                <w:kern w:val="0"/>
                <w:position w:val="0"/>
                <w:sz w:val="24"/>
                <w:szCs w:val="24"/>
                <w:highlight w:val="none"/>
                <w:lang w:val="en-US" w:eastAsia="zh-CN"/>
              </w:rPr>
              <w:t>涉水</w:t>
            </w:r>
            <w:r>
              <w:rPr>
                <w:rFonts w:hint="eastAsia" w:ascii="Times New Roman" w:hAnsi="Times New Roman" w:eastAsia="宋体" w:cs="Times New Roman"/>
                <w:color w:val="auto"/>
                <w:spacing w:val="0"/>
                <w:w w:val="100"/>
                <w:kern w:val="0"/>
                <w:position w:val="0"/>
                <w:sz w:val="24"/>
                <w:szCs w:val="24"/>
                <w:highlight w:val="none"/>
                <w:lang w:val="en-US" w:eastAsia="zh-CN"/>
              </w:rPr>
              <w:t>作业过程中，对河道底泥进行扰动，水体中悬浮物增加，施工期间，对水生生物的突出影响是由于水体透明度的下降，引起的浮游植物的减少，进而通过食物链影响下级生物的种群和数量。同时，由于破坏了底泥的物理化学环境，改变了水体界面的氧化还原条件，促进营养盐以可溶态形式向水中释放和回归，增加水体氮磷浓度，加重了水体的污染程度，给水生植物的光合作用及鱼类和浮游动物栖息环境带来不利影响。</w:t>
            </w:r>
          </w:p>
          <w:p w14:paraId="5448DD07">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default" w:ascii="Times New Roman" w:hAnsi="Times New Roman" w:eastAsia="宋体" w:cs="Times New Roman"/>
                <w:color w:val="auto"/>
                <w:spacing w:val="0"/>
                <w:w w:val="100"/>
                <w:kern w:val="0"/>
                <w:position w:val="0"/>
                <w:sz w:val="24"/>
                <w:szCs w:val="24"/>
                <w:highlight w:val="none"/>
                <w:lang w:val="en-US" w:eastAsia="zh-CN"/>
              </w:rPr>
            </w:pPr>
            <w:r>
              <w:rPr>
                <w:rFonts w:hint="default" w:ascii="Times New Roman" w:hAnsi="Times New Roman" w:eastAsia="宋体" w:cs="Times New Roman"/>
                <w:color w:val="auto"/>
                <w:spacing w:val="0"/>
                <w:w w:val="100"/>
                <w:kern w:val="0"/>
                <w:position w:val="0"/>
                <w:sz w:val="24"/>
                <w:szCs w:val="24"/>
                <w:highlight w:val="none"/>
                <w:lang w:val="en-US" w:eastAsia="zh-CN"/>
              </w:rPr>
              <w:t>②对鱼类等水生生物种群结构的影响</w:t>
            </w:r>
          </w:p>
          <w:p w14:paraId="70A235D1">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default" w:ascii="Times New Roman" w:hAnsi="Times New Roman" w:eastAsia="宋体" w:cs="Times New Roman"/>
                <w:color w:val="auto"/>
                <w:spacing w:val="0"/>
                <w:w w:val="100"/>
                <w:kern w:val="0"/>
                <w:position w:val="0"/>
                <w:sz w:val="24"/>
                <w:szCs w:val="24"/>
                <w:highlight w:val="none"/>
                <w:lang w:val="en-US" w:eastAsia="zh-CN"/>
              </w:rPr>
            </w:pPr>
            <w:r>
              <w:rPr>
                <w:rFonts w:hint="default" w:ascii="Times New Roman" w:hAnsi="Times New Roman" w:eastAsia="宋体" w:cs="Times New Roman"/>
                <w:color w:val="auto"/>
                <w:spacing w:val="0"/>
                <w:w w:val="100"/>
                <w:kern w:val="0"/>
                <w:position w:val="0"/>
                <w:sz w:val="24"/>
                <w:szCs w:val="24"/>
                <w:highlight w:val="none"/>
                <w:lang w:val="en-US" w:eastAsia="zh-CN"/>
              </w:rPr>
              <w:t>A.对鱼类种群结构的影响</w:t>
            </w:r>
          </w:p>
          <w:p w14:paraId="2F1BC97A">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default" w:ascii="Times New Roman" w:hAnsi="Times New Roman" w:eastAsia="宋体" w:cs="Times New Roman"/>
                <w:color w:val="auto"/>
                <w:spacing w:val="0"/>
                <w:w w:val="100"/>
                <w:kern w:val="0"/>
                <w:position w:val="0"/>
                <w:sz w:val="24"/>
                <w:szCs w:val="24"/>
                <w:highlight w:val="none"/>
                <w:lang w:val="en-US" w:eastAsia="zh-CN"/>
              </w:rPr>
            </w:pPr>
            <w:r>
              <w:rPr>
                <w:rFonts w:hint="eastAsia" w:cs="Times New Roman"/>
                <w:color w:val="auto"/>
                <w:spacing w:val="0"/>
                <w:w w:val="100"/>
                <w:kern w:val="0"/>
                <w:position w:val="0"/>
                <w:sz w:val="24"/>
                <w:szCs w:val="24"/>
                <w:highlight w:val="none"/>
                <w:lang w:val="en-US" w:eastAsia="zh-CN"/>
              </w:rPr>
              <w:t>护岸挡墙和护坡施工</w:t>
            </w:r>
            <w:r>
              <w:rPr>
                <w:rFonts w:hint="default" w:ascii="Times New Roman" w:hAnsi="Times New Roman" w:eastAsia="宋体" w:cs="Times New Roman"/>
                <w:color w:val="auto"/>
                <w:spacing w:val="0"/>
                <w:w w:val="100"/>
                <w:kern w:val="0"/>
                <w:position w:val="0"/>
                <w:sz w:val="24"/>
                <w:szCs w:val="24"/>
                <w:highlight w:val="none"/>
                <w:lang w:val="en-US" w:eastAsia="zh-CN"/>
              </w:rPr>
              <w:t>产生的噪声振动会干扰鱼类的繁殖、索饵和越冬，甚至造成部分动物的胚胎发育终止。而对繁殖的干扰和胚胎发育的终止都会造成鱼、鱼苗和幼鱼的急剧减少，从而显著改变鱼类的种群结构。根据调查，该段河道内无鱼类</w:t>
            </w:r>
            <w:r>
              <w:rPr>
                <w:rFonts w:hint="eastAsia" w:cs="Times New Roman"/>
                <w:color w:val="auto"/>
                <w:spacing w:val="0"/>
                <w:w w:val="100"/>
                <w:kern w:val="0"/>
                <w:position w:val="0"/>
                <w:sz w:val="24"/>
                <w:szCs w:val="24"/>
                <w:highlight w:val="none"/>
                <w:lang w:val="en-US" w:eastAsia="zh-CN"/>
              </w:rPr>
              <w:t>″</w:t>
            </w:r>
            <w:r>
              <w:rPr>
                <w:rFonts w:hint="default" w:ascii="Times New Roman" w:hAnsi="Times New Roman" w:eastAsia="宋体" w:cs="Times New Roman"/>
                <w:color w:val="auto"/>
                <w:spacing w:val="0"/>
                <w:w w:val="100"/>
                <w:kern w:val="0"/>
                <w:position w:val="0"/>
                <w:sz w:val="24"/>
                <w:szCs w:val="24"/>
                <w:highlight w:val="none"/>
                <w:lang w:val="en-US" w:eastAsia="zh-CN"/>
              </w:rPr>
              <w:t>三场</w:t>
            </w:r>
            <w:r>
              <w:rPr>
                <w:rFonts w:hint="eastAsia" w:cs="Times New Roman"/>
                <w:color w:val="auto"/>
                <w:spacing w:val="0"/>
                <w:w w:val="100"/>
                <w:kern w:val="0"/>
                <w:position w:val="0"/>
                <w:sz w:val="24"/>
                <w:szCs w:val="24"/>
                <w:highlight w:val="none"/>
                <w:lang w:val="en-US" w:eastAsia="zh-CN"/>
              </w:rPr>
              <w:t>″</w:t>
            </w:r>
            <w:r>
              <w:rPr>
                <w:rFonts w:hint="default" w:ascii="Times New Roman" w:hAnsi="Times New Roman" w:eastAsia="宋体" w:cs="Times New Roman"/>
                <w:color w:val="auto"/>
                <w:spacing w:val="0"/>
                <w:w w:val="100"/>
                <w:kern w:val="0"/>
                <w:position w:val="0"/>
                <w:sz w:val="24"/>
                <w:szCs w:val="24"/>
                <w:highlight w:val="none"/>
                <w:lang w:val="en-US" w:eastAsia="zh-CN"/>
              </w:rPr>
              <w:t>分布，因此施工产生的噪声振动不会对鱼类的种群结构造成显著影响。</w:t>
            </w:r>
          </w:p>
          <w:p w14:paraId="6DB8E793">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default" w:ascii="Times New Roman" w:hAnsi="Times New Roman" w:eastAsia="宋体" w:cs="Times New Roman"/>
                <w:color w:val="auto"/>
                <w:spacing w:val="0"/>
                <w:w w:val="100"/>
                <w:kern w:val="0"/>
                <w:position w:val="0"/>
                <w:sz w:val="24"/>
                <w:szCs w:val="24"/>
                <w:highlight w:val="none"/>
                <w:lang w:val="en-US" w:eastAsia="zh-CN"/>
              </w:rPr>
            </w:pPr>
            <w:r>
              <w:rPr>
                <w:rFonts w:hint="default" w:ascii="Times New Roman" w:hAnsi="Times New Roman" w:eastAsia="宋体" w:cs="Times New Roman"/>
                <w:color w:val="auto"/>
                <w:spacing w:val="0"/>
                <w:w w:val="100"/>
                <w:kern w:val="0"/>
                <w:position w:val="0"/>
                <w:sz w:val="24"/>
                <w:szCs w:val="24"/>
                <w:highlight w:val="none"/>
                <w:lang w:val="en-US" w:eastAsia="zh-CN"/>
              </w:rPr>
              <w:t>B.</w:t>
            </w:r>
            <w:r>
              <w:rPr>
                <w:rFonts w:hint="eastAsia" w:cs="Times New Roman"/>
                <w:color w:val="auto"/>
                <w:spacing w:val="0"/>
                <w:w w:val="100"/>
                <w:kern w:val="0"/>
                <w:position w:val="0"/>
                <w:sz w:val="24"/>
                <w:szCs w:val="24"/>
                <w:highlight w:val="none"/>
                <w:lang w:val="en-US" w:eastAsia="zh-CN"/>
              </w:rPr>
              <w:t>对浮游生物</w:t>
            </w:r>
            <w:r>
              <w:rPr>
                <w:rFonts w:hint="default" w:ascii="Times New Roman" w:hAnsi="Times New Roman" w:eastAsia="宋体" w:cs="Times New Roman"/>
                <w:color w:val="auto"/>
                <w:spacing w:val="0"/>
                <w:w w:val="100"/>
                <w:kern w:val="0"/>
                <w:position w:val="0"/>
                <w:sz w:val="24"/>
                <w:szCs w:val="24"/>
                <w:highlight w:val="none"/>
                <w:lang w:val="en-US" w:eastAsia="zh-CN"/>
              </w:rPr>
              <w:t>种群结构的影响</w:t>
            </w:r>
          </w:p>
          <w:p w14:paraId="7C722C5E">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default" w:ascii="Times New Roman" w:hAnsi="Times New Roman" w:eastAsia="宋体" w:cs="Times New Roman"/>
                <w:color w:val="auto"/>
                <w:spacing w:val="0"/>
                <w:w w:val="100"/>
                <w:kern w:val="0"/>
                <w:position w:val="0"/>
                <w:sz w:val="24"/>
                <w:szCs w:val="24"/>
                <w:highlight w:val="none"/>
                <w:lang w:val="en-US" w:eastAsia="zh-CN"/>
              </w:rPr>
            </w:pPr>
            <w:r>
              <w:rPr>
                <w:rFonts w:hint="default" w:ascii="Times New Roman" w:hAnsi="Times New Roman" w:eastAsia="宋体" w:cs="Times New Roman"/>
                <w:color w:val="auto"/>
                <w:spacing w:val="0"/>
                <w:w w:val="100"/>
                <w:kern w:val="0"/>
                <w:position w:val="0"/>
                <w:sz w:val="24"/>
                <w:szCs w:val="24"/>
                <w:highlight w:val="none"/>
                <w:lang w:val="en-US" w:eastAsia="zh-CN"/>
              </w:rPr>
              <w:t>工程</w:t>
            </w:r>
            <w:r>
              <w:rPr>
                <w:rFonts w:hint="eastAsia" w:cs="Times New Roman"/>
                <w:color w:val="auto"/>
                <w:spacing w:val="0"/>
                <w:w w:val="100"/>
                <w:kern w:val="0"/>
                <w:position w:val="0"/>
                <w:sz w:val="24"/>
                <w:szCs w:val="24"/>
                <w:highlight w:val="none"/>
                <w:lang w:val="en-US" w:eastAsia="zh-CN"/>
              </w:rPr>
              <w:t>护岸挡墙和护坡</w:t>
            </w:r>
            <w:r>
              <w:rPr>
                <w:rFonts w:hint="default" w:ascii="Times New Roman" w:hAnsi="Times New Roman" w:eastAsia="宋体" w:cs="Times New Roman"/>
                <w:color w:val="auto"/>
                <w:spacing w:val="0"/>
                <w:w w:val="100"/>
                <w:kern w:val="0"/>
                <w:position w:val="0"/>
                <w:sz w:val="24"/>
                <w:szCs w:val="24"/>
                <w:highlight w:val="none"/>
                <w:lang w:val="en-US" w:eastAsia="zh-CN"/>
              </w:rPr>
              <w:t>涉水施工对水体搅动及可能的水质环境污染使施工作业点及附近的浮游藻类、浮游动物的种类数量减少或消失。但</w:t>
            </w:r>
            <w:r>
              <w:rPr>
                <w:rFonts w:hint="eastAsia" w:cs="Times New Roman"/>
                <w:color w:val="auto"/>
                <w:spacing w:val="0"/>
                <w:w w:val="100"/>
                <w:kern w:val="0"/>
                <w:position w:val="0"/>
                <w:sz w:val="24"/>
                <w:szCs w:val="24"/>
                <w:highlight w:val="none"/>
                <w:lang w:val="en-US" w:eastAsia="zh-CN"/>
              </w:rPr>
              <w:t>护岸挡墙和护坡工程量较小，</w:t>
            </w:r>
            <w:r>
              <w:rPr>
                <w:rFonts w:hint="default" w:ascii="Times New Roman" w:hAnsi="Times New Roman" w:eastAsia="宋体" w:cs="Times New Roman"/>
                <w:color w:val="auto"/>
                <w:spacing w:val="0"/>
                <w:w w:val="100"/>
                <w:kern w:val="0"/>
                <w:position w:val="0"/>
                <w:sz w:val="24"/>
                <w:szCs w:val="24"/>
                <w:highlight w:val="none"/>
                <w:lang w:val="en-US" w:eastAsia="zh-CN"/>
              </w:rPr>
              <w:t>施工扰动范围有限，加之浮游藻类、浮游动物的繁殖速度快，受光照、温度等的影响大，因而工程施工不会对评价区内浮游藻类、浮游动物造成不可逆的破坏，且项目施工影响短暂，施工结束后其影响</w:t>
            </w:r>
            <w:r>
              <w:rPr>
                <w:rFonts w:hint="eastAsia" w:cs="Times New Roman"/>
                <w:color w:val="auto"/>
                <w:spacing w:val="0"/>
                <w:w w:val="100"/>
                <w:kern w:val="0"/>
                <w:position w:val="0"/>
                <w:sz w:val="24"/>
                <w:szCs w:val="24"/>
                <w:highlight w:val="none"/>
                <w:lang w:val="en-US" w:eastAsia="zh-CN"/>
              </w:rPr>
              <w:t>也</w:t>
            </w:r>
            <w:r>
              <w:rPr>
                <w:rFonts w:hint="default" w:ascii="Times New Roman" w:hAnsi="Times New Roman" w:eastAsia="宋体" w:cs="Times New Roman"/>
                <w:color w:val="auto"/>
                <w:spacing w:val="0"/>
                <w:w w:val="100"/>
                <w:kern w:val="0"/>
                <w:position w:val="0"/>
                <w:sz w:val="24"/>
                <w:szCs w:val="24"/>
                <w:highlight w:val="none"/>
                <w:lang w:val="en-US" w:eastAsia="zh-CN"/>
              </w:rPr>
              <w:t>随之消失，区段浮游藻类、浮游动物能很快恢复。因此工程施工虽然会使浮游动物的生物量有一定</w:t>
            </w:r>
            <w:r>
              <w:rPr>
                <w:rFonts w:hint="eastAsia" w:cs="Times New Roman"/>
                <w:color w:val="auto"/>
                <w:spacing w:val="0"/>
                <w:w w:val="100"/>
                <w:kern w:val="0"/>
                <w:position w:val="0"/>
                <w:sz w:val="24"/>
                <w:szCs w:val="24"/>
                <w:highlight w:val="none"/>
                <w:lang w:val="en-US" w:eastAsia="zh-CN"/>
              </w:rPr>
              <w:t>地</w:t>
            </w:r>
            <w:r>
              <w:rPr>
                <w:rFonts w:hint="default" w:ascii="Times New Roman" w:hAnsi="Times New Roman" w:eastAsia="宋体" w:cs="Times New Roman"/>
                <w:color w:val="auto"/>
                <w:spacing w:val="0"/>
                <w:w w:val="100"/>
                <w:kern w:val="0"/>
                <w:position w:val="0"/>
                <w:sz w:val="24"/>
                <w:szCs w:val="24"/>
                <w:highlight w:val="none"/>
                <w:lang w:val="en-US" w:eastAsia="zh-CN"/>
              </w:rPr>
              <w:t>减少，但这种影响也只是局部的和暂时的</w:t>
            </w:r>
            <w:r>
              <w:rPr>
                <w:rFonts w:hint="eastAsia" w:cs="Times New Roman"/>
                <w:color w:val="auto"/>
                <w:spacing w:val="0"/>
                <w:w w:val="100"/>
                <w:kern w:val="0"/>
                <w:position w:val="0"/>
                <w:sz w:val="24"/>
                <w:szCs w:val="24"/>
                <w:highlight w:val="none"/>
                <w:lang w:val="en-US" w:eastAsia="zh-CN"/>
              </w:rPr>
              <w:t>。</w:t>
            </w:r>
          </w:p>
          <w:p w14:paraId="2770E6E3">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default" w:ascii="Times New Roman" w:hAnsi="Times New Roman" w:eastAsia="宋体" w:cs="Times New Roman"/>
                <w:color w:val="auto"/>
                <w:spacing w:val="0"/>
                <w:w w:val="100"/>
                <w:kern w:val="0"/>
                <w:position w:val="0"/>
                <w:sz w:val="24"/>
                <w:szCs w:val="24"/>
                <w:highlight w:val="none"/>
                <w:lang w:val="en-US" w:eastAsia="zh-CN"/>
              </w:rPr>
            </w:pPr>
            <w:r>
              <w:rPr>
                <w:rFonts w:hint="eastAsia" w:cs="Times New Roman"/>
                <w:color w:val="auto"/>
                <w:spacing w:val="0"/>
                <w:w w:val="100"/>
                <w:kern w:val="0"/>
                <w:position w:val="0"/>
                <w:sz w:val="24"/>
                <w:szCs w:val="24"/>
                <w:highlight w:val="none"/>
                <w:lang w:val="en-US" w:eastAsia="zh-CN"/>
              </w:rPr>
              <w:t>C.</w:t>
            </w:r>
            <w:r>
              <w:rPr>
                <w:rFonts w:hint="default" w:ascii="Times New Roman" w:hAnsi="Times New Roman" w:eastAsia="宋体" w:cs="Times New Roman"/>
                <w:color w:val="auto"/>
                <w:spacing w:val="0"/>
                <w:w w:val="100"/>
                <w:kern w:val="0"/>
                <w:position w:val="0"/>
                <w:sz w:val="24"/>
                <w:szCs w:val="24"/>
                <w:highlight w:val="none"/>
                <w:lang w:val="en-US" w:eastAsia="zh-CN"/>
              </w:rPr>
              <w:t>对底栖动物和水生植物群结构的影响</w:t>
            </w:r>
          </w:p>
          <w:p w14:paraId="5D28CB65">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default" w:ascii="Times New Roman" w:hAnsi="Times New Roman" w:eastAsia="宋体" w:cs="Times New Roman"/>
                <w:color w:val="auto"/>
                <w:spacing w:val="0"/>
                <w:w w:val="100"/>
                <w:kern w:val="0"/>
                <w:position w:val="0"/>
                <w:sz w:val="24"/>
                <w:szCs w:val="24"/>
                <w:highlight w:val="none"/>
                <w:lang w:val="en-US" w:eastAsia="zh-CN"/>
              </w:rPr>
            </w:pPr>
            <w:r>
              <w:rPr>
                <w:rFonts w:hint="default" w:ascii="Times New Roman" w:hAnsi="Times New Roman" w:eastAsia="宋体" w:cs="Times New Roman"/>
                <w:color w:val="auto"/>
                <w:spacing w:val="0"/>
                <w:w w:val="100"/>
                <w:kern w:val="0"/>
                <w:position w:val="0"/>
                <w:sz w:val="24"/>
                <w:szCs w:val="24"/>
                <w:highlight w:val="none"/>
                <w:lang w:val="en-US" w:eastAsia="zh-CN"/>
              </w:rPr>
              <w:t>工程</w:t>
            </w:r>
            <w:r>
              <w:rPr>
                <w:rFonts w:hint="eastAsia" w:cs="Times New Roman"/>
                <w:color w:val="auto"/>
                <w:spacing w:val="0"/>
                <w:w w:val="100"/>
                <w:kern w:val="0"/>
                <w:position w:val="0"/>
                <w:sz w:val="24"/>
                <w:szCs w:val="24"/>
                <w:highlight w:val="none"/>
                <w:lang w:val="en-US" w:eastAsia="zh-CN"/>
              </w:rPr>
              <w:t>护岸挡墙和护坡基础</w:t>
            </w:r>
            <w:r>
              <w:rPr>
                <w:rFonts w:hint="eastAsia" w:ascii="Times New Roman" w:hAnsi="Times New Roman" w:eastAsia="宋体" w:cs="Times New Roman"/>
                <w:color w:val="auto"/>
                <w:spacing w:val="0"/>
                <w:w w:val="100"/>
                <w:kern w:val="0"/>
                <w:position w:val="0"/>
                <w:sz w:val="24"/>
                <w:szCs w:val="24"/>
                <w:highlight w:val="none"/>
                <w:lang w:val="en-US" w:eastAsia="zh-CN"/>
              </w:rPr>
              <w:t>开挖对底栖动物的影响较大。施工作业过程中将破坏底栖动物及其栖息环境，工程区内水体底部的动物区系、种群、数量、种群结构和生态地位将受到较大程度的影响。同时，</w:t>
            </w:r>
            <w:r>
              <w:rPr>
                <w:rFonts w:hint="default" w:ascii="Times New Roman" w:hAnsi="Times New Roman" w:eastAsia="宋体" w:cs="Times New Roman"/>
                <w:color w:val="auto"/>
                <w:spacing w:val="0"/>
                <w:w w:val="100"/>
                <w:kern w:val="0"/>
                <w:position w:val="0"/>
                <w:sz w:val="24"/>
                <w:szCs w:val="24"/>
                <w:highlight w:val="none"/>
                <w:lang w:val="en-US" w:eastAsia="zh-CN"/>
              </w:rPr>
              <w:t>工程</w:t>
            </w:r>
            <w:r>
              <w:rPr>
                <w:rFonts w:hint="eastAsia" w:cs="Times New Roman"/>
                <w:color w:val="auto"/>
                <w:spacing w:val="0"/>
                <w:w w:val="100"/>
                <w:kern w:val="0"/>
                <w:position w:val="0"/>
                <w:sz w:val="24"/>
                <w:szCs w:val="24"/>
                <w:highlight w:val="none"/>
                <w:lang w:val="en-US" w:eastAsia="zh-CN"/>
              </w:rPr>
              <w:t>护岸挡墙和护坡基础</w:t>
            </w:r>
            <w:r>
              <w:rPr>
                <w:rFonts w:hint="eastAsia" w:ascii="Times New Roman" w:hAnsi="Times New Roman" w:eastAsia="宋体" w:cs="Times New Roman"/>
                <w:color w:val="auto"/>
                <w:spacing w:val="0"/>
                <w:w w:val="100"/>
                <w:kern w:val="0"/>
                <w:position w:val="0"/>
                <w:sz w:val="24"/>
                <w:szCs w:val="24"/>
                <w:highlight w:val="none"/>
                <w:lang w:val="en-US" w:eastAsia="zh-CN"/>
              </w:rPr>
              <w:t>开挖将有部分底栖生物被清理，原有生态位的相对稳定将被打破。由于</w:t>
            </w:r>
            <w:r>
              <w:rPr>
                <w:rFonts w:hint="eastAsia" w:cs="Times New Roman"/>
                <w:color w:val="auto"/>
                <w:spacing w:val="0"/>
                <w:w w:val="100"/>
                <w:kern w:val="0"/>
                <w:position w:val="0"/>
                <w:sz w:val="24"/>
                <w:szCs w:val="24"/>
                <w:highlight w:val="none"/>
                <w:lang w:val="en-US" w:eastAsia="zh-CN"/>
              </w:rPr>
              <w:t>主体工程基础</w:t>
            </w:r>
            <w:r>
              <w:rPr>
                <w:rFonts w:hint="eastAsia" w:ascii="Times New Roman" w:hAnsi="Times New Roman" w:eastAsia="宋体" w:cs="Times New Roman"/>
                <w:color w:val="auto"/>
                <w:spacing w:val="0"/>
                <w:w w:val="100"/>
                <w:kern w:val="0"/>
                <w:position w:val="0"/>
                <w:sz w:val="24"/>
                <w:szCs w:val="24"/>
                <w:highlight w:val="none"/>
                <w:lang w:val="en-US" w:eastAsia="zh-CN"/>
              </w:rPr>
              <w:t>开挖工期较短，结束后底栖生物会逐步恢复，因此</w:t>
            </w:r>
            <w:r>
              <w:rPr>
                <w:rFonts w:hint="eastAsia" w:cs="Times New Roman"/>
                <w:color w:val="auto"/>
                <w:spacing w:val="0"/>
                <w:w w:val="100"/>
                <w:kern w:val="0"/>
                <w:position w:val="0"/>
                <w:sz w:val="24"/>
                <w:szCs w:val="24"/>
                <w:highlight w:val="none"/>
                <w:lang w:val="en-US" w:eastAsia="zh-CN"/>
              </w:rPr>
              <w:t>主体工程基础</w:t>
            </w:r>
            <w:r>
              <w:rPr>
                <w:rFonts w:hint="eastAsia" w:ascii="Times New Roman" w:hAnsi="Times New Roman" w:eastAsia="宋体" w:cs="Times New Roman"/>
                <w:color w:val="auto"/>
                <w:spacing w:val="0"/>
                <w:w w:val="100"/>
                <w:kern w:val="0"/>
                <w:position w:val="0"/>
                <w:sz w:val="24"/>
                <w:szCs w:val="24"/>
                <w:highlight w:val="none"/>
                <w:lang w:val="en-US" w:eastAsia="zh-CN"/>
              </w:rPr>
              <w:t>开挖不会造成底栖生物的大量消失和灭绝</w:t>
            </w:r>
            <w:r>
              <w:rPr>
                <w:rFonts w:hint="default" w:ascii="Times New Roman" w:hAnsi="Times New Roman" w:eastAsia="宋体" w:cs="Times New Roman"/>
                <w:color w:val="auto"/>
                <w:spacing w:val="0"/>
                <w:w w:val="100"/>
                <w:kern w:val="0"/>
                <w:position w:val="0"/>
                <w:sz w:val="24"/>
                <w:szCs w:val="24"/>
                <w:highlight w:val="none"/>
                <w:lang w:val="en-US" w:eastAsia="zh-CN"/>
              </w:rPr>
              <w:t>。</w:t>
            </w:r>
          </w:p>
          <w:p w14:paraId="0736D5F6">
            <w:pPr>
              <w:pStyle w:val="20"/>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baseline"/>
              <w:rPr>
                <w:rFonts w:hint="default" w:ascii="Times New Roman" w:hAnsi="Times New Roman" w:cs="Times New Roman"/>
                <w:color w:val="auto"/>
                <w:spacing w:val="0"/>
                <w:w w:val="100"/>
                <w:kern w:val="2"/>
                <w:position w:val="0"/>
                <w:sz w:val="24"/>
                <w:szCs w:val="24"/>
                <w:highlight w:val="none"/>
                <w:lang w:val="en-US" w:eastAsia="zh-CN" w:bidi="ar-SA"/>
              </w:rPr>
            </w:pPr>
            <w:r>
              <w:rPr>
                <w:rFonts w:hint="eastAsia" w:ascii="Times New Roman" w:hAnsi="Times New Roman" w:eastAsia="宋体" w:cs="Times New Roman"/>
                <w:color w:val="auto"/>
                <w:spacing w:val="0"/>
                <w:w w:val="100"/>
                <w:kern w:val="0"/>
                <w:position w:val="0"/>
                <w:sz w:val="24"/>
                <w:szCs w:val="24"/>
                <w:highlight w:val="none"/>
                <w:lang w:val="en-US" w:eastAsia="zh-CN"/>
              </w:rPr>
              <w:t>综上所述，本工程施工过程中由于扰动河流底泥引起水质变化，但</w:t>
            </w:r>
            <w:r>
              <w:rPr>
                <w:rFonts w:hint="eastAsia" w:ascii="Times New Roman" w:hAnsi="Times New Roman" w:cs="Times New Roman"/>
                <w:color w:val="auto"/>
                <w:spacing w:val="0"/>
                <w:w w:val="100"/>
                <w:kern w:val="0"/>
                <w:position w:val="0"/>
                <w:sz w:val="24"/>
                <w:szCs w:val="24"/>
                <w:highlight w:val="none"/>
                <w:lang w:val="en-US" w:eastAsia="zh-CN"/>
              </w:rPr>
              <w:t>工程量小、</w:t>
            </w:r>
            <w:r>
              <w:rPr>
                <w:rFonts w:hint="eastAsia" w:ascii="Times New Roman" w:hAnsi="Times New Roman" w:eastAsia="宋体" w:cs="Times New Roman"/>
                <w:color w:val="auto"/>
                <w:spacing w:val="0"/>
                <w:w w:val="100"/>
                <w:kern w:val="0"/>
                <w:position w:val="0"/>
                <w:sz w:val="24"/>
                <w:szCs w:val="24"/>
                <w:highlight w:val="none"/>
                <w:lang w:val="en-US" w:eastAsia="zh-CN"/>
              </w:rPr>
              <w:t>施工期短暂，且在枯水期施工，施工影响范围及损失的生物量相对于整个评价水域而言很小。随着施工结束，水生生态将恢复到原有状态</w:t>
            </w:r>
            <w:r>
              <w:rPr>
                <w:rFonts w:hint="default" w:ascii="Times New Roman" w:hAnsi="Times New Roman" w:cs="Times New Roman"/>
                <w:b w:val="0"/>
                <w:bCs/>
                <w:color w:val="auto"/>
                <w:spacing w:val="0"/>
                <w:sz w:val="24"/>
                <w:szCs w:val="24"/>
              </w:rPr>
              <w:t>。</w:t>
            </w:r>
            <w:r>
              <w:rPr>
                <w:rFonts w:hint="eastAsia" w:ascii="Times New Roman" w:hAnsi="Times New Roman" w:eastAsia="宋体" w:cs="Times New Roman"/>
                <w:color w:val="auto"/>
                <w:spacing w:val="0"/>
                <w:w w:val="100"/>
                <w:kern w:val="2"/>
                <w:position w:val="0"/>
                <w:sz w:val="24"/>
                <w:szCs w:val="24"/>
                <w:highlight w:val="none"/>
                <w:lang w:val="en-US" w:eastAsia="zh-CN" w:bidi="ar-SA"/>
              </w:rPr>
              <w:t>根据</w:t>
            </w:r>
            <w:r>
              <w:rPr>
                <w:rFonts w:hint="eastAsia" w:ascii="Times New Roman" w:hAnsi="Times New Roman" w:cs="Times New Roman"/>
                <w:color w:val="auto"/>
                <w:spacing w:val="0"/>
                <w:w w:val="100"/>
                <w:kern w:val="2"/>
                <w:position w:val="0"/>
                <w:sz w:val="24"/>
                <w:szCs w:val="24"/>
                <w:highlight w:val="none"/>
                <w:lang w:val="en-US" w:eastAsia="zh-CN" w:bidi="ar-SA"/>
              </w:rPr>
              <w:t>千河现状</w:t>
            </w:r>
            <w:r>
              <w:rPr>
                <w:rFonts w:hint="eastAsia" w:ascii="Times New Roman" w:hAnsi="Times New Roman" w:eastAsia="宋体" w:cs="Times New Roman"/>
                <w:color w:val="auto"/>
                <w:spacing w:val="0"/>
                <w:w w:val="100"/>
                <w:kern w:val="2"/>
                <w:position w:val="0"/>
                <w:sz w:val="24"/>
                <w:szCs w:val="24"/>
                <w:highlight w:val="none"/>
                <w:lang w:val="en-US" w:eastAsia="zh-CN" w:bidi="ar-SA"/>
              </w:rPr>
              <w:t>监测结果，</w:t>
            </w:r>
            <w:r>
              <w:rPr>
                <w:rFonts w:hint="eastAsia" w:ascii="Times New Roman" w:hAnsi="Times New Roman" w:cs="Times New Roman"/>
                <w:color w:val="auto"/>
                <w:spacing w:val="0"/>
                <w:w w:val="100"/>
                <w:kern w:val="2"/>
                <w:position w:val="0"/>
                <w:sz w:val="24"/>
                <w:szCs w:val="24"/>
                <w:highlight w:val="none"/>
                <w:lang w:val="en-US" w:eastAsia="zh-CN" w:bidi="ar-SA"/>
              </w:rPr>
              <w:t>千河水质符合《地表水环境质量》（GB3838-2002）中的</w:t>
            </w:r>
            <w:r>
              <w:rPr>
                <w:rFonts w:hint="default" w:ascii="Times New Roman" w:hAnsi="Times New Roman" w:cs="Times New Roman"/>
                <w:color w:val="auto"/>
                <w:spacing w:val="0"/>
                <w:w w:val="100"/>
                <w:kern w:val="2"/>
                <w:position w:val="0"/>
                <w:sz w:val="24"/>
                <w:szCs w:val="24"/>
                <w:highlight w:val="none"/>
                <w:lang w:val="en-US" w:eastAsia="zh-CN" w:bidi="ar-SA"/>
              </w:rPr>
              <w:t>Ⅲ</w:t>
            </w:r>
            <w:r>
              <w:rPr>
                <w:rFonts w:hint="eastAsia" w:ascii="Times New Roman" w:hAnsi="Times New Roman" w:cs="Times New Roman"/>
                <w:color w:val="auto"/>
                <w:spacing w:val="0"/>
                <w:w w:val="100"/>
                <w:kern w:val="2"/>
                <w:position w:val="0"/>
                <w:sz w:val="24"/>
                <w:szCs w:val="24"/>
                <w:highlight w:val="none"/>
                <w:lang w:val="en-US" w:eastAsia="zh-CN" w:bidi="ar-SA"/>
              </w:rPr>
              <w:t>类标准要求</w:t>
            </w:r>
            <w:r>
              <w:rPr>
                <w:rFonts w:hint="default" w:ascii="Times New Roman" w:hAnsi="Times New Roman" w:cs="Times New Roman"/>
                <w:color w:val="auto"/>
                <w:spacing w:val="0"/>
                <w:w w:val="100"/>
                <w:kern w:val="2"/>
                <w:position w:val="0"/>
                <w:sz w:val="24"/>
                <w:szCs w:val="24"/>
                <w:highlight w:val="none"/>
                <w:lang w:val="en-US" w:eastAsia="zh-CN" w:bidi="ar-SA"/>
              </w:rPr>
              <w:t>。</w:t>
            </w:r>
          </w:p>
          <w:p w14:paraId="732A208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pacing w:val="0"/>
                <w:w w:val="100"/>
                <w:position w:val="0"/>
                <w:sz w:val="24"/>
                <w:szCs w:val="24"/>
                <w:highlight w:val="none"/>
                <w:lang w:val="en-US" w:eastAsia="zh-CN"/>
              </w:rPr>
            </w:pPr>
            <w:r>
              <w:rPr>
                <w:rFonts w:hint="eastAsia" w:cs="Times New Roman"/>
                <w:b/>
                <w:bCs/>
                <w:color w:val="auto"/>
                <w:spacing w:val="0"/>
                <w:w w:val="100"/>
                <w:position w:val="0"/>
                <w:sz w:val="24"/>
                <w:szCs w:val="24"/>
                <w:highlight w:val="none"/>
                <w:lang w:val="en-US" w:eastAsia="zh-CN"/>
              </w:rPr>
              <w:t>2、</w:t>
            </w:r>
            <w:r>
              <w:rPr>
                <w:rFonts w:hint="default" w:ascii="Times New Roman" w:hAnsi="Times New Roman" w:cs="Times New Roman"/>
                <w:b/>
                <w:bCs/>
                <w:color w:val="auto"/>
                <w:spacing w:val="0"/>
                <w:w w:val="100"/>
                <w:position w:val="0"/>
                <w:sz w:val="24"/>
                <w:szCs w:val="24"/>
                <w:highlight w:val="none"/>
                <w:lang w:val="en-US" w:eastAsia="zh-CN"/>
              </w:rPr>
              <w:t>大气环境影响分析</w:t>
            </w:r>
          </w:p>
          <w:p w14:paraId="510CB302">
            <w:pPr>
              <w:pStyle w:val="20"/>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baseline"/>
              <w:rPr>
                <w:rFonts w:hint="default" w:ascii="Times New Roman" w:hAnsi="Times New Roman" w:cs="Times New Roman"/>
                <w:b w:val="0"/>
                <w:bCs/>
                <w:color w:val="auto"/>
                <w:spacing w:val="0"/>
                <w:sz w:val="24"/>
                <w:szCs w:val="24"/>
                <w:lang w:val="en-US" w:eastAsia="zh-CN"/>
              </w:rPr>
            </w:pPr>
            <w:r>
              <w:rPr>
                <w:rFonts w:hint="eastAsia" w:ascii="Times New Roman" w:hAnsi="Times New Roman" w:cs="Times New Roman"/>
                <w:b w:val="0"/>
                <w:bCs/>
                <w:color w:val="auto"/>
                <w:spacing w:val="0"/>
                <w:sz w:val="24"/>
                <w:szCs w:val="24"/>
                <w:lang w:val="en-US" w:eastAsia="zh-CN"/>
              </w:rPr>
              <w:t>本工程现场不设置混凝土搅拌设施，工程所需混凝土全部外购自陇县商砼站。施工期废气污染物主要来源于</w:t>
            </w:r>
            <w:r>
              <w:rPr>
                <w:rFonts w:hint="eastAsia" w:ascii="Times New Roman" w:hAnsi="Times New Roman" w:eastAsia="宋体" w:cs="宋体"/>
                <w:color w:val="auto"/>
                <w:lang w:val="en-US" w:eastAsia="zh-CN"/>
              </w:rPr>
              <w:t>清基、</w:t>
            </w:r>
            <w:r>
              <w:rPr>
                <w:rFonts w:hint="eastAsia" w:ascii="Times New Roman" w:hAnsi="Times New Roman" w:cs="宋体"/>
                <w:color w:val="auto"/>
                <w:lang w:val="en-US" w:eastAsia="zh-CN"/>
              </w:rPr>
              <w:t>土方</w:t>
            </w:r>
            <w:r>
              <w:rPr>
                <w:rFonts w:hint="eastAsia" w:ascii="Times New Roman" w:hAnsi="Times New Roman" w:eastAsia="宋体" w:cs="宋体"/>
                <w:color w:val="auto"/>
                <w:lang w:val="en-US" w:eastAsia="zh-CN"/>
              </w:rPr>
              <w:t>开挖和填筑过程中的施工扬尘、</w:t>
            </w:r>
            <w:r>
              <w:rPr>
                <w:rFonts w:hint="eastAsia" w:ascii="Times New Roman" w:hAnsi="Times New Roman" w:cs="宋体"/>
                <w:color w:val="auto"/>
                <w:lang w:val="en-US" w:eastAsia="zh-CN"/>
              </w:rPr>
              <w:t>建筑材料堆放扬尘、</w:t>
            </w:r>
            <w:r>
              <w:rPr>
                <w:rFonts w:hint="eastAsia" w:ascii="Times New Roman" w:hAnsi="Times New Roman" w:eastAsia="宋体" w:cs="宋体"/>
                <w:color w:val="auto"/>
                <w:lang w:val="en-US" w:eastAsia="zh-CN"/>
              </w:rPr>
              <w:t>运输车辆道路扬尘</w:t>
            </w:r>
            <w:r>
              <w:rPr>
                <w:rFonts w:hint="eastAsia" w:ascii="Times New Roman" w:hAnsi="Times New Roman" w:cs="宋体"/>
                <w:color w:val="auto"/>
                <w:lang w:val="en-US" w:eastAsia="zh-CN"/>
              </w:rPr>
              <w:t>和</w:t>
            </w:r>
            <w:r>
              <w:rPr>
                <w:rFonts w:hint="eastAsia" w:ascii="Times New Roman" w:hAnsi="Times New Roman" w:eastAsia="宋体" w:cs="宋体"/>
                <w:color w:val="auto"/>
                <w:lang w:val="en-US" w:eastAsia="zh-CN"/>
              </w:rPr>
              <w:t>施工机械燃油尾气</w:t>
            </w:r>
            <w:r>
              <w:rPr>
                <w:rFonts w:hint="default" w:ascii="Times New Roman" w:hAnsi="Times New Roman" w:cs="Times New Roman"/>
                <w:color w:val="auto"/>
                <w:sz w:val="24"/>
                <w:szCs w:val="24"/>
                <w:lang w:eastAsia="zh-CN"/>
              </w:rPr>
              <w:t>。</w:t>
            </w:r>
          </w:p>
          <w:p w14:paraId="28332A78">
            <w:pPr>
              <w:pStyle w:val="20"/>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baseline"/>
              <w:rPr>
                <w:rFonts w:hint="eastAsia" w:eastAsia="宋体" w:cs="宋体"/>
                <w:b w:val="0"/>
                <w:bCs/>
                <w:color w:val="auto"/>
                <w:spacing w:val="0"/>
                <w:sz w:val="24"/>
                <w:szCs w:val="24"/>
                <w:lang w:val="en-US" w:eastAsia="zh-CN"/>
              </w:rPr>
            </w:pPr>
            <w:r>
              <w:rPr>
                <w:rFonts w:hint="default" w:ascii="Times New Roman" w:hAnsi="Times New Roman" w:eastAsia="宋体" w:cs="Times New Roman"/>
                <w:b w:val="0"/>
                <w:bCs/>
                <w:color w:val="auto"/>
                <w:spacing w:val="0"/>
                <w:sz w:val="24"/>
                <w:szCs w:val="24"/>
                <w:lang w:val="en-US" w:eastAsia="zh-CN"/>
              </w:rPr>
              <w:t>（1）</w:t>
            </w:r>
            <w:r>
              <w:rPr>
                <w:rFonts w:hint="eastAsia" w:ascii="Times New Roman" w:hAnsi="Times New Roman" w:eastAsia="宋体" w:cs="Times New Roman"/>
                <w:b w:val="0"/>
                <w:bCs/>
                <w:color w:val="auto"/>
                <w:spacing w:val="0"/>
                <w:sz w:val="24"/>
                <w:szCs w:val="24"/>
                <w:lang w:val="en-US" w:eastAsia="zh-CN"/>
              </w:rPr>
              <w:t>扬尘影响分析</w:t>
            </w:r>
          </w:p>
          <w:p w14:paraId="74436C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①施工扬尘</w:t>
            </w:r>
          </w:p>
          <w:p w14:paraId="61AE737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工程施工期间，产生扬尘的作业主要有各环节中土地平整、</w:t>
            </w:r>
            <w:r>
              <w:rPr>
                <w:rFonts w:hint="eastAsia" w:cs="Times New Roman"/>
                <w:color w:val="auto"/>
                <w:sz w:val="24"/>
                <w:szCs w:val="24"/>
                <w:lang w:val="en-US" w:eastAsia="zh-CN"/>
              </w:rPr>
              <w:t>土方</w:t>
            </w:r>
            <w:r>
              <w:rPr>
                <w:rFonts w:hint="eastAsia" w:ascii="Times New Roman" w:hAnsi="Times New Roman" w:cs="Times New Roman"/>
                <w:color w:val="auto"/>
                <w:sz w:val="24"/>
                <w:szCs w:val="24"/>
                <w:lang w:val="en-US" w:eastAsia="zh-CN"/>
              </w:rPr>
              <w:t>开挖、回填、</w:t>
            </w:r>
            <w:r>
              <w:rPr>
                <w:rFonts w:hint="eastAsia" w:cs="Times New Roman"/>
                <w:color w:val="auto"/>
                <w:sz w:val="24"/>
                <w:szCs w:val="24"/>
                <w:lang w:val="en-US" w:eastAsia="zh-CN"/>
              </w:rPr>
              <w:t>填筑</w:t>
            </w:r>
            <w:r>
              <w:rPr>
                <w:rFonts w:hint="eastAsia" w:ascii="Times New Roman" w:hAnsi="Times New Roman" w:cs="Times New Roman"/>
                <w:color w:val="auto"/>
                <w:sz w:val="24"/>
                <w:szCs w:val="24"/>
                <w:lang w:val="en-US" w:eastAsia="zh-CN"/>
              </w:rPr>
              <w:t>等过程，如遇干旱少雨的季节，在大风时，施工扬尘将更为严重。考虑到主要工程</w:t>
            </w:r>
            <w:r>
              <w:rPr>
                <w:rFonts w:hint="eastAsia" w:cs="Times New Roman"/>
                <w:color w:val="auto"/>
                <w:sz w:val="24"/>
                <w:szCs w:val="24"/>
                <w:lang w:val="en-US" w:eastAsia="zh-CN"/>
              </w:rPr>
              <w:t>距河道距离较近</w:t>
            </w:r>
            <w:r>
              <w:rPr>
                <w:rFonts w:hint="eastAsia" w:ascii="Times New Roman" w:hAnsi="Times New Roman" w:cs="Times New Roman"/>
                <w:color w:val="auto"/>
                <w:sz w:val="24"/>
                <w:szCs w:val="24"/>
                <w:lang w:val="en-US" w:eastAsia="zh-CN"/>
              </w:rPr>
              <w:t>，土壤含水率较高，因此各类扬尘产生量有限，同时项目施工周期短，强度低，工程结束后及时进行表土回填，恢复原貌，因此扬尘产生量较少。</w:t>
            </w:r>
          </w:p>
          <w:p w14:paraId="30D55F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lang w:val="en-US" w:eastAsia="zh-CN"/>
              </w:rPr>
            </w:pPr>
            <w:r>
              <w:rPr>
                <w:rFonts w:hint="eastAsia" w:ascii="宋体" w:hAnsi="宋体" w:eastAsia="宋体" w:cs="宋体"/>
                <w:color w:val="auto"/>
                <w:sz w:val="24"/>
                <w:szCs w:val="24"/>
                <w:lang w:val="en-US" w:eastAsia="zh-CN"/>
              </w:rPr>
              <w:t>②</w:t>
            </w:r>
            <w:r>
              <w:rPr>
                <w:rFonts w:hint="eastAsia" w:ascii="Times New Roman" w:hAnsi="Times New Roman" w:cs="Times New Roman"/>
                <w:color w:val="auto"/>
                <w:sz w:val="24"/>
                <w:szCs w:val="24"/>
                <w:lang w:val="en-US" w:eastAsia="zh-CN"/>
              </w:rPr>
              <w:t>堆场扬尘</w:t>
            </w:r>
          </w:p>
          <w:p w14:paraId="3B8B0E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pacing w:val="0"/>
                <w:w w:val="100"/>
                <w:kern w:val="2"/>
                <w:position w:val="0"/>
                <w:sz w:val="24"/>
                <w:szCs w:val="24"/>
                <w:highlight w:val="none"/>
                <w:lang w:val="en-US" w:eastAsia="zh-CN" w:bidi="ar-SA"/>
              </w:rPr>
            </w:pPr>
            <w:r>
              <w:rPr>
                <w:rFonts w:hint="eastAsia" w:ascii="Times New Roman" w:hAnsi="Times New Roman" w:cs="Times New Roman"/>
                <w:color w:val="auto"/>
                <w:sz w:val="24"/>
                <w:szCs w:val="24"/>
                <w:lang w:val="en-US" w:eastAsia="zh-CN"/>
              </w:rPr>
              <w:t>在工程建设过程中产生材料的堆放，</w:t>
            </w:r>
            <w:r>
              <w:rPr>
                <w:rFonts w:hint="eastAsia" w:cs="Times New Roman"/>
                <w:color w:val="auto"/>
                <w:sz w:val="24"/>
                <w:szCs w:val="24"/>
                <w:lang w:val="en-US" w:eastAsia="zh-CN"/>
              </w:rPr>
              <w:t>本项目施工期较短，</w:t>
            </w:r>
            <w:r>
              <w:rPr>
                <w:rFonts w:hint="eastAsia" w:ascii="Times New Roman" w:hAnsi="Times New Roman" w:cs="Times New Roman"/>
                <w:color w:val="auto"/>
                <w:sz w:val="24"/>
                <w:szCs w:val="24"/>
                <w:lang w:val="en-US" w:eastAsia="zh-CN"/>
              </w:rPr>
              <w:t>建筑材料虽然堆放时间较短，但是在堆放时间内产生堆场扬尘，堆场的扬尘包括料堆的风吹扬尘、装卸扬尘和过往车辆引起路面积尘二次扬尘等，</w:t>
            </w:r>
            <w:r>
              <w:rPr>
                <w:rFonts w:hint="eastAsia" w:ascii="Times New Roman" w:hAnsi="Times New Roman" w:eastAsia="宋体" w:cs="Times New Roman"/>
                <w:color w:val="auto"/>
                <w:spacing w:val="0"/>
                <w:w w:val="100"/>
                <w:kern w:val="2"/>
                <w:position w:val="0"/>
                <w:sz w:val="24"/>
                <w:szCs w:val="24"/>
                <w:highlight w:val="none"/>
                <w:lang w:val="en-US" w:eastAsia="zh-CN" w:bidi="ar-SA"/>
              </w:rPr>
              <w:t>项目在施工过程中采取物料遮盖、洒水</w:t>
            </w:r>
            <w:r>
              <w:rPr>
                <w:rFonts w:hint="eastAsia" w:cs="Times New Roman"/>
                <w:color w:val="auto"/>
                <w:spacing w:val="0"/>
                <w:w w:val="100"/>
                <w:kern w:val="2"/>
                <w:position w:val="0"/>
                <w:sz w:val="24"/>
                <w:szCs w:val="24"/>
                <w:highlight w:val="none"/>
                <w:lang w:val="en-US" w:eastAsia="zh-CN" w:bidi="ar-SA"/>
              </w:rPr>
              <w:t>等措施，</w:t>
            </w:r>
            <w:r>
              <w:rPr>
                <w:rFonts w:hint="eastAsia" w:ascii="Times New Roman" w:hAnsi="Times New Roman" w:eastAsia="宋体" w:cs="Times New Roman"/>
                <w:color w:val="auto"/>
                <w:spacing w:val="0"/>
                <w:w w:val="100"/>
                <w:kern w:val="2"/>
                <w:position w:val="0"/>
                <w:sz w:val="24"/>
                <w:szCs w:val="24"/>
                <w:highlight w:val="none"/>
                <w:lang w:val="en-US" w:eastAsia="zh-CN" w:bidi="ar-SA"/>
              </w:rPr>
              <w:t>有效抑制扬尘</w:t>
            </w:r>
            <w:r>
              <w:rPr>
                <w:rFonts w:hint="eastAsia" w:cs="Times New Roman"/>
                <w:color w:val="auto"/>
                <w:spacing w:val="0"/>
                <w:w w:val="100"/>
                <w:kern w:val="2"/>
                <w:position w:val="0"/>
                <w:sz w:val="24"/>
                <w:szCs w:val="24"/>
                <w:highlight w:val="none"/>
                <w:lang w:val="en-US" w:eastAsia="zh-CN" w:bidi="ar-SA"/>
              </w:rPr>
              <w:t>产生</w:t>
            </w:r>
            <w:r>
              <w:rPr>
                <w:rFonts w:hint="eastAsia" w:ascii="Times New Roman" w:hAnsi="Times New Roman" w:eastAsia="宋体" w:cs="Times New Roman"/>
                <w:color w:val="auto"/>
                <w:spacing w:val="0"/>
                <w:w w:val="100"/>
                <w:kern w:val="2"/>
                <w:position w:val="0"/>
                <w:sz w:val="24"/>
                <w:szCs w:val="24"/>
                <w:highlight w:val="none"/>
                <w:lang w:val="en-US" w:eastAsia="zh-CN" w:bidi="ar-SA"/>
              </w:rPr>
              <w:t>，</w:t>
            </w:r>
            <w:r>
              <w:rPr>
                <w:rFonts w:hint="eastAsia" w:ascii="Times New Roman" w:hAnsi="Times New Roman" w:cs="Times New Roman"/>
                <w:color w:val="auto"/>
                <w:sz w:val="24"/>
                <w:szCs w:val="24"/>
                <w:lang w:val="en-US" w:eastAsia="zh-CN"/>
              </w:rPr>
              <w:t>因此本</w:t>
            </w:r>
            <w:r>
              <w:rPr>
                <w:rFonts w:hint="eastAsia" w:cs="Times New Roman"/>
                <w:color w:val="auto"/>
                <w:sz w:val="24"/>
                <w:szCs w:val="24"/>
                <w:lang w:val="en-US" w:eastAsia="zh-CN"/>
              </w:rPr>
              <w:t>工程</w:t>
            </w:r>
            <w:r>
              <w:rPr>
                <w:rFonts w:hint="eastAsia" w:ascii="Times New Roman" w:hAnsi="Times New Roman" w:cs="Times New Roman"/>
                <w:color w:val="auto"/>
                <w:sz w:val="24"/>
                <w:szCs w:val="24"/>
                <w:lang w:val="en-US" w:eastAsia="zh-CN"/>
              </w:rPr>
              <w:t>在建设过程中尽量缩短物料堆放时间，采取有效的遮盖方式可有效降低堆场扬尘对周边环境的影响。</w:t>
            </w:r>
          </w:p>
          <w:p w14:paraId="4A29E9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③运输扬尘</w:t>
            </w:r>
          </w:p>
          <w:p w14:paraId="34B972FF">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pacing w:val="0"/>
                <w:w w:val="100"/>
                <w:kern w:val="2"/>
                <w:position w:val="0"/>
                <w:sz w:val="24"/>
                <w:szCs w:val="24"/>
                <w:highlight w:val="none"/>
                <w:lang w:val="en-US" w:eastAsia="zh-CN" w:bidi="ar-SA"/>
              </w:rPr>
            </w:pPr>
            <w:r>
              <w:rPr>
                <w:rFonts w:hint="eastAsia" w:ascii="宋体" w:hAnsi="宋体" w:eastAsia="宋体" w:cs="宋体"/>
                <w:color w:val="auto"/>
                <w:sz w:val="24"/>
                <w:szCs w:val="24"/>
                <w:lang w:val="en-US" w:eastAsia="zh-CN"/>
              </w:rPr>
              <w:t>运输扬尘主要是由于施工车辆在施工道路上运输施工材料以及沉积在道路上其他排放源经来往车辆碾压而引起的，引起运输扬尘的因素较多，主要与车辆行驶速度、风速、路面积尘量和路面湿度有关，其中风速、风力还直接影响到扬尘的传输距离。本工程施工运输利用工程区域内的道路，多为水泥路面，部分路段距离居民点较近，施工运输产生的道路扬尘将会对道路沿线的村庄产生一定的影响。由于本工程规模较小，施工期较短，同时采取一定的防护措施，如洒水降尘、控制运输车辆速度等减少扬尘的产生和污染措施，施工运输道路扬尘对道路沿线居民的影响较小。</w:t>
            </w:r>
          </w:p>
          <w:p w14:paraId="0A8F1CA3">
            <w:pPr>
              <w:pStyle w:val="20"/>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baseline"/>
              <w:rPr>
                <w:rFonts w:hint="eastAsia" w:eastAsia="宋体" w:cs="宋体"/>
                <w:b w:val="0"/>
                <w:bCs/>
                <w:color w:val="auto"/>
                <w:spacing w:val="0"/>
                <w:sz w:val="24"/>
                <w:szCs w:val="24"/>
                <w:lang w:val="en-US" w:eastAsia="zh-CN"/>
              </w:rPr>
            </w:pPr>
            <w:r>
              <w:rPr>
                <w:rFonts w:hint="default" w:ascii="Times New Roman" w:hAnsi="Times New Roman" w:eastAsia="宋体" w:cs="Times New Roman"/>
                <w:b w:val="0"/>
                <w:bCs/>
                <w:color w:val="auto"/>
                <w:spacing w:val="0"/>
                <w:sz w:val="24"/>
                <w:szCs w:val="24"/>
                <w:lang w:val="en-US" w:eastAsia="zh-CN"/>
              </w:rPr>
              <w:t>（2）施</w:t>
            </w:r>
            <w:r>
              <w:rPr>
                <w:rFonts w:hint="eastAsia" w:eastAsia="宋体" w:cs="宋体"/>
                <w:b w:val="0"/>
                <w:bCs/>
                <w:color w:val="auto"/>
                <w:spacing w:val="0"/>
                <w:sz w:val="24"/>
                <w:szCs w:val="24"/>
                <w:lang w:val="en-US" w:eastAsia="zh-CN"/>
              </w:rPr>
              <w:t>工机械燃油废气</w:t>
            </w:r>
          </w:p>
          <w:p w14:paraId="0713390D">
            <w:pPr>
              <w:pStyle w:val="20"/>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baseline"/>
              <w:rPr>
                <w:rFonts w:hint="default" w:eastAsia="宋体" w:cs="宋体"/>
                <w:b w:val="0"/>
                <w:bCs/>
                <w:color w:val="auto"/>
                <w:spacing w:val="0"/>
                <w:sz w:val="24"/>
                <w:szCs w:val="24"/>
                <w:lang w:val="en-US" w:eastAsia="zh-CN"/>
              </w:rPr>
            </w:pPr>
            <w:r>
              <w:rPr>
                <w:rFonts w:hint="default" w:ascii="Times New Roman" w:hAnsi="Times New Roman" w:eastAsia="宋体" w:cs="Times New Roman"/>
                <w:b w:val="0"/>
                <w:bCs/>
                <w:color w:val="auto"/>
                <w:spacing w:val="0"/>
                <w:sz w:val="24"/>
                <w:szCs w:val="24"/>
                <w:lang w:val="en-US" w:eastAsia="zh-CN"/>
              </w:rPr>
              <w:t>施工机械主要有</w:t>
            </w:r>
            <w:r>
              <w:rPr>
                <w:rFonts w:hint="eastAsia" w:ascii="Times New Roman" w:hAnsi="Times New Roman" w:eastAsia="宋体" w:cs="Times New Roman"/>
                <w:b w:val="0"/>
                <w:bCs/>
                <w:color w:val="auto"/>
                <w:spacing w:val="0"/>
                <w:sz w:val="24"/>
                <w:szCs w:val="24"/>
                <w:lang w:val="en-US" w:eastAsia="zh-CN"/>
              </w:rPr>
              <w:t>挖掘机、装载机，以及其他柴</w:t>
            </w:r>
            <w:r>
              <w:rPr>
                <w:rFonts w:hint="default" w:ascii="Times New Roman" w:hAnsi="Times New Roman" w:eastAsia="宋体" w:cs="Times New Roman"/>
                <w:b w:val="0"/>
                <w:bCs/>
                <w:color w:val="auto"/>
                <w:spacing w:val="0"/>
                <w:sz w:val="24"/>
                <w:szCs w:val="24"/>
                <w:lang w:val="en-US" w:eastAsia="zh-CN"/>
              </w:rPr>
              <w:t>油动力机械</w:t>
            </w:r>
            <w:r>
              <w:rPr>
                <w:rFonts w:hint="eastAsia" w:ascii="Times New Roman" w:hAnsi="Times New Roman" w:eastAsia="宋体" w:cs="Times New Roman"/>
                <w:b w:val="0"/>
                <w:bCs/>
                <w:color w:val="auto"/>
                <w:spacing w:val="0"/>
                <w:sz w:val="24"/>
                <w:szCs w:val="24"/>
                <w:lang w:val="en-US" w:eastAsia="zh-CN"/>
              </w:rPr>
              <w:t>和运输汽车</w:t>
            </w:r>
            <w:r>
              <w:rPr>
                <w:rFonts w:hint="default" w:ascii="Times New Roman" w:hAnsi="Times New Roman" w:eastAsia="宋体" w:cs="Times New Roman"/>
                <w:b w:val="0"/>
                <w:bCs/>
                <w:color w:val="auto"/>
                <w:spacing w:val="0"/>
                <w:sz w:val="24"/>
                <w:szCs w:val="24"/>
                <w:lang w:val="en-US" w:eastAsia="zh-CN"/>
              </w:rPr>
              <w:t>，排放的</w:t>
            </w:r>
            <w:r>
              <w:rPr>
                <w:rFonts w:hint="eastAsia" w:ascii="Times New Roman" w:hAnsi="Times New Roman" w:eastAsia="宋体" w:cs="Times New Roman"/>
                <w:b w:val="0"/>
                <w:bCs/>
                <w:color w:val="auto"/>
                <w:spacing w:val="0"/>
                <w:sz w:val="24"/>
                <w:szCs w:val="24"/>
                <w:lang w:val="en-US" w:eastAsia="zh-CN"/>
              </w:rPr>
              <w:t>废气</w:t>
            </w:r>
            <w:r>
              <w:rPr>
                <w:rFonts w:hint="default" w:ascii="Times New Roman" w:hAnsi="Times New Roman" w:eastAsia="宋体" w:cs="Times New Roman"/>
                <w:b w:val="0"/>
                <w:bCs/>
                <w:color w:val="auto"/>
                <w:spacing w:val="0"/>
                <w:sz w:val="24"/>
                <w:szCs w:val="24"/>
                <w:lang w:val="en-US" w:eastAsia="zh-CN"/>
              </w:rPr>
              <w:t>污染物主要</w:t>
            </w:r>
            <w:r>
              <w:rPr>
                <w:rFonts w:hint="eastAsia" w:ascii="Times New Roman" w:hAnsi="Times New Roman" w:eastAsia="宋体" w:cs="Times New Roman"/>
                <w:b w:val="0"/>
                <w:bCs/>
                <w:color w:val="auto"/>
                <w:spacing w:val="0"/>
                <w:sz w:val="24"/>
                <w:szCs w:val="24"/>
                <w:lang w:val="en-US" w:eastAsia="zh-CN"/>
              </w:rPr>
              <w:t>为</w:t>
            </w:r>
            <w:r>
              <w:rPr>
                <w:rFonts w:hint="default" w:ascii="Times New Roman" w:hAnsi="Times New Roman" w:eastAsia="宋体" w:cs="Times New Roman"/>
                <w:b w:val="0"/>
                <w:bCs/>
                <w:color w:val="auto"/>
                <w:spacing w:val="0"/>
                <w:sz w:val="24"/>
                <w:szCs w:val="24"/>
                <w:lang w:val="en-US" w:eastAsia="zh-CN"/>
              </w:rPr>
              <w:t>CO、NO</w:t>
            </w:r>
            <w:r>
              <w:rPr>
                <w:rFonts w:hint="eastAsia" w:ascii="Times New Roman" w:hAnsi="Times New Roman" w:eastAsia="宋体" w:cs="Times New Roman"/>
                <w:b w:val="0"/>
                <w:bCs/>
                <w:color w:val="auto"/>
                <w:spacing w:val="0"/>
                <w:sz w:val="24"/>
                <w:szCs w:val="24"/>
                <w:vertAlign w:val="subscript"/>
                <w:lang w:val="en-US" w:eastAsia="zh-CN"/>
              </w:rPr>
              <w:t>X</w:t>
            </w:r>
            <w:r>
              <w:rPr>
                <w:rFonts w:hint="default" w:ascii="Times New Roman" w:hAnsi="Times New Roman" w:eastAsia="宋体" w:cs="Times New Roman"/>
                <w:b w:val="0"/>
                <w:bCs/>
                <w:color w:val="auto"/>
                <w:spacing w:val="0"/>
                <w:sz w:val="24"/>
                <w:szCs w:val="24"/>
                <w:lang w:val="en-US" w:eastAsia="zh-CN"/>
              </w:rPr>
              <w:t>、THC。施工机械多为大型机械，单车排放系数较大，但施工机械数量较少且分散，通过对施工机械、运输车辆进行定期检修，</w:t>
            </w:r>
            <w:r>
              <w:rPr>
                <w:rFonts w:hint="eastAsia" w:ascii="Times New Roman" w:hAnsi="Times New Roman" w:eastAsia="宋体" w:cs="Times New Roman"/>
                <w:b w:val="0"/>
                <w:bCs/>
                <w:color w:val="auto"/>
                <w:spacing w:val="0"/>
                <w:sz w:val="24"/>
                <w:szCs w:val="24"/>
                <w:lang w:val="en-US" w:eastAsia="zh-CN"/>
              </w:rPr>
              <w:t>可</w:t>
            </w:r>
            <w:r>
              <w:rPr>
                <w:rFonts w:hint="default" w:ascii="Times New Roman" w:hAnsi="Times New Roman" w:eastAsia="宋体" w:cs="Times New Roman"/>
                <w:b w:val="0"/>
                <w:bCs/>
                <w:color w:val="auto"/>
                <w:spacing w:val="0"/>
                <w:sz w:val="24"/>
                <w:szCs w:val="24"/>
                <w:lang w:val="en-US" w:eastAsia="zh-CN"/>
              </w:rPr>
              <w:t>减少</w:t>
            </w:r>
            <w:r>
              <w:rPr>
                <w:rFonts w:hint="eastAsia" w:ascii="Times New Roman" w:hAnsi="Times New Roman" w:eastAsia="宋体" w:cs="Times New Roman"/>
                <w:b w:val="0"/>
                <w:bCs/>
                <w:color w:val="auto"/>
                <w:spacing w:val="0"/>
                <w:sz w:val="24"/>
                <w:szCs w:val="24"/>
                <w:lang w:val="en-US" w:eastAsia="zh-CN"/>
              </w:rPr>
              <w:t>废气</w:t>
            </w:r>
            <w:r>
              <w:rPr>
                <w:rFonts w:hint="default" w:ascii="Times New Roman" w:hAnsi="Times New Roman" w:eastAsia="宋体" w:cs="Times New Roman"/>
                <w:b w:val="0"/>
                <w:bCs/>
                <w:color w:val="auto"/>
                <w:spacing w:val="0"/>
                <w:sz w:val="24"/>
                <w:szCs w:val="24"/>
                <w:lang w:val="en-US" w:eastAsia="zh-CN"/>
              </w:rPr>
              <w:t>排放量</w:t>
            </w:r>
            <w:r>
              <w:rPr>
                <w:rFonts w:hint="eastAsia" w:ascii="Times New Roman" w:hAnsi="Times New Roman" w:eastAsia="宋体" w:cs="Times New Roman"/>
                <w:b w:val="0"/>
                <w:bCs/>
                <w:color w:val="auto"/>
                <w:spacing w:val="0"/>
                <w:sz w:val="24"/>
                <w:szCs w:val="24"/>
                <w:lang w:val="en-US" w:eastAsia="zh-CN"/>
              </w:rPr>
              <w:t>；</w:t>
            </w:r>
            <w:r>
              <w:rPr>
                <w:rFonts w:hint="default" w:eastAsia="宋体" w:cs="宋体"/>
                <w:b w:val="0"/>
                <w:bCs/>
                <w:color w:val="auto"/>
                <w:spacing w:val="0"/>
                <w:sz w:val="24"/>
                <w:szCs w:val="24"/>
                <w:lang w:val="en-US" w:eastAsia="zh-CN"/>
              </w:rPr>
              <w:t>且处于农村地区，</w:t>
            </w:r>
            <w:r>
              <w:rPr>
                <w:rFonts w:hint="default" w:ascii="Times New Roman" w:hAnsi="Times New Roman" w:eastAsia="宋体" w:cs="Times New Roman"/>
                <w:b w:val="0"/>
                <w:bCs/>
                <w:color w:val="auto"/>
                <w:spacing w:val="0"/>
                <w:sz w:val="24"/>
                <w:szCs w:val="24"/>
                <w:lang w:val="en-US" w:eastAsia="zh-CN"/>
              </w:rPr>
              <w:t>地面开阔</w:t>
            </w:r>
            <w:r>
              <w:rPr>
                <w:rFonts w:hint="eastAsia" w:ascii="Times New Roman" w:hAnsi="Times New Roman" w:eastAsia="宋体" w:cs="Times New Roman"/>
                <w:b w:val="0"/>
                <w:bCs/>
                <w:color w:val="auto"/>
                <w:spacing w:val="0"/>
                <w:sz w:val="24"/>
                <w:szCs w:val="24"/>
                <w:lang w:val="en-US" w:eastAsia="zh-CN"/>
              </w:rPr>
              <w:t>，</w:t>
            </w:r>
            <w:r>
              <w:rPr>
                <w:rFonts w:hint="default" w:eastAsia="宋体" w:cs="宋体"/>
                <w:b w:val="0"/>
                <w:bCs/>
                <w:color w:val="auto"/>
                <w:spacing w:val="0"/>
                <w:sz w:val="24"/>
                <w:szCs w:val="24"/>
                <w:lang w:val="en-US" w:eastAsia="zh-CN"/>
              </w:rPr>
              <w:t>扩散条件和稀释条件较好，对周边</w:t>
            </w:r>
            <w:r>
              <w:rPr>
                <w:rFonts w:hint="eastAsia" w:eastAsia="宋体" w:cs="宋体"/>
                <w:b w:val="0"/>
                <w:bCs/>
                <w:color w:val="auto"/>
                <w:spacing w:val="0"/>
                <w:sz w:val="24"/>
                <w:szCs w:val="24"/>
                <w:lang w:val="en-US" w:eastAsia="zh-CN"/>
              </w:rPr>
              <w:t>大气环境</w:t>
            </w:r>
            <w:r>
              <w:rPr>
                <w:rFonts w:hint="default" w:eastAsia="宋体" w:cs="宋体"/>
                <w:b w:val="0"/>
                <w:bCs/>
                <w:color w:val="auto"/>
                <w:spacing w:val="0"/>
                <w:sz w:val="24"/>
                <w:szCs w:val="24"/>
                <w:lang w:val="en-US" w:eastAsia="zh-CN"/>
              </w:rPr>
              <w:t>影响较小。同时随着施工期的结束，影响也随之</w:t>
            </w:r>
            <w:r>
              <w:rPr>
                <w:rFonts w:hint="eastAsia" w:eastAsia="宋体" w:cs="宋体"/>
                <w:b w:val="0"/>
                <w:bCs/>
                <w:color w:val="auto"/>
                <w:spacing w:val="0"/>
                <w:sz w:val="24"/>
                <w:szCs w:val="24"/>
                <w:lang w:val="en-US" w:eastAsia="zh-CN"/>
              </w:rPr>
              <w:t>消失</w:t>
            </w:r>
            <w:r>
              <w:rPr>
                <w:rFonts w:hint="default" w:eastAsia="宋体" w:cs="宋体"/>
                <w:b w:val="0"/>
                <w:bCs/>
                <w:color w:val="auto"/>
                <w:spacing w:val="0"/>
                <w:sz w:val="24"/>
                <w:szCs w:val="24"/>
                <w:lang w:val="en-US" w:eastAsia="zh-CN"/>
              </w:rPr>
              <w:t>。</w:t>
            </w:r>
            <w:r>
              <w:rPr>
                <w:rFonts w:hint="eastAsia" w:cs="Times New Roman"/>
                <w:color w:val="auto"/>
              </w:rPr>
              <w:t>评价要求建设单位使用符合环保要求的机械及优质燃料油，减少燃油废气产生。</w:t>
            </w:r>
          </w:p>
          <w:p w14:paraId="0643A54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pacing w:val="0"/>
                <w:w w:val="100"/>
                <w:position w:val="0"/>
                <w:sz w:val="24"/>
                <w:szCs w:val="24"/>
                <w:highlight w:val="none"/>
                <w:lang w:val="en-US" w:eastAsia="zh-CN"/>
              </w:rPr>
            </w:pPr>
            <w:r>
              <w:rPr>
                <w:rFonts w:hint="eastAsia" w:cs="Times New Roman"/>
                <w:b/>
                <w:bCs/>
                <w:color w:val="auto"/>
                <w:spacing w:val="0"/>
                <w:w w:val="100"/>
                <w:position w:val="0"/>
                <w:sz w:val="24"/>
                <w:szCs w:val="24"/>
                <w:highlight w:val="none"/>
                <w:lang w:val="en-US" w:eastAsia="zh-CN"/>
              </w:rPr>
              <w:t>3、</w:t>
            </w:r>
            <w:r>
              <w:rPr>
                <w:rFonts w:hint="default" w:ascii="Times New Roman" w:hAnsi="Times New Roman" w:cs="Times New Roman"/>
                <w:b/>
                <w:bCs/>
                <w:color w:val="auto"/>
                <w:spacing w:val="0"/>
                <w:w w:val="100"/>
                <w:position w:val="0"/>
                <w:sz w:val="24"/>
                <w:szCs w:val="24"/>
                <w:highlight w:val="none"/>
                <w:lang w:val="en-US" w:eastAsia="zh-CN"/>
              </w:rPr>
              <w:t>水环境影响分析</w:t>
            </w:r>
          </w:p>
          <w:p w14:paraId="58B10045">
            <w:pPr>
              <w:pStyle w:val="20"/>
              <w:numPr>
                <w:ilvl w:val="0"/>
                <w:numId w:val="0"/>
              </w:numPr>
              <w:autoSpaceDE/>
              <w:autoSpaceDN/>
              <w:adjustRightInd/>
              <w:spacing w:line="360" w:lineRule="auto"/>
              <w:ind w:firstLine="480" w:firstLineChars="200"/>
              <w:textAlignment w:val="baseline"/>
              <w:rPr>
                <w:rFonts w:hint="eastAsia" w:ascii="宋体" w:hAnsi="宋体" w:eastAsia="宋体" w:cs="宋体"/>
                <w:bCs/>
                <w:color w:val="auto"/>
                <w:szCs w:val="24"/>
                <w:lang w:val="en-US" w:eastAsia="zh-CN"/>
              </w:rPr>
            </w:pPr>
            <w:r>
              <w:rPr>
                <w:rFonts w:hint="eastAsia" w:ascii="宋体" w:hAnsi="宋体" w:eastAsia="宋体" w:cs="宋体"/>
                <w:bCs/>
                <w:color w:val="auto"/>
                <w:szCs w:val="24"/>
                <w:lang w:val="en-US" w:eastAsia="zh-CN"/>
              </w:rPr>
              <w:t>（1）水文情势影响分析</w:t>
            </w:r>
          </w:p>
          <w:p w14:paraId="6DA6A850">
            <w:pPr>
              <w:pStyle w:val="20"/>
              <w:numPr>
                <w:ilvl w:val="0"/>
                <w:numId w:val="0"/>
              </w:numPr>
              <w:autoSpaceDE/>
              <w:autoSpaceDN/>
              <w:adjustRightInd/>
              <w:spacing w:line="360" w:lineRule="auto"/>
              <w:ind w:firstLine="480" w:firstLineChars="200"/>
              <w:textAlignment w:val="baseline"/>
              <w:rPr>
                <w:rFonts w:hint="eastAsia" w:ascii="宋体" w:hAnsi="宋体" w:eastAsia="宋体" w:cs="宋体"/>
                <w:bCs/>
                <w:color w:val="auto"/>
                <w:szCs w:val="24"/>
                <w:lang w:val="en-US" w:eastAsia="zh-CN"/>
              </w:rPr>
            </w:pPr>
            <w:r>
              <w:rPr>
                <w:rFonts w:hint="eastAsia" w:ascii="宋体" w:hAnsi="宋体" w:eastAsia="宋体" w:cs="宋体"/>
                <w:bCs/>
                <w:color w:val="auto"/>
                <w:szCs w:val="24"/>
                <w:lang w:val="en-US" w:eastAsia="zh-CN"/>
              </w:rPr>
              <w:t>本工程</w:t>
            </w:r>
            <w:r>
              <w:rPr>
                <w:rFonts w:hint="eastAsia" w:cs="宋体"/>
                <w:bCs/>
                <w:color w:val="auto"/>
                <w:szCs w:val="24"/>
                <w:lang w:val="en-US" w:eastAsia="zh-CN"/>
              </w:rPr>
              <w:t>护岸挡墙和护坡</w:t>
            </w:r>
            <w:r>
              <w:rPr>
                <w:rFonts w:hint="eastAsia" w:ascii="宋体" w:hAnsi="宋体" w:eastAsia="宋体" w:cs="宋体"/>
                <w:bCs/>
                <w:color w:val="auto"/>
                <w:szCs w:val="24"/>
                <w:lang w:val="en-US" w:eastAsia="zh-CN"/>
              </w:rPr>
              <w:t>依原有河道走势布设，不</w:t>
            </w:r>
            <w:r>
              <w:rPr>
                <w:rFonts w:hint="eastAsia" w:cs="宋体"/>
                <w:bCs/>
                <w:color w:val="auto"/>
                <w:szCs w:val="24"/>
                <w:lang w:val="en-US" w:eastAsia="zh-CN"/>
              </w:rPr>
              <w:t>会</w:t>
            </w:r>
            <w:r>
              <w:rPr>
                <w:rFonts w:hint="eastAsia" w:ascii="宋体" w:hAnsi="宋体" w:eastAsia="宋体" w:cs="宋体"/>
                <w:bCs/>
                <w:color w:val="auto"/>
                <w:szCs w:val="24"/>
                <w:lang w:val="en-US" w:eastAsia="zh-CN"/>
              </w:rPr>
              <w:t>改变河流主体流向、流速等水文参数，</w:t>
            </w:r>
            <w:r>
              <w:rPr>
                <w:rFonts w:hint="eastAsia" w:cs="宋体"/>
                <w:bCs/>
                <w:color w:val="auto"/>
                <w:szCs w:val="24"/>
                <w:lang w:val="en-US" w:eastAsia="zh-CN"/>
              </w:rPr>
              <w:t>不会</w:t>
            </w:r>
            <w:r>
              <w:rPr>
                <w:rFonts w:hint="eastAsia" w:ascii="宋体" w:hAnsi="宋体" w:eastAsia="宋体" w:cs="宋体"/>
                <w:bCs/>
                <w:color w:val="auto"/>
                <w:szCs w:val="24"/>
                <w:lang w:val="en-US" w:eastAsia="zh-CN"/>
              </w:rPr>
              <w:t>对水文情势产生大的影响。</w:t>
            </w:r>
          </w:p>
          <w:p w14:paraId="61836B2E">
            <w:pPr>
              <w:pStyle w:val="20"/>
              <w:numPr>
                <w:ilvl w:val="0"/>
                <w:numId w:val="0"/>
              </w:numPr>
              <w:autoSpaceDE/>
              <w:autoSpaceDN/>
              <w:adjustRightInd/>
              <w:spacing w:line="360" w:lineRule="auto"/>
              <w:ind w:firstLine="480" w:firstLineChars="200"/>
              <w:textAlignment w:val="baseline"/>
              <w:rPr>
                <w:rFonts w:hint="default" w:ascii="宋体" w:hAnsi="宋体" w:eastAsia="宋体" w:cs="宋体"/>
                <w:bCs/>
                <w:color w:val="auto"/>
                <w:sz w:val="24"/>
                <w:szCs w:val="24"/>
                <w:lang w:val="en-US"/>
              </w:rPr>
            </w:pPr>
            <w:r>
              <w:rPr>
                <w:rFonts w:hint="default" w:ascii="Times New Roman" w:hAnsi="Times New Roman" w:cs="Times New Roman"/>
                <w:color w:val="auto"/>
                <w:highlight w:val="none"/>
              </w:rPr>
              <w:t>本次工程</w:t>
            </w:r>
            <w:r>
              <w:rPr>
                <w:rFonts w:hint="eastAsia" w:ascii="Times New Roman" w:hAnsi="Times New Roman" w:cs="Times New Roman"/>
                <w:color w:val="auto"/>
                <w:highlight w:val="none"/>
                <w:lang w:val="en-US" w:eastAsia="zh-CN"/>
              </w:rPr>
              <w:t>护岸挡墙和护坡工程量较小</w:t>
            </w:r>
            <w:r>
              <w:rPr>
                <w:rFonts w:hint="default" w:ascii="Times New Roman" w:hAnsi="Times New Roman" w:cs="Times New Roman"/>
                <w:color w:val="auto"/>
                <w:highlight w:val="none"/>
              </w:rPr>
              <w:t>，</w:t>
            </w:r>
            <w:r>
              <w:rPr>
                <w:rFonts w:hint="eastAsia" w:cs="宋体"/>
                <w:bCs/>
                <w:color w:val="auto"/>
                <w:szCs w:val="24"/>
                <w:lang w:val="en-US" w:eastAsia="zh-CN"/>
              </w:rPr>
              <w:t>施工周期</w:t>
            </w:r>
            <w:r>
              <w:rPr>
                <w:rFonts w:hint="eastAsia" w:ascii="宋体" w:hAnsi="宋体" w:eastAsia="宋体" w:cs="宋体"/>
                <w:bCs/>
                <w:color w:val="auto"/>
                <w:szCs w:val="24"/>
                <w:lang w:val="en-US" w:eastAsia="zh-CN"/>
              </w:rPr>
              <w:t>短</w:t>
            </w:r>
            <w:r>
              <w:rPr>
                <w:rFonts w:hint="eastAsia" w:cs="宋体"/>
                <w:bCs/>
                <w:color w:val="auto"/>
                <w:szCs w:val="24"/>
                <w:lang w:val="en-US" w:eastAsia="zh-CN"/>
              </w:rPr>
              <w:t>，人工湿地位于河道管理范围外，因此工程施工</w:t>
            </w:r>
            <w:r>
              <w:rPr>
                <w:rFonts w:hint="eastAsia" w:ascii="Times New Roman" w:hAnsi="Times New Roman" w:cs="Times New Roman"/>
                <w:color w:val="auto"/>
                <w:highlight w:val="none"/>
                <w:lang w:val="en-US" w:eastAsia="zh-CN"/>
              </w:rPr>
              <w:t>不会</w:t>
            </w:r>
            <w:r>
              <w:rPr>
                <w:rFonts w:hint="eastAsia" w:ascii="宋体" w:hAnsi="宋体" w:eastAsia="宋体" w:cs="宋体"/>
                <w:bCs/>
                <w:color w:val="auto"/>
                <w:szCs w:val="24"/>
                <w:lang w:val="en-US" w:eastAsia="zh-CN"/>
              </w:rPr>
              <w:t>对河道水文情势产生大的影响。</w:t>
            </w:r>
          </w:p>
          <w:p w14:paraId="22047025">
            <w:pPr>
              <w:pStyle w:val="20"/>
              <w:numPr>
                <w:ilvl w:val="0"/>
                <w:numId w:val="0"/>
              </w:numPr>
              <w:autoSpaceDE/>
              <w:autoSpaceDN/>
              <w:adjustRightInd/>
              <w:spacing w:line="360" w:lineRule="auto"/>
              <w:ind w:firstLine="480" w:firstLineChars="200"/>
              <w:textAlignment w:val="baseline"/>
              <w:rPr>
                <w:rFonts w:hint="default" w:ascii="宋体" w:hAnsi="宋体" w:eastAsia="宋体" w:cs="宋体"/>
                <w:bCs/>
                <w:color w:val="auto"/>
                <w:szCs w:val="24"/>
                <w:lang w:val="en-US" w:eastAsia="zh-CN"/>
              </w:rPr>
            </w:pPr>
            <w:r>
              <w:rPr>
                <w:rFonts w:hint="eastAsia" w:ascii="宋体" w:hAnsi="宋体" w:eastAsia="宋体" w:cs="宋体"/>
                <w:bCs/>
                <w:color w:val="auto"/>
                <w:szCs w:val="24"/>
                <w:lang w:val="en-US" w:eastAsia="zh-CN"/>
              </w:rPr>
              <w:t>（2）地表水环境影响分析</w:t>
            </w:r>
          </w:p>
          <w:p w14:paraId="36F1CEE7">
            <w:pPr>
              <w:pStyle w:val="20"/>
              <w:numPr>
                <w:ilvl w:val="0"/>
                <w:numId w:val="0"/>
              </w:numPr>
              <w:spacing w:line="360" w:lineRule="auto"/>
              <w:ind w:firstLine="480" w:firstLineChars="200"/>
              <w:textAlignment w:val="baseline"/>
              <w:rPr>
                <w:rFonts w:hint="eastAsia" w:ascii="宋体" w:hAnsi="宋体" w:eastAsia="宋体" w:cs="宋体"/>
                <w:bCs/>
                <w:color w:val="auto"/>
                <w:sz w:val="24"/>
                <w:szCs w:val="24"/>
              </w:rPr>
            </w:pPr>
            <w:r>
              <w:rPr>
                <w:rFonts w:hint="eastAsia" w:ascii="宋体" w:hAnsi="宋体" w:eastAsia="宋体" w:cs="宋体"/>
                <w:bCs/>
                <w:color w:val="auto"/>
                <w:sz w:val="24"/>
                <w:szCs w:val="24"/>
              </w:rPr>
              <w:t>施工期废水包括施工人员生活污水和施工废水。</w:t>
            </w:r>
          </w:p>
          <w:p w14:paraId="5C8D73DA">
            <w:pPr>
              <w:pStyle w:val="1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1</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施工废水</w:t>
            </w:r>
          </w:p>
          <w:p w14:paraId="1D7F8552">
            <w:pPr>
              <w:pStyle w:val="1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w:t>
            </w:r>
            <w:r>
              <w:rPr>
                <w:rFonts w:hint="eastAsia" w:cs="Times New Roman"/>
                <w:color w:val="auto"/>
                <w:sz w:val="24"/>
                <w:szCs w:val="24"/>
                <w:lang w:val="en-US" w:eastAsia="zh-CN"/>
              </w:rPr>
              <w:t>工程</w:t>
            </w:r>
            <w:r>
              <w:rPr>
                <w:rFonts w:hint="default" w:ascii="Times New Roman" w:hAnsi="Times New Roman" w:eastAsia="宋体" w:cs="Times New Roman"/>
                <w:color w:val="auto"/>
                <w:sz w:val="24"/>
                <w:szCs w:val="24"/>
              </w:rPr>
              <w:t>施工废水主要</w:t>
            </w:r>
            <w:r>
              <w:rPr>
                <w:rFonts w:hint="eastAsia" w:cs="Times New Roman"/>
                <w:color w:val="auto"/>
                <w:sz w:val="24"/>
                <w:szCs w:val="24"/>
                <w:lang w:val="en-US" w:eastAsia="zh-CN"/>
              </w:rPr>
              <w:t>为</w:t>
            </w:r>
            <w:r>
              <w:rPr>
                <w:rFonts w:hint="eastAsia" w:ascii="Times New Roman" w:hAnsi="Times New Roman" w:eastAsia="宋体" w:cs="Times New Roman"/>
                <w:color w:val="auto"/>
                <w:sz w:val="24"/>
                <w:szCs w:val="24"/>
                <w:lang w:val="en-US" w:eastAsia="zh-CN"/>
              </w:rPr>
              <w:t>施工</w:t>
            </w:r>
            <w:r>
              <w:rPr>
                <w:rFonts w:hint="default" w:ascii="Times New Roman" w:hAnsi="Times New Roman" w:eastAsia="宋体" w:cs="Times New Roman"/>
                <w:color w:val="auto"/>
                <w:sz w:val="24"/>
                <w:szCs w:val="24"/>
              </w:rPr>
              <w:t>机械</w:t>
            </w:r>
            <w:r>
              <w:rPr>
                <w:rFonts w:hint="eastAsia" w:cs="Times New Roman"/>
                <w:color w:val="auto"/>
                <w:sz w:val="24"/>
                <w:szCs w:val="24"/>
                <w:lang w:val="en-US" w:eastAsia="zh-CN"/>
              </w:rPr>
              <w:t>设备</w:t>
            </w:r>
            <w:r>
              <w:rPr>
                <w:rFonts w:hint="default" w:ascii="Times New Roman" w:hAnsi="Times New Roman" w:eastAsia="宋体" w:cs="Times New Roman"/>
                <w:color w:val="auto"/>
                <w:sz w:val="24"/>
                <w:szCs w:val="24"/>
              </w:rPr>
              <w:t>冲洗废水。废水类型较为简单，主要污染物为COD、SS</w:t>
            </w:r>
            <w:r>
              <w:rPr>
                <w:rFonts w:hint="eastAsia" w:ascii="Times New Roman" w:hAnsi="Times New Roman" w:eastAsia="宋体" w:cs="Times New Roman"/>
                <w:color w:val="auto"/>
                <w:sz w:val="24"/>
                <w:szCs w:val="24"/>
                <w:lang w:val="en-US" w:eastAsia="zh-CN"/>
              </w:rPr>
              <w:t>和少量石油类</w:t>
            </w:r>
            <w:r>
              <w:rPr>
                <w:rFonts w:hint="default" w:ascii="Times New Roman" w:hAnsi="Times New Roman" w:eastAsia="宋体" w:cs="Times New Roman"/>
                <w:color w:val="auto"/>
                <w:sz w:val="24"/>
                <w:szCs w:val="24"/>
              </w:rPr>
              <w:t>。评价要求建设单位在施工场地设置临时沉淀池，施工产生的各类废水汇集至沉淀池，经沉淀处理后回用于施工场地洒水抑尘，不外排。</w:t>
            </w:r>
          </w:p>
          <w:p w14:paraId="5AF18344">
            <w:pPr>
              <w:pStyle w:val="1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2</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生活污水</w:t>
            </w:r>
          </w:p>
          <w:p w14:paraId="066EEFA4">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rPr>
              <w:t>本项目不设施工生活区，施工人员</w:t>
            </w:r>
            <w:r>
              <w:rPr>
                <w:rFonts w:hint="eastAsia" w:ascii="Times New Roman" w:hAnsi="Times New Roman" w:eastAsia="宋体" w:cs="Times New Roman"/>
                <w:color w:val="auto"/>
                <w:sz w:val="24"/>
                <w:szCs w:val="24"/>
                <w:lang w:eastAsia="zh-CN"/>
              </w:rPr>
              <w:t>食宿均依托</w:t>
            </w:r>
            <w:r>
              <w:rPr>
                <w:rFonts w:hint="default" w:ascii="Times New Roman" w:hAnsi="Times New Roman" w:eastAsia="宋体" w:cs="Times New Roman"/>
                <w:color w:val="auto"/>
                <w:sz w:val="24"/>
                <w:szCs w:val="24"/>
              </w:rPr>
              <w:t>沿线村民</w:t>
            </w:r>
            <w:r>
              <w:rPr>
                <w:rFonts w:hint="eastAsia" w:ascii="Times New Roman" w:hAnsi="Times New Roman" w:eastAsia="宋体" w:cs="Times New Roman"/>
                <w:color w:val="auto"/>
                <w:sz w:val="24"/>
                <w:szCs w:val="24"/>
                <w:lang w:eastAsia="zh-CN"/>
              </w:rPr>
              <w:t>设施</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kern w:val="2"/>
                <w:sz w:val="24"/>
                <w:szCs w:val="24"/>
                <w:highlight w:val="none"/>
                <w:lang w:val="en-US" w:eastAsia="zh-CN" w:bidi="ar-SA"/>
              </w:rPr>
              <w:t>项目高峰期施工人员</w:t>
            </w:r>
            <w:r>
              <w:rPr>
                <w:rFonts w:hint="eastAsia" w:ascii="Times New Roman" w:hAnsi="Times New Roman" w:eastAsia="宋体" w:cs="Times New Roman"/>
                <w:color w:val="auto"/>
                <w:kern w:val="2"/>
                <w:sz w:val="24"/>
                <w:szCs w:val="24"/>
                <w:highlight w:val="none"/>
                <w:lang w:val="en-US" w:eastAsia="zh-CN" w:bidi="ar-SA"/>
              </w:rPr>
              <w:t>共</w:t>
            </w:r>
            <w:r>
              <w:rPr>
                <w:rFonts w:hint="eastAsia" w:cs="Times New Roman"/>
                <w:color w:val="auto"/>
                <w:kern w:val="2"/>
                <w:sz w:val="24"/>
                <w:szCs w:val="24"/>
                <w:highlight w:val="none"/>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0</w:t>
            </w:r>
            <w:r>
              <w:rPr>
                <w:rFonts w:hint="default" w:ascii="Times New Roman" w:hAnsi="Times New Roman" w:eastAsia="宋体" w:cs="Times New Roman"/>
                <w:color w:val="auto"/>
                <w:kern w:val="2"/>
                <w:sz w:val="24"/>
                <w:szCs w:val="24"/>
                <w:highlight w:val="none"/>
                <w:lang w:val="en-US" w:eastAsia="zh-CN" w:bidi="ar-SA"/>
              </w:rPr>
              <w:t>人，</w:t>
            </w:r>
            <w:r>
              <w:rPr>
                <w:rFonts w:hint="eastAsia" w:cs="Times New Roman"/>
                <w:color w:val="auto"/>
                <w:sz w:val="24"/>
                <w:szCs w:val="24"/>
                <w:highlight w:val="none"/>
                <w:lang w:val="en-US" w:eastAsia="zh-CN"/>
              </w:rPr>
              <w:t>参考《行业用水定额》（DB61/T943-2020）</w:t>
            </w:r>
            <w:r>
              <w:rPr>
                <w:rFonts w:hint="default" w:ascii="Times New Roman" w:hAnsi="Times New Roman" w:eastAsia="宋体" w:cs="Times New Roman"/>
                <w:color w:val="auto"/>
                <w:sz w:val="24"/>
                <w:szCs w:val="24"/>
                <w:highlight w:val="none"/>
              </w:rPr>
              <w:t>，施工人员生活用水量按每人每天</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0L/（人·d）计，则用水量为</w:t>
            </w:r>
            <w:r>
              <w:rPr>
                <w:rFonts w:hint="eastAsia"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/d，排污系数按0.8计算，则生活污水产生量为</w:t>
            </w:r>
            <w:r>
              <w:rPr>
                <w:rFonts w:hint="eastAsia" w:cs="Times New Roman"/>
                <w:color w:val="auto"/>
                <w:sz w:val="24"/>
                <w:szCs w:val="24"/>
                <w:highlight w:val="none"/>
                <w:lang w:val="en-US" w:eastAsia="zh-CN"/>
              </w:rPr>
              <w:t>0.8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即</w:t>
            </w:r>
            <w:r>
              <w:rPr>
                <w:rFonts w:hint="eastAsia" w:cs="Times New Roman"/>
                <w:color w:val="auto"/>
                <w:sz w:val="24"/>
                <w:szCs w:val="24"/>
                <w:highlight w:val="none"/>
                <w:lang w:val="en-US" w:eastAsia="zh-CN"/>
              </w:rPr>
              <w:t>240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施工期</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，主要污染因子为COD、BOD</w:t>
            </w:r>
            <w:r>
              <w:rPr>
                <w:rFonts w:hint="default" w:ascii="Times New Roman" w:hAnsi="Times New Roman" w:eastAsia="宋体" w:cs="Times New Roman"/>
                <w:color w:val="auto"/>
                <w:sz w:val="24"/>
                <w:szCs w:val="24"/>
                <w:highlight w:val="none"/>
                <w:vertAlign w:val="subscript"/>
              </w:rPr>
              <w:t>5</w:t>
            </w:r>
            <w:r>
              <w:rPr>
                <w:rFonts w:hint="default" w:ascii="Times New Roman" w:hAnsi="Times New Roman" w:eastAsia="宋体" w:cs="Times New Roman"/>
                <w:color w:val="auto"/>
                <w:sz w:val="24"/>
                <w:szCs w:val="24"/>
                <w:highlight w:val="none"/>
              </w:rPr>
              <w:t>、SS、NH</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-N</w:t>
            </w:r>
            <w:r>
              <w:rPr>
                <w:rFonts w:hint="eastAsia" w:ascii="Times New Roman" w:hAnsi="Times New Roman" w:eastAsia="宋体" w:cs="Times New Roman"/>
                <w:color w:val="auto"/>
                <w:sz w:val="24"/>
                <w:szCs w:val="24"/>
                <w:highlight w:val="none"/>
                <w:lang w:val="en-US" w:eastAsia="zh-CN"/>
              </w:rPr>
              <w:t>等，依托</w:t>
            </w:r>
            <w:r>
              <w:rPr>
                <w:rFonts w:hint="eastAsia" w:cs="Times New Roman"/>
                <w:color w:val="auto"/>
                <w:sz w:val="24"/>
                <w:szCs w:val="24"/>
                <w:highlight w:val="none"/>
                <w:lang w:val="en-US" w:eastAsia="zh-CN"/>
              </w:rPr>
              <w:t>附近</w:t>
            </w:r>
            <w:r>
              <w:rPr>
                <w:rFonts w:hint="eastAsia" w:ascii="Times New Roman" w:hAnsi="Times New Roman" w:eastAsia="宋体" w:cs="Times New Roman"/>
                <w:color w:val="auto"/>
                <w:sz w:val="24"/>
                <w:szCs w:val="24"/>
                <w:highlight w:val="none"/>
                <w:lang w:val="en-US" w:eastAsia="zh-CN"/>
              </w:rPr>
              <w:t>村民自建化粪池处理后，</w:t>
            </w:r>
            <w:r>
              <w:rPr>
                <w:rFonts w:hint="eastAsia" w:cs="Times New Roman"/>
                <w:color w:val="auto"/>
                <w:sz w:val="24"/>
                <w:szCs w:val="24"/>
                <w:highlight w:val="none"/>
                <w:lang w:val="en-US" w:eastAsia="zh-CN"/>
              </w:rPr>
              <w:t>进入市政污水管网</w:t>
            </w:r>
            <w:r>
              <w:rPr>
                <w:rFonts w:hint="eastAsia" w:ascii="Times New Roman" w:hAnsi="Times New Roman" w:eastAsia="宋体" w:cs="Times New Roman"/>
                <w:color w:val="auto"/>
                <w:sz w:val="24"/>
                <w:szCs w:val="24"/>
                <w:highlight w:val="none"/>
                <w:lang w:val="en-US" w:eastAsia="zh-CN"/>
              </w:rPr>
              <w:t>。</w:t>
            </w:r>
          </w:p>
          <w:p w14:paraId="2EC3A73C">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w:t>
            </w:r>
            <w:r>
              <w:rPr>
                <w:rFonts w:hint="eastAsia" w:cs="Times New Roman"/>
                <w:color w:val="auto"/>
                <w:sz w:val="24"/>
                <w:szCs w:val="24"/>
                <w:highlight w:val="none"/>
                <w:lang w:val="en-US" w:eastAsia="zh-CN"/>
              </w:rPr>
              <w:t>施工扰动</w:t>
            </w:r>
          </w:p>
          <w:p w14:paraId="1484626F">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工程护岸挡墙和护坡</w:t>
            </w:r>
            <w:r>
              <w:rPr>
                <w:rFonts w:hint="eastAsia" w:ascii="Times New Roman" w:hAnsi="Times New Roman" w:eastAsia="宋体" w:cs="Times New Roman"/>
                <w:color w:val="auto"/>
                <w:sz w:val="24"/>
                <w:szCs w:val="24"/>
                <w:highlight w:val="none"/>
                <w:lang w:val="en-US" w:eastAsia="zh-CN"/>
              </w:rPr>
              <w:t>基础开挖</w:t>
            </w:r>
            <w:r>
              <w:rPr>
                <w:rFonts w:hint="eastAsia" w:cs="Times New Roman"/>
                <w:color w:val="auto"/>
                <w:sz w:val="24"/>
                <w:szCs w:val="24"/>
                <w:highlight w:val="none"/>
                <w:lang w:val="en-US" w:eastAsia="zh-CN"/>
              </w:rPr>
              <w:t>等施工</w:t>
            </w:r>
            <w:r>
              <w:rPr>
                <w:rFonts w:hint="eastAsia" w:ascii="Times New Roman" w:hAnsi="Times New Roman" w:eastAsia="宋体" w:cs="Times New Roman"/>
                <w:color w:val="auto"/>
                <w:sz w:val="24"/>
                <w:szCs w:val="24"/>
                <w:highlight w:val="none"/>
                <w:lang w:val="en-US" w:eastAsia="zh-CN"/>
              </w:rPr>
              <w:t>过程</w:t>
            </w:r>
            <w:r>
              <w:rPr>
                <w:rFonts w:hint="eastAsia" w:cs="Times New Roman"/>
                <w:color w:val="auto"/>
                <w:sz w:val="24"/>
                <w:szCs w:val="24"/>
                <w:highlight w:val="none"/>
                <w:lang w:val="en-US" w:eastAsia="zh-CN"/>
              </w:rPr>
              <w:t>中</w:t>
            </w:r>
            <w:r>
              <w:rPr>
                <w:rFonts w:hint="eastAsia" w:ascii="Times New Roman" w:hAnsi="Times New Roman" w:eastAsia="宋体" w:cs="Times New Roman"/>
                <w:color w:val="auto"/>
                <w:sz w:val="24"/>
                <w:szCs w:val="24"/>
                <w:highlight w:val="none"/>
                <w:lang w:val="en-US" w:eastAsia="zh-CN"/>
              </w:rPr>
              <w:t>机械搅动会</w:t>
            </w:r>
            <w:r>
              <w:rPr>
                <w:rFonts w:hint="eastAsia" w:cs="Times New Roman"/>
                <w:color w:val="auto"/>
                <w:sz w:val="24"/>
                <w:szCs w:val="24"/>
                <w:highlight w:val="none"/>
                <w:lang w:val="en-US" w:eastAsia="zh-CN"/>
              </w:rPr>
              <w:t>将</w:t>
            </w:r>
            <w:r>
              <w:rPr>
                <w:rFonts w:hint="eastAsia" w:ascii="Times New Roman" w:hAnsi="Times New Roman" w:eastAsia="宋体" w:cs="Times New Roman"/>
                <w:color w:val="auto"/>
                <w:sz w:val="24"/>
                <w:szCs w:val="24"/>
                <w:highlight w:val="none"/>
                <w:lang w:val="en-US" w:eastAsia="zh-CN"/>
              </w:rPr>
              <w:t>河道底泥中细小颗粒和有机质、营养物质等重新释放到水体中去，对水体造成如色度、悬浮物浓度超标，这些高浓度悬浮物在一定范围形成高浓度扩散场，导致水体光照强度减弱，水体透明度降低，且沉积和覆盖将导致施工河流水域一定河段近岸带浮游动植物、底栖动物等水生生物量减少。但施工不会使水生生物生存生境发生根本改变，</w:t>
            </w:r>
            <w:r>
              <w:rPr>
                <w:rFonts w:hint="eastAsia" w:cs="Times New Roman"/>
                <w:color w:val="auto"/>
                <w:sz w:val="24"/>
                <w:szCs w:val="24"/>
                <w:highlight w:val="none"/>
                <w:lang w:val="en-US" w:eastAsia="zh-CN"/>
              </w:rPr>
              <w:t>护岸挡墙</w:t>
            </w:r>
            <w:r>
              <w:rPr>
                <w:rFonts w:hint="eastAsia" w:ascii="Times New Roman" w:hAnsi="Times New Roman" w:eastAsia="宋体" w:cs="Times New Roman"/>
                <w:color w:val="auto"/>
                <w:sz w:val="24"/>
                <w:szCs w:val="24"/>
                <w:highlight w:val="none"/>
                <w:lang w:val="en-US" w:eastAsia="zh-CN"/>
              </w:rPr>
              <w:t>基础开挖等施工在枯水期</w:t>
            </w:r>
            <w:r>
              <w:rPr>
                <w:rFonts w:hint="eastAsia" w:cs="Times New Roman"/>
                <w:color w:val="auto"/>
                <w:sz w:val="24"/>
                <w:szCs w:val="24"/>
                <w:highlight w:val="none"/>
                <w:lang w:val="en-US" w:eastAsia="zh-CN"/>
              </w:rPr>
              <w:t>进行</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河流</w:t>
            </w:r>
            <w:r>
              <w:rPr>
                <w:rFonts w:hint="eastAsia" w:ascii="Times New Roman" w:hAnsi="Times New Roman" w:eastAsia="宋体" w:cs="Times New Roman"/>
                <w:color w:val="auto"/>
                <w:sz w:val="24"/>
                <w:szCs w:val="24"/>
                <w:highlight w:val="none"/>
                <w:lang w:val="en-US" w:eastAsia="zh-CN"/>
              </w:rPr>
              <w:t>流速相对较小，因此</w:t>
            </w:r>
            <w:r>
              <w:rPr>
                <w:rFonts w:hint="eastAsia" w:cs="Times New Roman"/>
                <w:color w:val="auto"/>
                <w:sz w:val="24"/>
                <w:szCs w:val="24"/>
                <w:highlight w:val="none"/>
                <w:lang w:val="en-US" w:eastAsia="zh-CN"/>
              </w:rPr>
              <w:t>工程施工</w:t>
            </w:r>
            <w:r>
              <w:rPr>
                <w:rFonts w:hint="eastAsia" w:ascii="Times New Roman" w:hAnsi="Times New Roman" w:eastAsia="宋体" w:cs="Times New Roman"/>
                <w:color w:val="auto"/>
                <w:sz w:val="24"/>
                <w:szCs w:val="24"/>
                <w:highlight w:val="none"/>
                <w:lang w:val="en-US" w:eastAsia="zh-CN"/>
              </w:rPr>
              <w:t>扰动底泥只会使短期内小范围水体中的色度、悬浮物有所超标，不会对水体水质造成较大不利影响。</w:t>
            </w:r>
          </w:p>
          <w:p w14:paraId="6BB0203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cs="Times New Roman"/>
                <w:b/>
                <w:bCs/>
                <w:color w:val="auto"/>
                <w:spacing w:val="0"/>
                <w:w w:val="100"/>
                <w:position w:val="0"/>
                <w:sz w:val="24"/>
                <w:szCs w:val="24"/>
                <w:highlight w:val="none"/>
                <w:lang w:val="en-US" w:eastAsia="zh-CN"/>
              </w:rPr>
            </w:pPr>
            <w:r>
              <w:rPr>
                <w:rFonts w:hint="eastAsia" w:cs="Times New Roman"/>
                <w:b/>
                <w:bCs/>
                <w:color w:val="auto"/>
                <w:spacing w:val="0"/>
                <w:w w:val="100"/>
                <w:position w:val="0"/>
                <w:sz w:val="24"/>
                <w:szCs w:val="24"/>
                <w:highlight w:val="none"/>
                <w:lang w:val="en-US" w:eastAsia="zh-CN"/>
              </w:rPr>
              <w:t>4、</w:t>
            </w:r>
            <w:r>
              <w:rPr>
                <w:rFonts w:hint="default" w:cs="Times New Roman"/>
                <w:b/>
                <w:bCs/>
                <w:color w:val="auto"/>
                <w:spacing w:val="0"/>
                <w:w w:val="100"/>
                <w:position w:val="0"/>
                <w:sz w:val="24"/>
                <w:szCs w:val="24"/>
                <w:highlight w:val="none"/>
                <w:lang w:val="en-US" w:eastAsia="zh-CN"/>
              </w:rPr>
              <w:t>声环境影响分析</w:t>
            </w:r>
          </w:p>
          <w:p w14:paraId="5DF652FD">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（1）噪声源</w:t>
            </w:r>
          </w:p>
          <w:p w14:paraId="5199BD90">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施工期噪声主要来源于机械噪声、施工作业噪声和施工车辆噪声。机械噪声主要来源于小型挖掘机、装载机等，多为点源；施工作业噪声主要指一些零星的敲打声、装卸车辆的撞击声、拆装模板的撞击声等，多为瞬时噪声；施工车辆噪声属于交通噪声。</w:t>
            </w:r>
            <w:r>
              <w:rPr>
                <w:rFonts w:hint="default" w:ascii="Times New Roman" w:hAnsi="Times New Roman" w:eastAsia="宋体" w:cs="Times New Roman"/>
                <w:color w:val="auto"/>
                <w:sz w:val="24"/>
                <w:szCs w:val="24"/>
                <w:highlight w:val="none"/>
                <w:lang w:val="en-US" w:eastAsia="zh-CN"/>
              </w:rPr>
              <w:t>本工程施工期间主要噪声源及源强见表4-1。</w:t>
            </w:r>
          </w:p>
          <w:p w14:paraId="68C94946">
            <w:pPr>
              <w:spacing w:before="72"/>
              <w:ind w:firstLine="442"/>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表4-1施工期主要机械设备噪声源强表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1"/>
              <w:gridCol w:w="1231"/>
              <w:gridCol w:w="1571"/>
              <w:gridCol w:w="1720"/>
              <w:gridCol w:w="1865"/>
            </w:tblGrid>
            <w:tr w14:paraId="28F09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71" w:type="dxa"/>
                  <w:vAlign w:val="center"/>
                </w:tcPr>
                <w:p w14:paraId="79927EBF">
                  <w:pPr>
                    <w:pStyle w:val="35"/>
                    <w:spacing w:before="42" w:line="217" w:lineRule="auto"/>
                    <w:ind w:left="0" w:leftChars="0" w:firstLine="0" w:firstLineChars="0"/>
                    <w:jc w:val="center"/>
                    <w:rPr>
                      <w:rFonts w:hint="default" w:ascii="Times New Roman" w:hAnsi="Times New Roman" w:eastAsia="宋体"/>
                      <w:color w:val="auto"/>
                      <w:sz w:val="21"/>
                      <w:szCs w:val="21"/>
                      <w:vertAlign w:val="baseline"/>
                      <w:lang w:val="en-US" w:eastAsia="zh-CN"/>
                    </w:rPr>
                  </w:pPr>
                  <w:r>
                    <w:rPr>
                      <w:rFonts w:ascii="Times New Roman" w:hAnsi="Times New Roman" w:eastAsia="宋体"/>
                      <w:color w:val="auto"/>
                      <w:spacing w:val="6"/>
                      <w:sz w:val="21"/>
                      <w:szCs w:val="21"/>
                    </w:rPr>
                    <w:t>设备名称</w:t>
                  </w:r>
                </w:p>
              </w:tc>
              <w:tc>
                <w:tcPr>
                  <w:tcW w:w="1231" w:type="dxa"/>
                  <w:vAlign w:val="center"/>
                </w:tcPr>
                <w:p w14:paraId="5EACD86A">
                  <w:pPr>
                    <w:pStyle w:val="35"/>
                    <w:spacing w:before="42" w:line="217" w:lineRule="auto"/>
                    <w:ind w:left="0" w:leftChars="0" w:firstLine="0" w:firstLineChars="0"/>
                    <w:jc w:val="center"/>
                    <w:rPr>
                      <w:rFonts w:hint="default" w:ascii="Times New Roman" w:hAnsi="Times New Roman" w:eastAsia="宋体"/>
                      <w:color w:val="auto"/>
                      <w:sz w:val="21"/>
                      <w:szCs w:val="21"/>
                      <w:vertAlign w:val="baseline"/>
                      <w:lang w:val="en-US" w:eastAsia="zh-CN"/>
                    </w:rPr>
                  </w:pPr>
                  <w:r>
                    <w:rPr>
                      <w:rFonts w:ascii="Times New Roman" w:hAnsi="Times New Roman" w:eastAsia="宋体"/>
                      <w:color w:val="auto"/>
                      <w:spacing w:val="3"/>
                      <w:sz w:val="21"/>
                      <w:szCs w:val="21"/>
                    </w:rPr>
                    <w:t>单位</w:t>
                  </w:r>
                </w:p>
              </w:tc>
              <w:tc>
                <w:tcPr>
                  <w:tcW w:w="1571" w:type="dxa"/>
                  <w:vAlign w:val="center"/>
                </w:tcPr>
                <w:p w14:paraId="70CC864C">
                  <w:pPr>
                    <w:pStyle w:val="35"/>
                    <w:spacing w:before="42" w:line="217" w:lineRule="auto"/>
                    <w:ind w:left="0" w:leftChars="0" w:firstLine="0" w:firstLineChars="0"/>
                    <w:jc w:val="center"/>
                    <w:rPr>
                      <w:rFonts w:hint="default" w:ascii="Times New Roman" w:hAnsi="Times New Roman" w:eastAsia="宋体"/>
                      <w:color w:val="auto"/>
                      <w:sz w:val="21"/>
                      <w:szCs w:val="21"/>
                      <w:vertAlign w:val="baseline"/>
                      <w:lang w:val="en-US" w:eastAsia="zh-CN"/>
                    </w:rPr>
                  </w:pPr>
                  <w:r>
                    <w:rPr>
                      <w:rFonts w:ascii="Times New Roman" w:hAnsi="Times New Roman" w:eastAsia="宋体"/>
                      <w:color w:val="auto"/>
                      <w:spacing w:val="3"/>
                      <w:sz w:val="21"/>
                      <w:szCs w:val="21"/>
                    </w:rPr>
                    <w:t>数量</w:t>
                  </w:r>
                </w:p>
              </w:tc>
              <w:tc>
                <w:tcPr>
                  <w:tcW w:w="1720" w:type="dxa"/>
                  <w:vAlign w:val="center"/>
                </w:tcPr>
                <w:p w14:paraId="1A6712DF">
                  <w:pPr>
                    <w:pStyle w:val="35"/>
                    <w:spacing w:before="12" w:line="265" w:lineRule="exact"/>
                    <w:ind w:left="0" w:leftChars="0" w:firstLine="0" w:firstLineChars="0"/>
                    <w:jc w:val="center"/>
                    <w:rPr>
                      <w:rFonts w:hint="default" w:ascii="Times New Roman" w:hAnsi="Times New Roman" w:eastAsia="宋体"/>
                      <w:color w:val="auto"/>
                      <w:sz w:val="21"/>
                      <w:szCs w:val="21"/>
                      <w:vertAlign w:val="baseline"/>
                      <w:lang w:val="en-US" w:eastAsia="zh-CN"/>
                    </w:rPr>
                  </w:pPr>
                  <w:r>
                    <w:rPr>
                      <w:rFonts w:ascii="Times New Roman" w:hAnsi="Times New Roman" w:eastAsia="宋体"/>
                      <w:color w:val="auto"/>
                      <w:spacing w:val="5"/>
                      <w:position w:val="1"/>
                      <w:sz w:val="21"/>
                      <w:szCs w:val="21"/>
                    </w:rPr>
                    <w:t>声级</w:t>
                  </w:r>
                  <w:r>
                    <w:rPr>
                      <w:rFonts w:ascii="Times New Roman" w:hAnsi="Times New Roman" w:eastAsia="宋体" w:cs="Times New Roman"/>
                      <w:color w:val="auto"/>
                      <w:position w:val="1"/>
                      <w:sz w:val="21"/>
                      <w:szCs w:val="21"/>
                    </w:rPr>
                    <w:t>dB</w:t>
                  </w:r>
                  <w:r>
                    <w:rPr>
                      <w:rFonts w:ascii="Times New Roman" w:hAnsi="Times New Roman" w:eastAsia="宋体"/>
                      <w:color w:val="auto"/>
                      <w:spacing w:val="5"/>
                      <w:position w:val="1"/>
                      <w:sz w:val="21"/>
                      <w:szCs w:val="21"/>
                    </w:rPr>
                    <w:t>（</w:t>
                  </w:r>
                  <w:r>
                    <w:rPr>
                      <w:rFonts w:ascii="Times New Roman" w:hAnsi="Times New Roman" w:eastAsia="宋体" w:cs="Times New Roman"/>
                      <w:color w:val="auto"/>
                      <w:spacing w:val="5"/>
                      <w:position w:val="1"/>
                      <w:sz w:val="21"/>
                      <w:szCs w:val="21"/>
                    </w:rPr>
                    <w:t>A</w:t>
                  </w:r>
                  <w:r>
                    <w:rPr>
                      <w:rFonts w:ascii="Times New Roman" w:hAnsi="Times New Roman" w:eastAsia="宋体"/>
                      <w:color w:val="auto"/>
                      <w:spacing w:val="5"/>
                      <w:position w:val="1"/>
                      <w:sz w:val="21"/>
                      <w:szCs w:val="21"/>
                    </w:rPr>
                    <w:t>）</w:t>
                  </w:r>
                </w:p>
              </w:tc>
              <w:tc>
                <w:tcPr>
                  <w:tcW w:w="1865" w:type="dxa"/>
                  <w:vAlign w:val="center"/>
                </w:tcPr>
                <w:p w14:paraId="2B7E8B2B">
                  <w:pPr>
                    <w:pStyle w:val="35"/>
                    <w:spacing w:before="42" w:line="217" w:lineRule="auto"/>
                    <w:ind w:left="0" w:leftChars="0" w:firstLine="0" w:firstLineChars="0"/>
                    <w:jc w:val="center"/>
                    <w:rPr>
                      <w:rFonts w:hint="default" w:ascii="Times New Roman" w:hAnsi="Times New Roman" w:eastAsia="宋体"/>
                      <w:color w:val="auto"/>
                      <w:sz w:val="21"/>
                      <w:szCs w:val="21"/>
                      <w:vertAlign w:val="baseline"/>
                      <w:lang w:val="en-US" w:eastAsia="zh-CN"/>
                    </w:rPr>
                  </w:pPr>
                  <w:r>
                    <w:rPr>
                      <w:rFonts w:ascii="Times New Roman" w:hAnsi="Times New Roman" w:eastAsia="宋体"/>
                      <w:color w:val="auto"/>
                      <w:spacing w:val="7"/>
                      <w:sz w:val="21"/>
                      <w:szCs w:val="21"/>
                    </w:rPr>
                    <w:t>距声源距离（</w:t>
                  </w:r>
                  <w:r>
                    <w:rPr>
                      <w:rFonts w:ascii="Times New Roman" w:hAnsi="Times New Roman" w:eastAsia="宋体" w:cs="Times New Roman"/>
                      <w:color w:val="auto"/>
                      <w:spacing w:val="7"/>
                      <w:sz w:val="21"/>
                      <w:szCs w:val="21"/>
                    </w:rPr>
                    <w:t>m</w:t>
                  </w:r>
                  <w:r>
                    <w:rPr>
                      <w:rFonts w:ascii="Times New Roman" w:hAnsi="Times New Roman" w:eastAsia="宋体"/>
                      <w:color w:val="auto"/>
                      <w:spacing w:val="7"/>
                      <w:sz w:val="21"/>
                      <w:szCs w:val="21"/>
                    </w:rPr>
                    <w:t>）</w:t>
                  </w:r>
                </w:p>
              </w:tc>
            </w:tr>
            <w:tr w14:paraId="044CA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1471" w:type="dxa"/>
                  <w:vAlign w:val="center"/>
                </w:tcPr>
                <w:p w14:paraId="6D5A4995">
                  <w:pPr>
                    <w:pStyle w:val="35"/>
                    <w:spacing w:before="45" w:line="216" w:lineRule="auto"/>
                    <w:ind w:left="0" w:leftChars="0" w:firstLine="0" w:firstLineChars="0"/>
                    <w:jc w:val="center"/>
                    <w:rPr>
                      <w:rFonts w:hint="default" w:ascii="Times New Roman" w:hAnsi="Times New Roman" w:eastAsia="宋体"/>
                      <w:color w:val="auto"/>
                      <w:sz w:val="21"/>
                      <w:szCs w:val="21"/>
                      <w:vertAlign w:val="baseline"/>
                      <w:lang w:val="en-US" w:eastAsia="zh-CN"/>
                    </w:rPr>
                  </w:pPr>
                  <w:r>
                    <w:rPr>
                      <w:rFonts w:ascii="Times New Roman" w:hAnsi="Times New Roman" w:eastAsia="宋体"/>
                      <w:color w:val="auto"/>
                      <w:spacing w:val="6"/>
                      <w:sz w:val="21"/>
                      <w:szCs w:val="21"/>
                    </w:rPr>
                    <w:t>推土机</w:t>
                  </w:r>
                </w:p>
              </w:tc>
              <w:tc>
                <w:tcPr>
                  <w:tcW w:w="1231" w:type="dxa"/>
                  <w:vAlign w:val="center"/>
                </w:tcPr>
                <w:p w14:paraId="7E76DBB6">
                  <w:pPr>
                    <w:pStyle w:val="35"/>
                    <w:spacing w:before="45" w:line="216" w:lineRule="auto"/>
                    <w:ind w:left="0" w:leftChars="0" w:firstLine="0" w:firstLineChars="0"/>
                    <w:jc w:val="center"/>
                    <w:rPr>
                      <w:rFonts w:hint="default" w:ascii="Times New Roman" w:hAnsi="Times New Roman" w:eastAsia="宋体"/>
                      <w:color w:val="auto"/>
                      <w:sz w:val="21"/>
                      <w:szCs w:val="21"/>
                      <w:vertAlign w:val="baseline"/>
                      <w:lang w:val="en-US" w:eastAsia="zh-CN"/>
                    </w:rPr>
                  </w:pPr>
                  <w:r>
                    <w:rPr>
                      <w:rFonts w:ascii="Times New Roman" w:hAnsi="Times New Roman" w:eastAsia="宋体"/>
                      <w:color w:val="auto"/>
                      <w:spacing w:val="1"/>
                      <w:sz w:val="21"/>
                      <w:szCs w:val="21"/>
                    </w:rPr>
                    <w:t>辆</w:t>
                  </w:r>
                </w:p>
              </w:tc>
              <w:tc>
                <w:tcPr>
                  <w:tcW w:w="1571" w:type="dxa"/>
                  <w:vAlign w:val="center"/>
                </w:tcPr>
                <w:p w14:paraId="71378D43">
                  <w:pPr>
                    <w:spacing w:before="14" w:line="265" w:lineRule="exact"/>
                    <w:ind w:left="0" w:leftChars="0" w:firstLine="0" w:firstLineChars="0"/>
                    <w:jc w:val="center"/>
                    <w:rPr>
                      <w:rFonts w:hint="eastAsia" w:ascii="Times New Roman" w:hAnsi="Times New Roman" w:eastAsia="宋体"/>
                      <w:color w:val="auto"/>
                      <w:sz w:val="21"/>
                      <w:szCs w:val="21"/>
                      <w:vertAlign w:val="baseline"/>
                      <w:lang w:val="en-US" w:eastAsia="zh-CN"/>
                    </w:rPr>
                  </w:pPr>
                  <w:r>
                    <w:rPr>
                      <w:rFonts w:hint="eastAsia" w:cs="Times New Roman"/>
                      <w:color w:val="auto"/>
                      <w:spacing w:val="1"/>
                      <w:position w:val="1"/>
                      <w:sz w:val="21"/>
                      <w:szCs w:val="21"/>
                      <w:lang w:val="en-US" w:eastAsia="zh-CN"/>
                    </w:rPr>
                    <w:t>2</w:t>
                  </w:r>
                </w:p>
              </w:tc>
              <w:tc>
                <w:tcPr>
                  <w:tcW w:w="1720" w:type="dxa"/>
                  <w:vAlign w:val="center"/>
                </w:tcPr>
                <w:p w14:paraId="52B2AC28">
                  <w:pPr>
                    <w:spacing w:before="14" w:line="265" w:lineRule="exact"/>
                    <w:ind w:left="0" w:leftChars="0" w:firstLine="0" w:firstLineChars="0"/>
                    <w:jc w:val="center"/>
                    <w:rPr>
                      <w:rFonts w:hint="default" w:ascii="Times New Roman" w:hAnsi="Times New Roman" w:eastAsia="宋体"/>
                      <w:color w:val="auto"/>
                      <w:sz w:val="21"/>
                      <w:szCs w:val="21"/>
                      <w:vertAlign w:val="baseline"/>
                      <w:lang w:val="en-US" w:eastAsia="zh-CN"/>
                    </w:rPr>
                  </w:pPr>
                  <w:r>
                    <w:rPr>
                      <w:rFonts w:ascii="Times New Roman" w:hAnsi="Times New Roman" w:eastAsia="宋体" w:cs="Times New Roman"/>
                      <w:color w:val="auto"/>
                      <w:spacing w:val="-2"/>
                      <w:position w:val="1"/>
                      <w:sz w:val="21"/>
                      <w:szCs w:val="21"/>
                    </w:rPr>
                    <w:t>86</w:t>
                  </w:r>
                </w:p>
              </w:tc>
              <w:tc>
                <w:tcPr>
                  <w:tcW w:w="1865" w:type="dxa"/>
                  <w:vAlign w:val="center"/>
                </w:tcPr>
                <w:p w14:paraId="528AEB32">
                  <w:pPr>
                    <w:spacing w:before="84" w:line="192" w:lineRule="auto"/>
                    <w:ind w:left="0" w:leftChars="0" w:firstLine="0" w:firstLineChars="0"/>
                    <w:jc w:val="center"/>
                    <w:rPr>
                      <w:rFonts w:hint="eastAsia" w:ascii="Times New Roman" w:hAnsi="Times New Roman" w:eastAsia="宋体"/>
                      <w:color w:val="auto"/>
                      <w:sz w:val="21"/>
                      <w:szCs w:val="21"/>
                      <w:vertAlign w:val="baseline"/>
                      <w:lang w:val="en-US" w:eastAsia="zh-CN"/>
                    </w:rPr>
                  </w:pPr>
                  <w:r>
                    <w:rPr>
                      <w:rFonts w:hint="eastAsia" w:cs="Times New Roman"/>
                      <w:color w:val="auto"/>
                      <w:sz w:val="21"/>
                      <w:szCs w:val="21"/>
                      <w:lang w:val="en-US" w:eastAsia="zh-CN"/>
                    </w:rPr>
                    <w:t>1</w:t>
                  </w:r>
                </w:p>
              </w:tc>
            </w:tr>
            <w:tr w14:paraId="4D6F6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471" w:type="dxa"/>
                  <w:vAlign w:val="center"/>
                </w:tcPr>
                <w:p w14:paraId="029A01A7">
                  <w:pPr>
                    <w:pStyle w:val="35"/>
                    <w:spacing w:before="43" w:line="216" w:lineRule="auto"/>
                    <w:ind w:left="0" w:leftChars="0" w:firstLine="0" w:firstLineChars="0"/>
                    <w:jc w:val="center"/>
                    <w:rPr>
                      <w:rFonts w:hint="default" w:ascii="Times New Roman" w:hAnsi="Times New Roman" w:eastAsia="宋体"/>
                      <w:color w:val="auto"/>
                      <w:sz w:val="21"/>
                      <w:szCs w:val="21"/>
                      <w:vertAlign w:val="baseline"/>
                      <w:lang w:val="en-US" w:eastAsia="zh-CN"/>
                    </w:rPr>
                  </w:pPr>
                  <w:r>
                    <w:rPr>
                      <w:rFonts w:ascii="Times New Roman" w:hAnsi="Times New Roman" w:eastAsia="宋体"/>
                      <w:color w:val="auto"/>
                      <w:spacing w:val="7"/>
                      <w:sz w:val="21"/>
                      <w:szCs w:val="21"/>
                    </w:rPr>
                    <w:t>挖掘机</w:t>
                  </w:r>
                </w:p>
              </w:tc>
              <w:tc>
                <w:tcPr>
                  <w:tcW w:w="1231" w:type="dxa"/>
                  <w:vAlign w:val="center"/>
                </w:tcPr>
                <w:p w14:paraId="4520CA54">
                  <w:pPr>
                    <w:pStyle w:val="35"/>
                    <w:spacing w:before="43" w:line="216" w:lineRule="auto"/>
                    <w:ind w:left="0" w:leftChars="0" w:firstLine="0" w:firstLineChars="0"/>
                    <w:jc w:val="center"/>
                    <w:rPr>
                      <w:rFonts w:hint="default" w:ascii="Times New Roman" w:hAnsi="Times New Roman" w:eastAsia="宋体"/>
                      <w:color w:val="auto"/>
                      <w:sz w:val="21"/>
                      <w:szCs w:val="21"/>
                      <w:vertAlign w:val="baseline"/>
                      <w:lang w:val="en-US" w:eastAsia="zh-CN"/>
                    </w:rPr>
                  </w:pPr>
                  <w:r>
                    <w:rPr>
                      <w:rFonts w:ascii="Times New Roman" w:hAnsi="Times New Roman" w:eastAsia="宋体"/>
                      <w:color w:val="auto"/>
                      <w:spacing w:val="1"/>
                      <w:sz w:val="21"/>
                      <w:szCs w:val="21"/>
                    </w:rPr>
                    <w:t>辆</w:t>
                  </w:r>
                </w:p>
              </w:tc>
              <w:tc>
                <w:tcPr>
                  <w:tcW w:w="1571" w:type="dxa"/>
                  <w:vAlign w:val="center"/>
                </w:tcPr>
                <w:p w14:paraId="39CD1ABB">
                  <w:pPr>
                    <w:spacing w:before="13" w:line="264" w:lineRule="exact"/>
                    <w:ind w:left="0" w:leftChars="0" w:firstLine="0" w:firstLineChars="0"/>
                    <w:jc w:val="center"/>
                    <w:rPr>
                      <w:rFonts w:hint="eastAsia" w:ascii="Times New Roman" w:hAnsi="Times New Roman" w:eastAsia="宋体"/>
                      <w:color w:val="auto"/>
                      <w:sz w:val="21"/>
                      <w:szCs w:val="21"/>
                      <w:vertAlign w:val="baseline"/>
                      <w:lang w:val="en-US" w:eastAsia="zh-CN"/>
                    </w:rPr>
                  </w:pPr>
                  <w:r>
                    <w:rPr>
                      <w:rFonts w:hint="eastAsia" w:cs="Times New Roman"/>
                      <w:color w:val="auto"/>
                      <w:spacing w:val="1"/>
                      <w:position w:val="1"/>
                      <w:sz w:val="21"/>
                      <w:szCs w:val="21"/>
                      <w:lang w:val="en-US" w:eastAsia="zh-CN"/>
                    </w:rPr>
                    <w:t>2</w:t>
                  </w:r>
                </w:p>
              </w:tc>
              <w:tc>
                <w:tcPr>
                  <w:tcW w:w="1720" w:type="dxa"/>
                  <w:vAlign w:val="center"/>
                </w:tcPr>
                <w:p w14:paraId="6869FA2A">
                  <w:pPr>
                    <w:spacing w:before="13" w:line="264" w:lineRule="exact"/>
                    <w:ind w:left="0" w:leftChars="0" w:firstLine="0" w:firstLineChars="0"/>
                    <w:jc w:val="center"/>
                    <w:rPr>
                      <w:rFonts w:hint="default" w:ascii="Times New Roman" w:hAnsi="Times New Roman" w:eastAsia="宋体"/>
                      <w:color w:val="auto"/>
                      <w:sz w:val="21"/>
                      <w:szCs w:val="21"/>
                      <w:vertAlign w:val="baseline"/>
                      <w:lang w:val="en-US" w:eastAsia="zh-CN"/>
                    </w:rPr>
                  </w:pPr>
                  <w:r>
                    <w:rPr>
                      <w:rFonts w:ascii="Times New Roman" w:hAnsi="Times New Roman" w:eastAsia="宋体" w:cs="Times New Roman"/>
                      <w:color w:val="auto"/>
                      <w:spacing w:val="-2"/>
                      <w:position w:val="1"/>
                      <w:sz w:val="21"/>
                      <w:szCs w:val="21"/>
                    </w:rPr>
                    <w:t>84</w:t>
                  </w:r>
                </w:p>
              </w:tc>
              <w:tc>
                <w:tcPr>
                  <w:tcW w:w="1865" w:type="dxa"/>
                  <w:vAlign w:val="center"/>
                </w:tcPr>
                <w:p w14:paraId="5806742B">
                  <w:pPr>
                    <w:spacing w:before="83" w:line="192" w:lineRule="auto"/>
                    <w:ind w:left="0" w:leftChars="0" w:firstLine="0" w:firstLineChars="0"/>
                    <w:jc w:val="center"/>
                    <w:rPr>
                      <w:rFonts w:hint="default" w:ascii="Times New Roman" w:hAnsi="Times New Roman" w:eastAsia="宋体"/>
                      <w:color w:val="auto"/>
                      <w:sz w:val="21"/>
                      <w:szCs w:val="21"/>
                      <w:vertAlign w:val="baseline"/>
                      <w:lang w:val="en-US" w:eastAsia="zh-CN"/>
                    </w:rPr>
                  </w:pPr>
                  <w:r>
                    <w:rPr>
                      <w:rFonts w:hint="eastAsia" w:cs="Times New Roman"/>
                      <w:color w:val="auto"/>
                      <w:sz w:val="21"/>
                      <w:szCs w:val="21"/>
                      <w:lang w:val="en-US" w:eastAsia="zh-CN"/>
                    </w:rPr>
                    <w:t>1</w:t>
                  </w:r>
                </w:p>
              </w:tc>
            </w:tr>
            <w:tr w14:paraId="6201B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471" w:type="dxa"/>
                  <w:vAlign w:val="center"/>
                </w:tcPr>
                <w:p w14:paraId="0A26F337">
                  <w:pPr>
                    <w:pStyle w:val="35"/>
                    <w:spacing w:before="46" w:line="215" w:lineRule="auto"/>
                    <w:ind w:left="0" w:leftChars="0" w:firstLine="0" w:firstLineChars="0"/>
                    <w:jc w:val="center"/>
                    <w:rPr>
                      <w:rFonts w:hint="default" w:ascii="Times New Roman" w:hAnsi="Times New Roman" w:eastAsia="宋体"/>
                      <w:color w:val="auto"/>
                      <w:sz w:val="21"/>
                      <w:szCs w:val="21"/>
                      <w:vertAlign w:val="baseline"/>
                      <w:lang w:val="en-US" w:eastAsia="zh-CN"/>
                    </w:rPr>
                  </w:pPr>
                  <w:r>
                    <w:rPr>
                      <w:rFonts w:ascii="Times New Roman" w:hAnsi="Times New Roman" w:eastAsia="宋体"/>
                      <w:color w:val="auto"/>
                      <w:spacing w:val="6"/>
                      <w:sz w:val="21"/>
                      <w:szCs w:val="21"/>
                    </w:rPr>
                    <w:t>装载机</w:t>
                  </w:r>
                </w:p>
              </w:tc>
              <w:tc>
                <w:tcPr>
                  <w:tcW w:w="1231" w:type="dxa"/>
                  <w:vAlign w:val="center"/>
                </w:tcPr>
                <w:p w14:paraId="116D952E">
                  <w:pPr>
                    <w:pStyle w:val="35"/>
                    <w:spacing w:before="46" w:line="215" w:lineRule="auto"/>
                    <w:ind w:left="0" w:leftChars="0" w:firstLine="0" w:firstLineChars="0"/>
                    <w:jc w:val="center"/>
                    <w:rPr>
                      <w:rFonts w:hint="default" w:ascii="Times New Roman" w:hAnsi="Times New Roman" w:eastAsia="宋体"/>
                      <w:color w:val="auto"/>
                      <w:sz w:val="21"/>
                      <w:szCs w:val="21"/>
                      <w:vertAlign w:val="baseline"/>
                      <w:lang w:val="en-US" w:eastAsia="zh-CN"/>
                    </w:rPr>
                  </w:pPr>
                  <w:r>
                    <w:rPr>
                      <w:rFonts w:ascii="Times New Roman" w:hAnsi="Times New Roman" w:eastAsia="宋体"/>
                      <w:color w:val="auto"/>
                      <w:spacing w:val="1"/>
                      <w:sz w:val="21"/>
                      <w:szCs w:val="21"/>
                    </w:rPr>
                    <w:t>辆</w:t>
                  </w:r>
                </w:p>
              </w:tc>
              <w:tc>
                <w:tcPr>
                  <w:tcW w:w="1571" w:type="dxa"/>
                  <w:vAlign w:val="center"/>
                </w:tcPr>
                <w:p w14:paraId="31CCA4A9">
                  <w:pPr>
                    <w:spacing w:before="15" w:line="264" w:lineRule="exact"/>
                    <w:ind w:left="0" w:leftChars="0" w:firstLine="0" w:firstLineChars="0"/>
                    <w:jc w:val="center"/>
                    <w:rPr>
                      <w:rFonts w:hint="eastAsia" w:ascii="Times New Roman" w:hAnsi="Times New Roman" w:eastAsia="宋体"/>
                      <w:color w:val="auto"/>
                      <w:sz w:val="21"/>
                      <w:szCs w:val="21"/>
                      <w:vertAlign w:val="baseline"/>
                      <w:lang w:val="en-US" w:eastAsia="zh-CN"/>
                    </w:rPr>
                  </w:pPr>
                  <w:r>
                    <w:rPr>
                      <w:rFonts w:hint="eastAsia" w:cs="Times New Roman"/>
                      <w:color w:val="auto"/>
                      <w:spacing w:val="1"/>
                      <w:position w:val="1"/>
                      <w:sz w:val="21"/>
                      <w:szCs w:val="21"/>
                      <w:lang w:val="en-US" w:eastAsia="zh-CN"/>
                    </w:rPr>
                    <w:t>2</w:t>
                  </w:r>
                </w:p>
              </w:tc>
              <w:tc>
                <w:tcPr>
                  <w:tcW w:w="1720" w:type="dxa"/>
                  <w:vAlign w:val="center"/>
                </w:tcPr>
                <w:p w14:paraId="0B277480">
                  <w:pPr>
                    <w:spacing w:before="15" w:line="264" w:lineRule="exact"/>
                    <w:ind w:left="0" w:leftChars="0" w:firstLine="0" w:firstLineChars="0"/>
                    <w:jc w:val="center"/>
                    <w:rPr>
                      <w:rFonts w:hint="default" w:ascii="Times New Roman" w:hAnsi="Times New Roman" w:eastAsia="宋体"/>
                      <w:color w:val="auto"/>
                      <w:sz w:val="21"/>
                      <w:szCs w:val="21"/>
                      <w:vertAlign w:val="baseline"/>
                      <w:lang w:val="en-US" w:eastAsia="zh-CN"/>
                    </w:rPr>
                  </w:pPr>
                  <w:r>
                    <w:rPr>
                      <w:rFonts w:ascii="Times New Roman" w:hAnsi="Times New Roman" w:eastAsia="宋体" w:cs="Times New Roman"/>
                      <w:color w:val="auto"/>
                      <w:position w:val="1"/>
                      <w:sz w:val="21"/>
                      <w:szCs w:val="21"/>
                    </w:rPr>
                    <w:t>90</w:t>
                  </w:r>
                </w:p>
              </w:tc>
              <w:tc>
                <w:tcPr>
                  <w:tcW w:w="1865" w:type="dxa"/>
                  <w:vAlign w:val="center"/>
                </w:tcPr>
                <w:p w14:paraId="2CE98C3A">
                  <w:pPr>
                    <w:spacing w:before="85" w:line="192" w:lineRule="auto"/>
                    <w:ind w:left="0" w:leftChars="0" w:firstLine="0" w:firstLineChars="0"/>
                    <w:jc w:val="center"/>
                    <w:rPr>
                      <w:rFonts w:hint="default" w:ascii="Times New Roman" w:hAnsi="Times New Roman" w:eastAsia="宋体"/>
                      <w:color w:val="auto"/>
                      <w:sz w:val="21"/>
                      <w:szCs w:val="21"/>
                      <w:vertAlign w:val="baseline"/>
                      <w:lang w:val="en-US" w:eastAsia="zh-CN"/>
                    </w:rPr>
                  </w:pPr>
                  <w:r>
                    <w:rPr>
                      <w:rFonts w:hint="eastAsia" w:cs="Times New Roman"/>
                      <w:color w:val="auto"/>
                      <w:sz w:val="21"/>
                      <w:szCs w:val="21"/>
                      <w:lang w:val="en-US" w:eastAsia="zh-CN"/>
                    </w:rPr>
                    <w:t>1</w:t>
                  </w:r>
                </w:p>
              </w:tc>
            </w:tr>
            <w:tr w14:paraId="72EDB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1471" w:type="dxa"/>
                  <w:vAlign w:val="center"/>
                </w:tcPr>
                <w:p w14:paraId="090FB449">
                  <w:pPr>
                    <w:pStyle w:val="35"/>
                    <w:spacing w:before="45" w:line="216" w:lineRule="auto"/>
                    <w:ind w:left="0" w:leftChars="0" w:firstLine="0" w:firstLineChars="0"/>
                    <w:jc w:val="center"/>
                    <w:rPr>
                      <w:rFonts w:hint="default" w:ascii="Times New Roman" w:hAnsi="Times New Roman" w:eastAsia="宋体"/>
                      <w:color w:val="auto"/>
                      <w:sz w:val="21"/>
                      <w:szCs w:val="21"/>
                      <w:vertAlign w:val="baseline"/>
                      <w:lang w:val="en-US" w:eastAsia="zh-CN"/>
                    </w:rPr>
                  </w:pPr>
                  <w:r>
                    <w:rPr>
                      <w:rFonts w:ascii="Times New Roman" w:hAnsi="Times New Roman" w:eastAsia="宋体"/>
                      <w:color w:val="auto"/>
                      <w:spacing w:val="7"/>
                      <w:sz w:val="21"/>
                      <w:szCs w:val="21"/>
                    </w:rPr>
                    <w:t>蛙式打夯机</w:t>
                  </w:r>
                </w:p>
              </w:tc>
              <w:tc>
                <w:tcPr>
                  <w:tcW w:w="1231" w:type="dxa"/>
                  <w:vAlign w:val="center"/>
                </w:tcPr>
                <w:p w14:paraId="73D5546A">
                  <w:pPr>
                    <w:pStyle w:val="35"/>
                    <w:spacing w:before="45" w:line="216" w:lineRule="auto"/>
                    <w:ind w:left="0" w:leftChars="0" w:firstLine="0" w:firstLineChars="0"/>
                    <w:jc w:val="center"/>
                    <w:rPr>
                      <w:rFonts w:hint="default" w:ascii="Times New Roman" w:hAnsi="Times New Roman" w:eastAsia="宋体"/>
                      <w:color w:val="auto"/>
                      <w:sz w:val="21"/>
                      <w:szCs w:val="21"/>
                      <w:vertAlign w:val="baseline"/>
                      <w:lang w:val="en-US" w:eastAsia="zh-CN"/>
                    </w:rPr>
                  </w:pPr>
                  <w:r>
                    <w:rPr>
                      <w:rFonts w:ascii="Times New Roman" w:hAnsi="Times New Roman" w:eastAsia="宋体"/>
                      <w:color w:val="auto"/>
                      <w:sz w:val="21"/>
                      <w:szCs w:val="21"/>
                    </w:rPr>
                    <w:t>台</w:t>
                  </w:r>
                </w:p>
              </w:tc>
              <w:tc>
                <w:tcPr>
                  <w:tcW w:w="1571" w:type="dxa"/>
                  <w:vAlign w:val="center"/>
                </w:tcPr>
                <w:p w14:paraId="11C71677">
                  <w:pPr>
                    <w:spacing w:before="14" w:line="265" w:lineRule="exact"/>
                    <w:ind w:left="0" w:leftChars="0" w:firstLine="0" w:firstLineChars="0"/>
                    <w:jc w:val="center"/>
                    <w:rPr>
                      <w:rFonts w:hint="eastAsia" w:ascii="Times New Roman" w:hAnsi="Times New Roman" w:eastAsia="宋体"/>
                      <w:color w:val="auto"/>
                      <w:sz w:val="21"/>
                      <w:szCs w:val="21"/>
                      <w:vertAlign w:val="baseline"/>
                      <w:lang w:val="en-US" w:eastAsia="zh-CN"/>
                    </w:rPr>
                  </w:pPr>
                  <w:r>
                    <w:rPr>
                      <w:rFonts w:hint="eastAsia" w:cs="Times New Roman"/>
                      <w:color w:val="auto"/>
                      <w:position w:val="1"/>
                      <w:sz w:val="21"/>
                      <w:szCs w:val="21"/>
                      <w:lang w:val="en-US" w:eastAsia="zh-CN"/>
                    </w:rPr>
                    <w:t>6</w:t>
                  </w:r>
                </w:p>
              </w:tc>
              <w:tc>
                <w:tcPr>
                  <w:tcW w:w="1720" w:type="dxa"/>
                  <w:vAlign w:val="center"/>
                </w:tcPr>
                <w:p w14:paraId="4F3E44E6">
                  <w:pPr>
                    <w:spacing w:before="14" w:line="265" w:lineRule="exact"/>
                    <w:ind w:left="0" w:leftChars="0" w:firstLine="0" w:firstLineChars="0"/>
                    <w:jc w:val="center"/>
                    <w:rPr>
                      <w:rFonts w:hint="default" w:ascii="Times New Roman" w:hAnsi="Times New Roman" w:eastAsia="宋体"/>
                      <w:color w:val="auto"/>
                      <w:sz w:val="21"/>
                      <w:szCs w:val="21"/>
                      <w:vertAlign w:val="baseline"/>
                      <w:lang w:val="en-US" w:eastAsia="zh-CN"/>
                    </w:rPr>
                  </w:pPr>
                  <w:r>
                    <w:rPr>
                      <w:rFonts w:ascii="Times New Roman" w:hAnsi="Times New Roman" w:eastAsia="宋体" w:cs="Times New Roman"/>
                      <w:color w:val="auto"/>
                      <w:position w:val="1"/>
                      <w:sz w:val="21"/>
                      <w:szCs w:val="21"/>
                    </w:rPr>
                    <w:t>90</w:t>
                  </w:r>
                </w:p>
              </w:tc>
              <w:tc>
                <w:tcPr>
                  <w:tcW w:w="1865" w:type="dxa"/>
                  <w:vAlign w:val="center"/>
                </w:tcPr>
                <w:p w14:paraId="76EDC178">
                  <w:pPr>
                    <w:spacing w:before="84" w:line="192" w:lineRule="auto"/>
                    <w:ind w:left="0" w:leftChars="0" w:firstLine="0" w:firstLineChars="0"/>
                    <w:jc w:val="center"/>
                    <w:rPr>
                      <w:rFonts w:hint="default" w:ascii="Times New Roman" w:hAnsi="Times New Roman" w:eastAsia="宋体"/>
                      <w:color w:val="auto"/>
                      <w:sz w:val="21"/>
                      <w:szCs w:val="21"/>
                      <w:vertAlign w:val="baseline"/>
                      <w:lang w:val="en-US" w:eastAsia="zh-CN"/>
                    </w:rPr>
                  </w:pPr>
                  <w:r>
                    <w:rPr>
                      <w:rFonts w:hint="eastAsia" w:cs="Times New Roman"/>
                      <w:color w:val="auto"/>
                      <w:sz w:val="21"/>
                      <w:szCs w:val="21"/>
                      <w:lang w:val="en-US" w:eastAsia="zh-CN"/>
                    </w:rPr>
                    <w:t>1</w:t>
                  </w:r>
                </w:p>
              </w:tc>
            </w:tr>
            <w:tr w14:paraId="0D81B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471" w:type="dxa"/>
                  <w:vAlign w:val="center"/>
                </w:tcPr>
                <w:p w14:paraId="54AD0E21">
                  <w:pPr>
                    <w:pStyle w:val="35"/>
                    <w:spacing w:before="46" w:line="215" w:lineRule="auto"/>
                    <w:ind w:left="0" w:leftChars="0" w:firstLine="0" w:firstLineChars="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起重机</w:t>
                  </w:r>
                </w:p>
              </w:tc>
              <w:tc>
                <w:tcPr>
                  <w:tcW w:w="1231" w:type="dxa"/>
                  <w:vAlign w:val="center"/>
                </w:tcPr>
                <w:p w14:paraId="5CD53E14">
                  <w:pPr>
                    <w:pStyle w:val="35"/>
                    <w:spacing w:before="46" w:line="215" w:lineRule="auto"/>
                    <w:ind w:left="0" w:leftChars="0" w:firstLine="0" w:firstLineChars="0"/>
                    <w:jc w:val="center"/>
                    <w:rPr>
                      <w:rFonts w:hint="default" w:ascii="Times New Roman" w:hAnsi="Times New Roman" w:eastAsia="宋体"/>
                      <w:color w:val="auto"/>
                      <w:sz w:val="21"/>
                      <w:szCs w:val="21"/>
                      <w:vertAlign w:val="baseline"/>
                      <w:lang w:val="en-US" w:eastAsia="zh-CN"/>
                    </w:rPr>
                  </w:pPr>
                  <w:r>
                    <w:rPr>
                      <w:color w:val="auto"/>
                      <w:spacing w:val="1"/>
                      <w:sz w:val="21"/>
                      <w:szCs w:val="21"/>
                    </w:rPr>
                    <w:t>辆</w:t>
                  </w:r>
                </w:p>
              </w:tc>
              <w:tc>
                <w:tcPr>
                  <w:tcW w:w="1571" w:type="dxa"/>
                  <w:vAlign w:val="center"/>
                </w:tcPr>
                <w:p w14:paraId="533CFC38">
                  <w:pPr>
                    <w:spacing w:before="15" w:line="264" w:lineRule="exact"/>
                    <w:ind w:left="0" w:leftChars="0" w:firstLine="0" w:firstLineChars="0"/>
                    <w:jc w:val="center"/>
                    <w:rPr>
                      <w:rFonts w:hint="eastAsia" w:ascii="Times New Roman" w:hAnsi="Times New Roman" w:eastAsia="宋体"/>
                      <w:color w:val="auto"/>
                      <w:sz w:val="21"/>
                      <w:szCs w:val="21"/>
                      <w:vertAlign w:val="baseline"/>
                      <w:lang w:val="en-US" w:eastAsia="zh-CN"/>
                    </w:rPr>
                  </w:pPr>
                  <w:r>
                    <w:rPr>
                      <w:rFonts w:hint="eastAsia" w:cs="Times New Roman"/>
                      <w:color w:val="auto"/>
                      <w:spacing w:val="1"/>
                      <w:position w:val="1"/>
                      <w:sz w:val="21"/>
                      <w:szCs w:val="21"/>
                      <w:lang w:val="en-US" w:eastAsia="zh-CN"/>
                    </w:rPr>
                    <w:t>2</w:t>
                  </w:r>
                </w:p>
              </w:tc>
              <w:tc>
                <w:tcPr>
                  <w:tcW w:w="1720" w:type="dxa"/>
                  <w:vAlign w:val="center"/>
                </w:tcPr>
                <w:p w14:paraId="38BC0B79">
                  <w:pPr>
                    <w:spacing w:before="15" w:line="264" w:lineRule="exact"/>
                    <w:ind w:left="0" w:leftChars="0" w:firstLine="0" w:firstLineChars="0"/>
                    <w:jc w:val="center"/>
                    <w:rPr>
                      <w:rFonts w:hint="default" w:ascii="Times New Roman" w:hAnsi="Times New Roman" w:eastAsia="宋体"/>
                      <w:color w:val="auto"/>
                      <w:sz w:val="21"/>
                      <w:szCs w:val="21"/>
                      <w:vertAlign w:val="baseline"/>
                      <w:lang w:val="en-US" w:eastAsia="zh-CN"/>
                    </w:rPr>
                  </w:pPr>
                  <w:r>
                    <w:rPr>
                      <w:rFonts w:ascii="Times New Roman" w:hAnsi="Times New Roman" w:eastAsia="宋体" w:cs="Times New Roman"/>
                      <w:color w:val="auto"/>
                      <w:position w:val="1"/>
                      <w:sz w:val="21"/>
                      <w:szCs w:val="21"/>
                    </w:rPr>
                    <w:t>90</w:t>
                  </w:r>
                </w:p>
              </w:tc>
              <w:tc>
                <w:tcPr>
                  <w:tcW w:w="1865" w:type="dxa"/>
                  <w:vAlign w:val="center"/>
                </w:tcPr>
                <w:p w14:paraId="185BF267">
                  <w:pPr>
                    <w:spacing w:before="85" w:line="192" w:lineRule="auto"/>
                    <w:ind w:left="0" w:leftChars="0" w:firstLine="0" w:firstLineChars="0"/>
                    <w:jc w:val="center"/>
                    <w:rPr>
                      <w:rFonts w:hint="default" w:ascii="Times New Roman" w:hAnsi="Times New Roman" w:eastAsia="宋体"/>
                      <w:color w:val="auto"/>
                      <w:sz w:val="21"/>
                      <w:szCs w:val="21"/>
                      <w:vertAlign w:val="baseline"/>
                      <w:lang w:val="en-US" w:eastAsia="zh-CN"/>
                    </w:rPr>
                  </w:pPr>
                  <w:r>
                    <w:rPr>
                      <w:rFonts w:hint="eastAsia" w:cs="Times New Roman"/>
                      <w:color w:val="auto"/>
                      <w:sz w:val="21"/>
                      <w:szCs w:val="21"/>
                      <w:lang w:val="en-US" w:eastAsia="zh-CN"/>
                    </w:rPr>
                    <w:t>1</w:t>
                  </w:r>
                </w:p>
              </w:tc>
            </w:tr>
            <w:tr w14:paraId="694FF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471" w:type="dxa"/>
                  <w:vAlign w:val="center"/>
                </w:tcPr>
                <w:p w14:paraId="3665DA22">
                  <w:pPr>
                    <w:pStyle w:val="35"/>
                    <w:spacing w:before="47" w:line="214" w:lineRule="auto"/>
                    <w:ind w:left="0" w:leftChars="0" w:firstLine="0" w:firstLineChars="0"/>
                    <w:jc w:val="center"/>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载重</w:t>
                  </w:r>
                  <w:r>
                    <w:rPr>
                      <w:rFonts w:hint="eastAsia" w:ascii="Times New Roman" w:hAnsi="Times New Roman" w:eastAsia="宋体"/>
                      <w:color w:val="auto"/>
                      <w:sz w:val="21"/>
                      <w:szCs w:val="21"/>
                      <w:vertAlign w:val="baseline"/>
                      <w:lang w:val="en-US" w:eastAsia="zh-CN"/>
                    </w:rPr>
                    <w:t>汽车</w:t>
                  </w:r>
                </w:p>
              </w:tc>
              <w:tc>
                <w:tcPr>
                  <w:tcW w:w="1231" w:type="dxa"/>
                  <w:vAlign w:val="center"/>
                </w:tcPr>
                <w:p w14:paraId="15E37897">
                  <w:pPr>
                    <w:pStyle w:val="35"/>
                    <w:spacing w:before="47" w:line="214" w:lineRule="auto"/>
                    <w:ind w:left="0" w:leftChars="0" w:firstLine="0" w:firstLineChars="0"/>
                    <w:jc w:val="center"/>
                    <w:rPr>
                      <w:rFonts w:hint="eastAsia" w:ascii="Times New Roman" w:hAnsi="Times New Roman" w:eastAsia="宋体"/>
                      <w:color w:val="auto"/>
                      <w:sz w:val="21"/>
                      <w:szCs w:val="21"/>
                      <w:vertAlign w:val="baseline"/>
                      <w:lang w:val="en-US" w:eastAsia="zh-CN"/>
                    </w:rPr>
                  </w:pPr>
                  <w:r>
                    <w:rPr>
                      <w:color w:val="auto"/>
                      <w:spacing w:val="1"/>
                      <w:sz w:val="21"/>
                      <w:szCs w:val="21"/>
                    </w:rPr>
                    <w:t>辆</w:t>
                  </w:r>
                </w:p>
              </w:tc>
              <w:tc>
                <w:tcPr>
                  <w:tcW w:w="1571" w:type="dxa"/>
                  <w:vAlign w:val="center"/>
                </w:tcPr>
                <w:p w14:paraId="0038E2EA">
                  <w:pPr>
                    <w:spacing w:before="16" w:line="263" w:lineRule="exact"/>
                    <w:ind w:left="0" w:leftChars="0" w:firstLine="0" w:firstLineChars="0"/>
                    <w:jc w:val="center"/>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5</w:t>
                  </w:r>
                </w:p>
              </w:tc>
              <w:tc>
                <w:tcPr>
                  <w:tcW w:w="1720" w:type="dxa"/>
                  <w:vAlign w:val="center"/>
                </w:tcPr>
                <w:p w14:paraId="3ADF1B97">
                  <w:pPr>
                    <w:spacing w:before="16" w:line="263" w:lineRule="exact"/>
                    <w:ind w:left="0" w:leftChars="0" w:firstLine="0" w:firstLineChars="0"/>
                    <w:jc w:val="center"/>
                    <w:rPr>
                      <w:rFonts w:hint="default" w:ascii="Times New Roman" w:hAnsi="Times New Roman" w:eastAsia="宋体"/>
                      <w:color w:val="auto"/>
                      <w:sz w:val="21"/>
                      <w:szCs w:val="21"/>
                      <w:vertAlign w:val="baseline"/>
                      <w:lang w:val="en-US" w:eastAsia="zh-CN"/>
                    </w:rPr>
                  </w:pPr>
                  <w:r>
                    <w:rPr>
                      <w:rFonts w:ascii="Times New Roman" w:hAnsi="Times New Roman" w:eastAsia="宋体" w:cs="Times New Roman"/>
                      <w:color w:val="auto"/>
                      <w:spacing w:val="-2"/>
                      <w:position w:val="1"/>
                      <w:sz w:val="21"/>
                      <w:szCs w:val="21"/>
                    </w:rPr>
                    <w:t>82</w:t>
                  </w:r>
                </w:p>
              </w:tc>
              <w:tc>
                <w:tcPr>
                  <w:tcW w:w="1865" w:type="dxa"/>
                  <w:vAlign w:val="center"/>
                </w:tcPr>
                <w:p w14:paraId="06EC7260">
                  <w:pPr>
                    <w:spacing w:before="86" w:line="192" w:lineRule="auto"/>
                    <w:ind w:left="0" w:leftChars="0" w:firstLine="0" w:firstLineChars="0"/>
                    <w:jc w:val="center"/>
                    <w:rPr>
                      <w:rFonts w:hint="default" w:ascii="Times New Roman" w:hAnsi="Times New Roman" w:eastAsia="宋体"/>
                      <w:color w:val="auto"/>
                      <w:sz w:val="21"/>
                      <w:szCs w:val="21"/>
                      <w:vertAlign w:val="baseline"/>
                      <w:lang w:val="en-US" w:eastAsia="zh-CN"/>
                    </w:rPr>
                  </w:pPr>
                  <w:r>
                    <w:rPr>
                      <w:rFonts w:hint="eastAsia" w:cs="Times New Roman"/>
                      <w:color w:val="auto"/>
                      <w:sz w:val="21"/>
                      <w:szCs w:val="21"/>
                      <w:lang w:val="en-US" w:eastAsia="zh-CN"/>
                    </w:rPr>
                    <w:t>1</w:t>
                  </w:r>
                </w:p>
              </w:tc>
            </w:tr>
            <w:tr w14:paraId="1411C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471" w:type="dxa"/>
                  <w:vAlign w:val="center"/>
                </w:tcPr>
                <w:p w14:paraId="28A41A9E">
                  <w:pPr>
                    <w:pStyle w:val="35"/>
                    <w:spacing w:before="47" w:line="214" w:lineRule="auto"/>
                    <w:ind w:left="0" w:leftChars="0" w:firstLine="0" w:firstLineChars="0"/>
                    <w:jc w:val="center"/>
                    <w:rPr>
                      <w:rFonts w:hint="default" w:ascii="Times New Roman" w:hAnsi="Times New Roman" w:eastAsia="宋体"/>
                      <w:color w:val="auto"/>
                      <w:sz w:val="21"/>
                      <w:szCs w:val="21"/>
                      <w:vertAlign w:val="baseline"/>
                      <w:lang w:val="en-US" w:eastAsia="zh-CN"/>
                    </w:rPr>
                  </w:pPr>
                  <w:r>
                    <w:rPr>
                      <w:rFonts w:hint="eastAsia" w:ascii="Times New Roman" w:hAnsi="Times New Roman"/>
                      <w:color w:val="auto"/>
                      <w:sz w:val="21"/>
                      <w:szCs w:val="21"/>
                      <w:vertAlign w:val="baseline"/>
                      <w:lang w:val="en-US" w:eastAsia="zh-CN"/>
                    </w:rPr>
                    <w:t>振动器</w:t>
                  </w:r>
                </w:p>
              </w:tc>
              <w:tc>
                <w:tcPr>
                  <w:tcW w:w="1231" w:type="dxa"/>
                  <w:vAlign w:val="center"/>
                </w:tcPr>
                <w:p w14:paraId="133DD2E5">
                  <w:pPr>
                    <w:pStyle w:val="35"/>
                    <w:spacing w:before="47" w:line="214" w:lineRule="auto"/>
                    <w:ind w:left="0" w:leftChars="0" w:firstLine="0" w:firstLineChars="0"/>
                    <w:jc w:val="center"/>
                    <w:rPr>
                      <w:color w:val="auto"/>
                      <w:spacing w:val="1"/>
                      <w:sz w:val="21"/>
                      <w:szCs w:val="21"/>
                    </w:rPr>
                  </w:pPr>
                  <w:r>
                    <w:rPr>
                      <w:rFonts w:ascii="Times New Roman" w:hAnsi="Times New Roman" w:eastAsia="宋体"/>
                      <w:color w:val="auto"/>
                      <w:sz w:val="21"/>
                      <w:szCs w:val="21"/>
                    </w:rPr>
                    <w:t>台</w:t>
                  </w:r>
                </w:p>
              </w:tc>
              <w:tc>
                <w:tcPr>
                  <w:tcW w:w="1571" w:type="dxa"/>
                  <w:vAlign w:val="center"/>
                </w:tcPr>
                <w:p w14:paraId="210CDC03">
                  <w:pPr>
                    <w:spacing w:before="16" w:line="263" w:lineRule="exact"/>
                    <w:ind w:left="0" w:leftChars="0" w:firstLine="0" w:firstLineChars="0"/>
                    <w:jc w:val="center"/>
                    <w:rPr>
                      <w:rFonts w:hint="default"/>
                      <w:color w:val="auto"/>
                      <w:sz w:val="21"/>
                      <w:szCs w:val="21"/>
                      <w:vertAlign w:val="baseline"/>
                      <w:lang w:val="en-US" w:eastAsia="zh-CN"/>
                    </w:rPr>
                  </w:pPr>
                  <w:r>
                    <w:rPr>
                      <w:rFonts w:hint="eastAsia"/>
                      <w:color w:val="auto"/>
                      <w:sz w:val="21"/>
                      <w:szCs w:val="21"/>
                      <w:vertAlign w:val="baseline"/>
                      <w:lang w:val="en-US" w:eastAsia="zh-CN"/>
                    </w:rPr>
                    <w:t>2</w:t>
                  </w:r>
                </w:p>
              </w:tc>
              <w:tc>
                <w:tcPr>
                  <w:tcW w:w="1720" w:type="dxa"/>
                  <w:vAlign w:val="center"/>
                </w:tcPr>
                <w:p w14:paraId="1AC3DAE8">
                  <w:pPr>
                    <w:spacing w:before="16" w:line="263" w:lineRule="exact"/>
                    <w:ind w:left="0" w:leftChars="0" w:firstLine="0" w:firstLineChars="0"/>
                    <w:jc w:val="center"/>
                    <w:rPr>
                      <w:rFonts w:hint="default" w:ascii="Times New Roman" w:hAnsi="Times New Roman" w:eastAsia="宋体" w:cs="Times New Roman"/>
                      <w:color w:val="auto"/>
                      <w:spacing w:val="-2"/>
                      <w:position w:val="1"/>
                      <w:sz w:val="21"/>
                      <w:szCs w:val="21"/>
                      <w:lang w:val="en-US" w:eastAsia="zh-CN"/>
                    </w:rPr>
                  </w:pPr>
                  <w:r>
                    <w:rPr>
                      <w:rFonts w:hint="eastAsia" w:cs="Times New Roman"/>
                      <w:color w:val="auto"/>
                      <w:spacing w:val="-2"/>
                      <w:position w:val="1"/>
                      <w:sz w:val="21"/>
                      <w:szCs w:val="21"/>
                      <w:lang w:val="en-US" w:eastAsia="zh-CN"/>
                    </w:rPr>
                    <w:t>85</w:t>
                  </w:r>
                </w:p>
              </w:tc>
              <w:tc>
                <w:tcPr>
                  <w:tcW w:w="1865" w:type="dxa"/>
                  <w:vAlign w:val="center"/>
                </w:tcPr>
                <w:p w14:paraId="1AC01881">
                  <w:pPr>
                    <w:spacing w:before="86" w:line="192" w:lineRule="auto"/>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r>
            <w:tr w14:paraId="6F8D9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471" w:type="dxa"/>
                  <w:vAlign w:val="center"/>
                </w:tcPr>
                <w:p w14:paraId="75F44506">
                  <w:pPr>
                    <w:pStyle w:val="35"/>
                    <w:spacing w:before="47" w:line="214" w:lineRule="auto"/>
                    <w:ind w:left="0" w:leftChars="0" w:firstLine="0" w:firstLineChars="0"/>
                    <w:jc w:val="center"/>
                    <w:rPr>
                      <w:rFonts w:hint="default" w:ascii="Times New Roman" w:hAnsi="Times New Roman"/>
                      <w:color w:val="auto"/>
                      <w:sz w:val="21"/>
                      <w:szCs w:val="21"/>
                      <w:vertAlign w:val="baseline"/>
                      <w:lang w:val="en-US" w:eastAsia="zh-CN"/>
                    </w:rPr>
                  </w:pPr>
                  <w:r>
                    <w:rPr>
                      <w:rFonts w:hint="eastAsia" w:ascii="Times New Roman" w:hAnsi="Times New Roman"/>
                      <w:color w:val="auto"/>
                      <w:sz w:val="21"/>
                      <w:szCs w:val="21"/>
                      <w:vertAlign w:val="baseline"/>
                      <w:lang w:val="en-US" w:eastAsia="zh-CN"/>
                    </w:rPr>
                    <w:t>切割机</w:t>
                  </w:r>
                </w:p>
              </w:tc>
              <w:tc>
                <w:tcPr>
                  <w:tcW w:w="1231" w:type="dxa"/>
                  <w:vAlign w:val="center"/>
                </w:tcPr>
                <w:p w14:paraId="1EF7C6D2">
                  <w:pPr>
                    <w:pStyle w:val="35"/>
                    <w:spacing w:before="47" w:line="214" w:lineRule="auto"/>
                    <w:ind w:left="0" w:leftChars="0" w:firstLine="0" w:firstLineChars="0"/>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台</w:t>
                  </w:r>
                </w:p>
              </w:tc>
              <w:tc>
                <w:tcPr>
                  <w:tcW w:w="1571" w:type="dxa"/>
                  <w:vAlign w:val="center"/>
                </w:tcPr>
                <w:p w14:paraId="693B04DF">
                  <w:pPr>
                    <w:spacing w:before="16" w:line="263" w:lineRule="exact"/>
                    <w:ind w:left="0" w:leftChars="0" w:firstLine="0" w:firstLineChars="0"/>
                    <w:jc w:val="center"/>
                    <w:rPr>
                      <w:rFonts w:hint="default"/>
                      <w:color w:val="auto"/>
                      <w:sz w:val="21"/>
                      <w:szCs w:val="21"/>
                      <w:vertAlign w:val="baseline"/>
                      <w:lang w:val="en-US" w:eastAsia="zh-CN"/>
                    </w:rPr>
                  </w:pPr>
                  <w:r>
                    <w:rPr>
                      <w:rFonts w:hint="eastAsia"/>
                      <w:color w:val="auto"/>
                      <w:sz w:val="21"/>
                      <w:szCs w:val="21"/>
                      <w:vertAlign w:val="baseline"/>
                      <w:lang w:val="en-US" w:eastAsia="zh-CN"/>
                    </w:rPr>
                    <w:t>2</w:t>
                  </w:r>
                </w:p>
              </w:tc>
              <w:tc>
                <w:tcPr>
                  <w:tcW w:w="1720" w:type="dxa"/>
                  <w:vAlign w:val="center"/>
                </w:tcPr>
                <w:p w14:paraId="69C56F72">
                  <w:pPr>
                    <w:spacing w:before="16" w:line="263" w:lineRule="exact"/>
                    <w:ind w:left="0" w:leftChars="0" w:firstLine="0" w:firstLineChars="0"/>
                    <w:jc w:val="center"/>
                    <w:rPr>
                      <w:rFonts w:hint="default" w:cs="Times New Roman"/>
                      <w:color w:val="auto"/>
                      <w:spacing w:val="-2"/>
                      <w:position w:val="1"/>
                      <w:sz w:val="21"/>
                      <w:szCs w:val="21"/>
                      <w:lang w:val="en-US" w:eastAsia="zh-CN"/>
                    </w:rPr>
                  </w:pPr>
                  <w:r>
                    <w:rPr>
                      <w:rFonts w:hint="eastAsia" w:cs="Times New Roman"/>
                      <w:color w:val="auto"/>
                      <w:spacing w:val="-2"/>
                      <w:position w:val="1"/>
                      <w:sz w:val="21"/>
                      <w:szCs w:val="21"/>
                      <w:lang w:val="en-US" w:eastAsia="zh-CN"/>
                    </w:rPr>
                    <w:t>82</w:t>
                  </w:r>
                </w:p>
              </w:tc>
              <w:tc>
                <w:tcPr>
                  <w:tcW w:w="1865" w:type="dxa"/>
                  <w:vAlign w:val="center"/>
                </w:tcPr>
                <w:p w14:paraId="3528DFE0">
                  <w:pPr>
                    <w:spacing w:before="86" w:line="192" w:lineRule="auto"/>
                    <w:ind w:left="0" w:leftChars="0"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1</w:t>
                  </w:r>
                </w:p>
              </w:tc>
            </w:tr>
          </w:tbl>
          <w:p w14:paraId="1BE96D1B">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b w:val="0"/>
                <w:bCs/>
                <w:color w:val="auto"/>
                <w:kern w:val="0"/>
                <w:sz w:val="24"/>
                <w:szCs w:val="24"/>
                <w:highlight w:val="none"/>
                <w:lang w:val="en-US" w:eastAsia="zh-CN"/>
              </w:rPr>
            </w:pPr>
            <w:r>
              <w:rPr>
                <w:rFonts w:hint="eastAsia" w:ascii="Times New Roman" w:hAnsi="Times New Roman" w:eastAsia="宋体" w:cs="Times New Roman"/>
                <w:b w:val="0"/>
                <w:bCs/>
                <w:color w:val="auto"/>
                <w:kern w:val="0"/>
                <w:sz w:val="24"/>
                <w:szCs w:val="24"/>
                <w:highlight w:val="none"/>
                <w:lang w:val="en-US" w:eastAsia="zh-CN"/>
              </w:rPr>
              <w:t>（</w:t>
            </w:r>
            <w:r>
              <w:rPr>
                <w:rFonts w:hint="eastAsia" w:cs="Times New Roman"/>
                <w:b w:val="0"/>
                <w:bCs/>
                <w:color w:val="auto"/>
                <w:kern w:val="0"/>
                <w:sz w:val="24"/>
                <w:szCs w:val="24"/>
                <w:highlight w:val="none"/>
                <w:lang w:val="en-US" w:eastAsia="zh-CN"/>
              </w:rPr>
              <w:t>2</w:t>
            </w:r>
            <w:r>
              <w:rPr>
                <w:rFonts w:hint="eastAsia" w:ascii="Times New Roman" w:hAnsi="Times New Roman" w:eastAsia="宋体" w:cs="Times New Roman"/>
                <w:b w:val="0"/>
                <w:bCs/>
                <w:color w:val="auto"/>
                <w:kern w:val="0"/>
                <w:sz w:val="24"/>
                <w:szCs w:val="24"/>
                <w:highlight w:val="none"/>
                <w:lang w:val="en-US" w:eastAsia="zh-CN"/>
              </w:rPr>
              <w:t>）噪声</w:t>
            </w:r>
            <w:r>
              <w:rPr>
                <w:rFonts w:hint="eastAsia" w:cs="Times New Roman"/>
                <w:b w:val="0"/>
                <w:bCs/>
                <w:color w:val="auto"/>
                <w:kern w:val="0"/>
                <w:sz w:val="24"/>
                <w:szCs w:val="24"/>
                <w:highlight w:val="none"/>
                <w:lang w:val="en-US" w:eastAsia="zh-CN"/>
              </w:rPr>
              <w:t>影响分析</w:t>
            </w:r>
          </w:p>
          <w:p w14:paraId="330E79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color w:val="000000"/>
                <w:kern w:val="0"/>
                <w:sz w:val="24"/>
                <w:szCs w:val="24"/>
                <w:highlight w:val="none"/>
                <w:lang w:val="en-US" w:eastAsia="zh-CN"/>
              </w:rPr>
            </w:pPr>
            <w:r>
              <w:rPr>
                <w:rFonts w:hint="eastAsia" w:ascii="Times New Roman" w:hAnsi="Times New Roman" w:eastAsia="宋体" w:cs="Times New Roman"/>
                <w:b w:val="0"/>
                <w:bCs/>
                <w:color w:val="000000"/>
                <w:kern w:val="0"/>
                <w:sz w:val="24"/>
                <w:szCs w:val="24"/>
                <w:highlight w:val="none"/>
                <w:lang w:val="en-US" w:eastAsia="zh-CN"/>
              </w:rPr>
              <w:t>单台施工机械噪声随距离的衰减计算公式如下：</w:t>
            </w:r>
          </w:p>
          <w:p w14:paraId="01265E2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val="0"/>
                <w:bCs/>
                <w:color w:val="000000"/>
                <w:kern w:val="0"/>
                <w:sz w:val="24"/>
                <w:szCs w:val="24"/>
                <w:highlight w:val="none"/>
                <w:lang w:val="en-US" w:eastAsia="zh-CN"/>
              </w:rPr>
            </w:pPr>
            <w:r>
              <w:rPr>
                <w:color w:val="000000"/>
              </w:rPr>
              <w:drawing>
                <wp:inline distT="0" distB="0" distL="114300" distR="114300">
                  <wp:extent cx="1663700" cy="299720"/>
                  <wp:effectExtent l="0" t="0" r="12700"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3"/>
                          <a:stretch>
                            <a:fillRect/>
                          </a:stretch>
                        </pic:blipFill>
                        <pic:spPr>
                          <a:xfrm>
                            <a:off x="0" y="0"/>
                            <a:ext cx="1663700" cy="299720"/>
                          </a:xfrm>
                          <a:prstGeom prst="rect">
                            <a:avLst/>
                          </a:prstGeom>
                          <a:noFill/>
                          <a:ln>
                            <a:noFill/>
                          </a:ln>
                        </pic:spPr>
                      </pic:pic>
                    </a:graphicData>
                  </a:graphic>
                </wp:inline>
              </w:drawing>
            </w:r>
          </w:p>
          <w:p w14:paraId="0AD29F4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color w:val="000000"/>
                <w:kern w:val="0"/>
                <w:sz w:val="24"/>
                <w:szCs w:val="24"/>
                <w:highlight w:val="none"/>
                <w:lang w:val="en-US" w:eastAsia="zh-CN"/>
              </w:rPr>
            </w:pPr>
            <w:r>
              <w:rPr>
                <w:rFonts w:hint="eastAsia" w:ascii="Times New Roman" w:hAnsi="Times New Roman" w:eastAsia="宋体" w:cs="Times New Roman"/>
                <w:b w:val="0"/>
                <w:bCs/>
                <w:color w:val="000000"/>
                <w:kern w:val="0"/>
                <w:sz w:val="24"/>
                <w:szCs w:val="24"/>
                <w:highlight w:val="none"/>
                <w:lang w:val="en-US" w:eastAsia="zh-CN"/>
              </w:rPr>
              <w:t>式中：</w:t>
            </w:r>
            <w:r>
              <w:rPr>
                <w:rFonts w:hint="eastAsia" w:ascii="Times New Roman" w:hAnsi="Times New Roman" w:eastAsia="宋体" w:cs="Times New Roman"/>
                <w:b w:val="0"/>
                <w:bCs/>
                <w:i/>
                <w:iCs/>
                <w:color w:val="000000"/>
                <w:kern w:val="0"/>
                <w:sz w:val="24"/>
                <w:szCs w:val="24"/>
                <w:highlight w:val="none"/>
                <w:lang w:val="en-US" w:eastAsia="zh-CN"/>
              </w:rPr>
              <w:t>L</w:t>
            </w:r>
            <w:r>
              <w:rPr>
                <w:rFonts w:hint="eastAsia" w:ascii="Times New Roman" w:hAnsi="Times New Roman" w:eastAsia="宋体" w:cs="Times New Roman"/>
                <w:b w:val="0"/>
                <w:bCs/>
                <w:i/>
                <w:iCs/>
                <w:color w:val="000000"/>
                <w:kern w:val="0"/>
                <w:sz w:val="24"/>
                <w:szCs w:val="24"/>
                <w:highlight w:val="none"/>
                <w:vertAlign w:val="subscript"/>
                <w:lang w:val="en-US" w:eastAsia="zh-CN"/>
              </w:rPr>
              <w:t>A</w:t>
            </w:r>
            <w:r>
              <w:rPr>
                <w:rFonts w:hint="eastAsia" w:ascii="Times New Roman" w:hAnsi="Times New Roman" w:eastAsia="宋体" w:cs="Times New Roman"/>
                <w:b w:val="0"/>
                <w:bCs/>
                <w:i/>
                <w:iCs/>
                <w:color w:val="000000"/>
                <w:kern w:val="0"/>
                <w:sz w:val="24"/>
                <w:szCs w:val="24"/>
                <w:highlight w:val="none"/>
                <w:lang w:val="en-US" w:eastAsia="zh-CN"/>
              </w:rPr>
              <w:t>(r)</w:t>
            </w:r>
            <w:r>
              <w:rPr>
                <w:rFonts w:hint="eastAsia" w:ascii="Times New Roman" w:hAnsi="Times New Roman" w:eastAsia="宋体" w:cs="Times New Roman"/>
                <w:b w:val="0"/>
                <w:bCs/>
                <w:color w:val="000000"/>
                <w:kern w:val="0"/>
                <w:sz w:val="24"/>
                <w:szCs w:val="24"/>
                <w:highlight w:val="none"/>
                <w:lang w:val="en-US" w:eastAsia="zh-CN"/>
              </w:rPr>
              <w:t>——预测点的噪声值；</w:t>
            </w:r>
          </w:p>
          <w:p w14:paraId="17D6C926">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eastAsia" w:ascii="Times New Roman" w:hAnsi="Times New Roman" w:eastAsia="宋体" w:cs="Times New Roman"/>
                <w:b w:val="0"/>
                <w:bCs/>
                <w:color w:val="000000"/>
                <w:kern w:val="0"/>
                <w:sz w:val="24"/>
                <w:szCs w:val="24"/>
                <w:highlight w:val="none"/>
                <w:lang w:val="en-US" w:eastAsia="zh-CN"/>
              </w:rPr>
            </w:pPr>
            <w:r>
              <w:rPr>
                <w:rFonts w:hint="eastAsia" w:ascii="Times New Roman" w:hAnsi="Times New Roman" w:eastAsia="宋体" w:cs="Times New Roman"/>
                <w:b w:val="0"/>
                <w:bCs/>
                <w:i/>
                <w:iCs/>
                <w:color w:val="000000"/>
                <w:kern w:val="0"/>
                <w:sz w:val="24"/>
                <w:szCs w:val="24"/>
                <w:highlight w:val="none"/>
                <w:lang w:val="en-US" w:eastAsia="zh-CN"/>
              </w:rPr>
              <w:t>L</w:t>
            </w:r>
            <w:r>
              <w:rPr>
                <w:rFonts w:hint="eastAsia" w:ascii="Times New Roman" w:hAnsi="Times New Roman" w:eastAsia="宋体" w:cs="Times New Roman"/>
                <w:b w:val="0"/>
                <w:bCs/>
                <w:i/>
                <w:iCs/>
                <w:color w:val="000000"/>
                <w:kern w:val="0"/>
                <w:sz w:val="24"/>
                <w:szCs w:val="24"/>
                <w:highlight w:val="none"/>
                <w:vertAlign w:val="subscript"/>
                <w:lang w:val="en-US" w:eastAsia="zh-CN"/>
              </w:rPr>
              <w:t>A</w:t>
            </w:r>
            <w:r>
              <w:rPr>
                <w:rFonts w:hint="eastAsia" w:ascii="Times New Roman" w:hAnsi="Times New Roman" w:eastAsia="宋体" w:cs="Times New Roman"/>
                <w:b w:val="0"/>
                <w:bCs/>
                <w:i/>
                <w:iCs/>
                <w:color w:val="000000"/>
                <w:kern w:val="0"/>
                <w:sz w:val="24"/>
                <w:szCs w:val="24"/>
                <w:highlight w:val="none"/>
                <w:lang w:val="en-US" w:eastAsia="zh-CN"/>
              </w:rPr>
              <w:t>(r</w:t>
            </w:r>
            <w:r>
              <w:rPr>
                <w:rFonts w:hint="eastAsia" w:ascii="Times New Roman" w:hAnsi="Times New Roman" w:eastAsia="宋体" w:cs="Times New Roman"/>
                <w:b w:val="0"/>
                <w:bCs/>
                <w:i/>
                <w:iCs/>
                <w:color w:val="000000"/>
                <w:kern w:val="0"/>
                <w:sz w:val="24"/>
                <w:szCs w:val="24"/>
                <w:highlight w:val="none"/>
                <w:vertAlign w:val="subscript"/>
                <w:lang w:val="en-US" w:eastAsia="zh-CN"/>
              </w:rPr>
              <w:t>0</w:t>
            </w:r>
            <w:r>
              <w:rPr>
                <w:rFonts w:hint="eastAsia" w:ascii="Times New Roman" w:hAnsi="Times New Roman" w:eastAsia="宋体" w:cs="Times New Roman"/>
                <w:b w:val="0"/>
                <w:bCs/>
                <w:i/>
                <w:iCs/>
                <w:color w:val="000000"/>
                <w:kern w:val="0"/>
                <w:sz w:val="24"/>
                <w:szCs w:val="24"/>
                <w:highlight w:val="none"/>
                <w:lang w:val="en-US" w:eastAsia="zh-CN"/>
              </w:rPr>
              <w:t>)</w:t>
            </w:r>
            <w:r>
              <w:rPr>
                <w:rFonts w:hint="eastAsia" w:ascii="Times New Roman" w:hAnsi="Times New Roman" w:eastAsia="宋体" w:cs="Times New Roman"/>
                <w:b w:val="0"/>
                <w:bCs/>
                <w:color w:val="000000"/>
                <w:kern w:val="0"/>
                <w:sz w:val="24"/>
                <w:szCs w:val="24"/>
                <w:highlight w:val="none"/>
                <w:lang w:val="en-US" w:eastAsia="zh-CN"/>
              </w:rPr>
              <w:t>——参照点的噪声值；</w:t>
            </w:r>
          </w:p>
          <w:p w14:paraId="482734F1">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eastAsia" w:ascii="Times New Roman" w:hAnsi="Times New Roman" w:eastAsia="宋体" w:cs="Times New Roman"/>
                <w:b w:val="0"/>
                <w:bCs/>
                <w:color w:val="000000"/>
                <w:kern w:val="0"/>
                <w:sz w:val="24"/>
                <w:szCs w:val="24"/>
                <w:highlight w:val="none"/>
                <w:lang w:val="en-US" w:eastAsia="zh-CN"/>
              </w:rPr>
            </w:pPr>
            <w:r>
              <w:rPr>
                <w:rFonts w:hint="eastAsia" w:ascii="Times New Roman" w:hAnsi="Times New Roman" w:eastAsia="宋体" w:cs="Times New Roman"/>
                <w:b w:val="0"/>
                <w:bCs/>
                <w:i/>
                <w:iCs/>
                <w:color w:val="000000"/>
                <w:kern w:val="0"/>
                <w:sz w:val="24"/>
                <w:szCs w:val="24"/>
                <w:highlight w:val="none"/>
                <w:lang w:val="en-US" w:eastAsia="zh-CN"/>
              </w:rPr>
              <w:t>r</w:t>
            </w:r>
            <w:r>
              <w:rPr>
                <w:rFonts w:hint="eastAsia" w:ascii="Times New Roman" w:hAnsi="Times New Roman" w:eastAsia="宋体" w:cs="Times New Roman"/>
                <w:b w:val="0"/>
                <w:bCs/>
                <w:color w:val="000000"/>
                <w:kern w:val="0"/>
                <w:sz w:val="24"/>
                <w:szCs w:val="24"/>
                <w:highlight w:val="none"/>
                <w:lang w:val="en-US" w:eastAsia="zh-CN"/>
              </w:rPr>
              <w:t>、</w:t>
            </w:r>
            <w:r>
              <w:rPr>
                <w:rFonts w:hint="eastAsia" w:ascii="Times New Roman" w:hAnsi="Times New Roman" w:eastAsia="宋体" w:cs="Times New Roman"/>
                <w:b w:val="0"/>
                <w:bCs/>
                <w:i/>
                <w:iCs/>
                <w:color w:val="000000"/>
                <w:kern w:val="0"/>
                <w:sz w:val="24"/>
                <w:szCs w:val="24"/>
                <w:highlight w:val="none"/>
                <w:lang w:val="en-US" w:eastAsia="zh-CN"/>
              </w:rPr>
              <w:t>r</w:t>
            </w:r>
            <w:r>
              <w:rPr>
                <w:rFonts w:hint="eastAsia" w:ascii="Times New Roman" w:hAnsi="Times New Roman" w:eastAsia="宋体" w:cs="Times New Roman"/>
                <w:b w:val="0"/>
                <w:bCs/>
                <w:i/>
                <w:iCs/>
                <w:color w:val="000000"/>
                <w:kern w:val="0"/>
                <w:sz w:val="24"/>
                <w:szCs w:val="24"/>
                <w:highlight w:val="none"/>
                <w:vertAlign w:val="subscript"/>
                <w:lang w:val="en-US" w:eastAsia="zh-CN"/>
              </w:rPr>
              <w:t>0</w:t>
            </w:r>
            <w:r>
              <w:rPr>
                <w:rFonts w:hint="eastAsia" w:ascii="Times New Roman" w:hAnsi="Times New Roman" w:eastAsia="宋体" w:cs="Times New Roman"/>
                <w:b w:val="0"/>
                <w:bCs/>
                <w:color w:val="000000"/>
                <w:kern w:val="0"/>
                <w:sz w:val="24"/>
                <w:szCs w:val="24"/>
                <w:highlight w:val="none"/>
                <w:lang w:val="en-US" w:eastAsia="zh-CN"/>
              </w:rPr>
              <w:t>——预测点、参照点到噪声源处的距离。</w:t>
            </w:r>
          </w:p>
          <w:p w14:paraId="7A157574">
            <w:pPr>
              <w:keepNext w:val="0"/>
              <w:keepLines w:val="0"/>
              <w:pageBreakBefore w:val="0"/>
              <w:widowControl w:val="0"/>
              <w:suppressLineNumbers w:val="0"/>
              <w:kinsoku/>
              <w:wordWrap/>
              <w:overflowPunct/>
              <w:topLinePunct w:val="0"/>
              <w:autoSpaceDE/>
              <w:autoSpaceDN/>
              <w:bidi w:val="0"/>
              <w:adjustRightInd/>
              <w:snapToGrid/>
              <w:spacing w:before="157" w:beforeLines="50"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本项目施工区各类施工机械运行时噪声源强及衰减情况预测结果见表4-2。</w:t>
            </w:r>
          </w:p>
          <w:p w14:paraId="0464574B">
            <w:pPr>
              <w:spacing w:before="72"/>
              <w:ind w:firstLine="442"/>
              <w:jc w:val="center"/>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表4-2施工机械设备噪声源强及衰减值预测结果表   单位：dB(A)</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7"/>
              <w:gridCol w:w="712"/>
              <w:gridCol w:w="712"/>
              <w:gridCol w:w="712"/>
              <w:gridCol w:w="712"/>
              <w:gridCol w:w="712"/>
              <w:gridCol w:w="712"/>
              <w:gridCol w:w="713"/>
              <w:gridCol w:w="713"/>
              <w:gridCol w:w="717"/>
            </w:tblGrid>
            <w:tr w14:paraId="4D45F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20" w:type="pct"/>
                  <w:vMerge w:val="restart"/>
                  <w:vAlign w:val="center"/>
                </w:tcPr>
                <w:p w14:paraId="7279DFC4">
                  <w:pPr>
                    <w:ind w:left="0" w:leftChars="0" w:firstLine="0" w:firstLineChars="0"/>
                    <w:jc w:val="center"/>
                    <w:rPr>
                      <w:rFonts w:hint="eastAsia" w:ascii="Times New Roman" w:hAnsi="Times New Roman"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噪声源</w:t>
                  </w:r>
                </w:p>
              </w:tc>
              <w:tc>
                <w:tcPr>
                  <w:tcW w:w="4079" w:type="pct"/>
                  <w:gridSpan w:val="9"/>
                  <w:vAlign w:val="center"/>
                </w:tcPr>
                <w:p w14:paraId="22D0909A">
                  <w:pPr>
                    <w:ind w:left="0" w:leftChars="0" w:firstLine="0" w:firstLineChars="0"/>
                    <w:jc w:val="center"/>
                    <w:rPr>
                      <w:rFonts w:ascii="Times New Roman" w:hAnsi="Times New Roman" w:eastAsia="Times New Roman" w:cs="Times New Roman"/>
                      <w:b w:val="0"/>
                      <w:bCs w:val="0"/>
                      <w:color w:val="000000" w:themeColor="text1"/>
                      <w:spacing w:val="-2"/>
                      <w:sz w:val="21"/>
                      <w:szCs w:val="21"/>
                      <w:vertAlign w:val="baseline"/>
                      <w14:textFill>
                        <w14:solidFill>
                          <w14:schemeClr w14:val="tx1"/>
                        </w14:solidFill>
                      </w14:textFill>
                    </w:rPr>
                  </w:pPr>
                  <w:r>
                    <w:rPr>
                      <w:color w:val="000000" w:themeColor="text1"/>
                      <w:spacing w:val="8"/>
                      <w:sz w:val="21"/>
                      <w:szCs w:val="21"/>
                      <w14:textFill>
                        <w14:solidFill>
                          <w14:schemeClr w14:val="tx1"/>
                        </w14:solidFill>
                      </w14:textFill>
                    </w:rPr>
                    <w:t>至不同距离噪声值</w:t>
                  </w:r>
                </w:p>
              </w:tc>
            </w:tr>
            <w:tr w14:paraId="43925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pct"/>
                  <w:vMerge w:val="continue"/>
                  <w:vAlign w:val="center"/>
                </w:tcPr>
                <w:p w14:paraId="7E995B3E">
                  <w:pPr>
                    <w:jc w:val="center"/>
                    <w:rPr>
                      <w:rFonts w:ascii="Times New Roman" w:hAnsi="Times New Roman" w:eastAsia="Times New Roman" w:cs="Times New Roman"/>
                      <w:b w:val="0"/>
                      <w:bCs w:val="0"/>
                      <w:color w:val="000000" w:themeColor="text1"/>
                      <w:spacing w:val="-2"/>
                      <w:sz w:val="21"/>
                      <w:szCs w:val="21"/>
                      <w:vertAlign w:val="baseline"/>
                      <w14:textFill>
                        <w14:solidFill>
                          <w14:schemeClr w14:val="tx1"/>
                        </w14:solidFill>
                      </w14:textFill>
                    </w:rPr>
                  </w:pPr>
                </w:p>
              </w:tc>
              <w:tc>
                <w:tcPr>
                  <w:tcW w:w="452" w:type="pct"/>
                  <w:vAlign w:val="center"/>
                </w:tcPr>
                <w:p w14:paraId="11D0FD15">
                  <w:pPr>
                    <w:ind w:left="0" w:leftChars="0" w:firstLine="0" w:firstLineChars="0"/>
                    <w:jc w:val="center"/>
                    <w:rPr>
                      <w:rFonts w:hint="default" w:ascii="Times New Roman" w:hAnsi="Times New Roman"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10m</w:t>
                  </w:r>
                </w:p>
              </w:tc>
              <w:tc>
                <w:tcPr>
                  <w:tcW w:w="452" w:type="pct"/>
                  <w:vAlign w:val="center"/>
                </w:tcPr>
                <w:p w14:paraId="37A7A169">
                  <w:pPr>
                    <w:ind w:left="0" w:leftChars="0" w:firstLine="0" w:firstLineChars="0"/>
                    <w:jc w:val="center"/>
                    <w:rPr>
                      <w:rFonts w:hint="default" w:ascii="Times New Roman" w:hAnsi="Times New Roman"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20m</w:t>
                  </w:r>
                </w:p>
              </w:tc>
              <w:tc>
                <w:tcPr>
                  <w:tcW w:w="452" w:type="pct"/>
                  <w:vAlign w:val="center"/>
                </w:tcPr>
                <w:p w14:paraId="76F38BA7">
                  <w:pPr>
                    <w:ind w:left="0" w:leftChars="0" w:firstLine="0" w:firstLineChars="0"/>
                    <w:jc w:val="center"/>
                    <w:rPr>
                      <w:rFonts w:hint="default" w:ascii="Times New Roman" w:hAnsi="Times New Roman"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30m</w:t>
                  </w:r>
                </w:p>
              </w:tc>
              <w:tc>
                <w:tcPr>
                  <w:tcW w:w="452" w:type="pct"/>
                  <w:vAlign w:val="center"/>
                </w:tcPr>
                <w:p w14:paraId="3E8E3DA9">
                  <w:pPr>
                    <w:ind w:left="0" w:leftChars="0" w:firstLine="0" w:firstLineChars="0"/>
                    <w:jc w:val="center"/>
                    <w:rPr>
                      <w:rFonts w:hint="default" w:ascii="Times New Roman" w:hAnsi="Times New Roman"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40m</w:t>
                  </w:r>
                </w:p>
              </w:tc>
              <w:tc>
                <w:tcPr>
                  <w:tcW w:w="452" w:type="pct"/>
                  <w:vAlign w:val="center"/>
                </w:tcPr>
                <w:p w14:paraId="6CA31047">
                  <w:pPr>
                    <w:ind w:left="0" w:leftChars="0" w:firstLine="0" w:firstLineChars="0"/>
                    <w:jc w:val="center"/>
                    <w:rPr>
                      <w:rFonts w:hint="default" w:ascii="Times New Roman" w:hAnsi="Times New Roman"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50m</w:t>
                  </w:r>
                </w:p>
              </w:tc>
              <w:tc>
                <w:tcPr>
                  <w:tcW w:w="452" w:type="pct"/>
                  <w:vAlign w:val="center"/>
                </w:tcPr>
                <w:p w14:paraId="409438BA">
                  <w:pPr>
                    <w:ind w:left="0" w:leftChars="0" w:firstLine="0" w:firstLineChars="0"/>
                    <w:jc w:val="center"/>
                    <w:rPr>
                      <w:rFonts w:hint="default" w:ascii="Times New Roman" w:hAnsi="Times New Roman"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60m</w:t>
                  </w:r>
                </w:p>
              </w:tc>
              <w:tc>
                <w:tcPr>
                  <w:tcW w:w="453" w:type="pct"/>
                  <w:vAlign w:val="center"/>
                </w:tcPr>
                <w:p w14:paraId="67F66346">
                  <w:pPr>
                    <w:ind w:left="0" w:leftChars="0" w:firstLine="0" w:firstLineChars="0"/>
                    <w:jc w:val="center"/>
                    <w:rPr>
                      <w:rFonts w:hint="default" w:ascii="Times New Roman" w:hAnsi="Times New Roman"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70m</w:t>
                  </w:r>
                </w:p>
              </w:tc>
              <w:tc>
                <w:tcPr>
                  <w:tcW w:w="453" w:type="pct"/>
                  <w:vAlign w:val="center"/>
                </w:tcPr>
                <w:p w14:paraId="6A8AB01E">
                  <w:pPr>
                    <w:ind w:left="0" w:leftChars="0" w:firstLine="0" w:firstLineChars="0"/>
                    <w:jc w:val="center"/>
                    <w:rPr>
                      <w:rFonts w:hint="default" w:ascii="Times New Roman" w:hAnsi="Times New Roman"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80m</w:t>
                  </w:r>
                </w:p>
              </w:tc>
              <w:tc>
                <w:tcPr>
                  <w:tcW w:w="455" w:type="pct"/>
                  <w:vAlign w:val="center"/>
                </w:tcPr>
                <w:p w14:paraId="45309057">
                  <w:pPr>
                    <w:ind w:left="0" w:leftChars="0" w:firstLine="0" w:firstLineChars="0"/>
                    <w:jc w:val="center"/>
                    <w:rPr>
                      <w:rFonts w:hint="default" w:ascii="Times New Roman" w:hAnsi="Times New Roman"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90m</w:t>
                  </w:r>
                </w:p>
              </w:tc>
            </w:tr>
            <w:tr w14:paraId="4F717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pct"/>
                  <w:vAlign w:val="center"/>
                </w:tcPr>
                <w:p w14:paraId="4E9D0251">
                  <w:pPr>
                    <w:ind w:left="0" w:leftChars="0" w:firstLine="0" w:firstLineChars="0"/>
                    <w:jc w:val="center"/>
                    <w:rPr>
                      <w:rFonts w:hint="default" w:ascii="Times New Roman" w:hAnsi="Times New Roman"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推土机</w:t>
                  </w:r>
                </w:p>
              </w:tc>
              <w:tc>
                <w:tcPr>
                  <w:tcW w:w="452" w:type="pct"/>
                  <w:vAlign w:val="center"/>
                </w:tcPr>
                <w:p w14:paraId="23AFE001">
                  <w:pPr>
                    <w:ind w:left="0" w:leftChars="0" w:firstLine="0" w:firstLineChars="0"/>
                    <w:jc w:val="center"/>
                    <w:rPr>
                      <w:rFonts w:hint="default" w:ascii="Times New Roman" w:hAnsi="Times New Roman"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80</w:t>
                  </w:r>
                </w:p>
              </w:tc>
              <w:tc>
                <w:tcPr>
                  <w:tcW w:w="452" w:type="pct"/>
                  <w:vAlign w:val="center"/>
                </w:tcPr>
                <w:p w14:paraId="72920630">
                  <w:pPr>
                    <w:ind w:left="0" w:leftChars="0" w:firstLine="0" w:firstLineChars="0"/>
                    <w:jc w:val="center"/>
                    <w:rPr>
                      <w:rFonts w:hint="default" w:ascii="Times New Roman" w:hAnsi="Times New Roman"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74</w:t>
                  </w:r>
                </w:p>
              </w:tc>
              <w:tc>
                <w:tcPr>
                  <w:tcW w:w="452" w:type="pct"/>
                  <w:vAlign w:val="center"/>
                </w:tcPr>
                <w:p w14:paraId="5B41CD7F">
                  <w:pPr>
                    <w:ind w:left="0" w:leftChars="0" w:firstLine="0" w:firstLineChars="0"/>
                    <w:jc w:val="center"/>
                    <w:rPr>
                      <w:rFonts w:hint="default" w:ascii="Times New Roman" w:hAnsi="Times New Roman"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70</w:t>
                  </w:r>
                </w:p>
              </w:tc>
              <w:tc>
                <w:tcPr>
                  <w:tcW w:w="452" w:type="pct"/>
                  <w:vAlign w:val="center"/>
                </w:tcPr>
                <w:p w14:paraId="5F2932CE">
                  <w:pPr>
                    <w:ind w:left="0" w:leftChars="0" w:firstLine="0" w:firstLineChars="0"/>
                    <w:jc w:val="center"/>
                    <w:rPr>
                      <w:rFonts w:hint="default" w:ascii="Times New Roman" w:hAnsi="Times New Roman"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68</w:t>
                  </w:r>
                </w:p>
              </w:tc>
              <w:tc>
                <w:tcPr>
                  <w:tcW w:w="452" w:type="pct"/>
                  <w:vAlign w:val="center"/>
                </w:tcPr>
                <w:p w14:paraId="194ACFA8">
                  <w:pPr>
                    <w:ind w:left="0" w:leftChars="0" w:firstLine="0" w:firstLineChars="0"/>
                    <w:jc w:val="center"/>
                    <w:rPr>
                      <w:rFonts w:hint="default" w:ascii="Times New Roman" w:hAnsi="Times New Roman"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66</w:t>
                  </w:r>
                </w:p>
              </w:tc>
              <w:tc>
                <w:tcPr>
                  <w:tcW w:w="452" w:type="pct"/>
                  <w:vAlign w:val="center"/>
                </w:tcPr>
                <w:p w14:paraId="1FE47F6E">
                  <w:pPr>
                    <w:ind w:left="0" w:leftChars="0" w:firstLine="0" w:firstLineChars="0"/>
                    <w:jc w:val="center"/>
                    <w:rPr>
                      <w:rFonts w:hint="default" w:ascii="Times New Roman" w:hAnsi="Times New Roman"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64</w:t>
                  </w:r>
                </w:p>
              </w:tc>
              <w:tc>
                <w:tcPr>
                  <w:tcW w:w="453" w:type="pct"/>
                  <w:vAlign w:val="center"/>
                </w:tcPr>
                <w:p w14:paraId="1A3506C6">
                  <w:pPr>
                    <w:ind w:left="0" w:leftChars="0" w:firstLine="0" w:firstLineChars="0"/>
                    <w:jc w:val="center"/>
                    <w:rPr>
                      <w:rFonts w:hint="default" w:ascii="Times New Roman" w:hAnsi="Times New Roman"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63</w:t>
                  </w:r>
                </w:p>
              </w:tc>
              <w:tc>
                <w:tcPr>
                  <w:tcW w:w="453" w:type="pct"/>
                  <w:vAlign w:val="center"/>
                </w:tcPr>
                <w:p w14:paraId="053DD54D">
                  <w:pPr>
                    <w:ind w:left="0" w:leftChars="0" w:firstLine="0" w:firstLineChars="0"/>
                    <w:jc w:val="center"/>
                    <w:rPr>
                      <w:rFonts w:hint="default" w:ascii="Times New Roman" w:hAnsi="Times New Roman"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62</w:t>
                  </w:r>
                </w:p>
              </w:tc>
              <w:tc>
                <w:tcPr>
                  <w:tcW w:w="455" w:type="pct"/>
                  <w:vAlign w:val="center"/>
                </w:tcPr>
                <w:p w14:paraId="240F1F9B">
                  <w:pPr>
                    <w:ind w:left="0" w:leftChars="0" w:firstLine="0" w:firstLineChars="0"/>
                    <w:jc w:val="center"/>
                    <w:rPr>
                      <w:rFonts w:hint="default" w:ascii="Times New Roman" w:hAnsi="Times New Roman"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61</w:t>
                  </w:r>
                </w:p>
              </w:tc>
            </w:tr>
            <w:tr w14:paraId="4B075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pct"/>
                  <w:vAlign w:val="center"/>
                </w:tcPr>
                <w:p w14:paraId="2CC94472">
                  <w:pPr>
                    <w:ind w:left="0" w:leftChars="0" w:firstLine="0" w:firstLineChars="0"/>
                    <w:jc w:val="center"/>
                    <w:rPr>
                      <w:rFonts w:hint="eastAsia" w:ascii="Times New Roman" w:hAnsi="Times New Roman"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挖掘机</w:t>
                  </w:r>
                </w:p>
              </w:tc>
              <w:tc>
                <w:tcPr>
                  <w:tcW w:w="452" w:type="pct"/>
                  <w:vAlign w:val="center"/>
                </w:tcPr>
                <w:p w14:paraId="5D774FBB">
                  <w:pPr>
                    <w:ind w:left="0" w:leftChars="0" w:firstLine="0" w:firstLineChars="0"/>
                    <w:jc w:val="center"/>
                    <w:rPr>
                      <w:rFonts w:hint="default" w:ascii="Times New Roman" w:hAnsi="Times New Roman"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78</w:t>
                  </w:r>
                </w:p>
              </w:tc>
              <w:tc>
                <w:tcPr>
                  <w:tcW w:w="452" w:type="pct"/>
                  <w:vAlign w:val="center"/>
                </w:tcPr>
                <w:p w14:paraId="64DFC529">
                  <w:pPr>
                    <w:ind w:left="0" w:leftChars="0" w:firstLine="0" w:firstLineChars="0"/>
                    <w:jc w:val="center"/>
                    <w:rPr>
                      <w:rFonts w:hint="default" w:ascii="Times New Roman" w:hAnsi="Times New Roman"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72</w:t>
                  </w:r>
                </w:p>
              </w:tc>
              <w:tc>
                <w:tcPr>
                  <w:tcW w:w="452" w:type="pct"/>
                  <w:vAlign w:val="center"/>
                </w:tcPr>
                <w:p w14:paraId="7199B287">
                  <w:pPr>
                    <w:ind w:left="0" w:leftChars="0" w:firstLine="0" w:firstLineChars="0"/>
                    <w:jc w:val="center"/>
                    <w:rPr>
                      <w:rFonts w:hint="default" w:ascii="Times New Roman" w:hAnsi="Times New Roman"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68</w:t>
                  </w:r>
                </w:p>
              </w:tc>
              <w:tc>
                <w:tcPr>
                  <w:tcW w:w="452" w:type="pct"/>
                  <w:vAlign w:val="center"/>
                </w:tcPr>
                <w:p w14:paraId="1078BA26">
                  <w:pPr>
                    <w:ind w:left="0" w:leftChars="0" w:firstLine="0" w:firstLineChars="0"/>
                    <w:jc w:val="center"/>
                    <w:rPr>
                      <w:rFonts w:hint="default" w:ascii="Times New Roman" w:hAnsi="Times New Roman"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66</w:t>
                  </w:r>
                </w:p>
              </w:tc>
              <w:tc>
                <w:tcPr>
                  <w:tcW w:w="452" w:type="pct"/>
                  <w:vAlign w:val="center"/>
                </w:tcPr>
                <w:p w14:paraId="13994545">
                  <w:pPr>
                    <w:ind w:left="0" w:leftChars="0" w:firstLine="0" w:firstLineChars="0"/>
                    <w:jc w:val="center"/>
                    <w:rPr>
                      <w:rFonts w:hint="default" w:ascii="Times New Roman" w:hAnsi="Times New Roman"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64</w:t>
                  </w:r>
                </w:p>
              </w:tc>
              <w:tc>
                <w:tcPr>
                  <w:tcW w:w="452" w:type="pct"/>
                  <w:vAlign w:val="center"/>
                </w:tcPr>
                <w:p w14:paraId="5F168CD9">
                  <w:pPr>
                    <w:ind w:left="0" w:leftChars="0" w:firstLine="0" w:firstLineChars="0"/>
                    <w:jc w:val="center"/>
                    <w:rPr>
                      <w:rFonts w:hint="default" w:ascii="Times New Roman" w:hAnsi="Times New Roman"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62</w:t>
                  </w:r>
                </w:p>
              </w:tc>
              <w:tc>
                <w:tcPr>
                  <w:tcW w:w="453" w:type="pct"/>
                  <w:vAlign w:val="center"/>
                </w:tcPr>
                <w:p w14:paraId="5FD4B0A9">
                  <w:pPr>
                    <w:ind w:left="0" w:leftChars="0" w:firstLine="0" w:firstLineChars="0"/>
                    <w:jc w:val="center"/>
                    <w:rPr>
                      <w:rFonts w:hint="default" w:ascii="Times New Roman" w:hAnsi="Times New Roman"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61</w:t>
                  </w:r>
                </w:p>
              </w:tc>
              <w:tc>
                <w:tcPr>
                  <w:tcW w:w="453" w:type="pct"/>
                  <w:vAlign w:val="center"/>
                </w:tcPr>
                <w:p w14:paraId="06F6AE8C">
                  <w:pPr>
                    <w:ind w:left="0" w:leftChars="0" w:firstLine="0" w:firstLineChars="0"/>
                    <w:jc w:val="center"/>
                    <w:rPr>
                      <w:rFonts w:hint="default" w:ascii="Times New Roman" w:hAnsi="Times New Roman"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60</w:t>
                  </w:r>
                </w:p>
              </w:tc>
              <w:tc>
                <w:tcPr>
                  <w:tcW w:w="455" w:type="pct"/>
                  <w:vAlign w:val="center"/>
                </w:tcPr>
                <w:p w14:paraId="29058409">
                  <w:pPr>
                    <w:ind w:left="0" w:leftChars="0" w:firstLine="0" w:firstLineChars="0"/>
                    <w:jc w:val="center"/>
                    <w:rPr>
                      <w:rFonts w:hint="default" w:ascii="Times New Roman" w:hAnsi="Times New Roman"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59</w:t>
                  </w:r>
                </w:p>
              </w:tc>
            </w:tr>
            <w:tr w14:paraId="4DE98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pct"/>
                  <w:vAlign w:val="center"/>
                </w:tcPr>
                <w:p w14:paraId="45DEE47B">
                  <w:pPr>
                    <w:ind w:left="0" w:leftChars="0" w:firstLine="0" w:firstLineChars="0"/>
                    <w:jc w:val="center"/>
                    <w:rPr>
                      <w:rFonts w:ascii="Times New Roman" w:hAnsi="Times New Roman" w:eastAsia="Times New Roman" w:cs="Times New Roman"/>
                      <w:b w:val="0"/>
                      <w:bCs w:val="0"/>
                      <w:color w:val="000000" w:themeColor="text1"/>
                      <w:spacing w:val="-2"/>
                      <w:sz w:val="21"/>
                      <w:szCs w:val="21"/>
                      <w:vertAlign w:val="baseline"/>
                      <w14:textFill>
                        <w14:solidFill>
                          <w14:schemeClr w14:val="tx1"/>
                        </w14:solidFill>
                      </w14:textFill>
                    </w:rPr>
                  </w:pPr>
                  <w:r>
                    <w:rPr>
                      <w:rFonts w:ascii="Times New Roman" w:hAnsi="Times New Roman" w:eastAsia="宋体"/>
                      <w:color w:val="000000" w:themeColor="text1"/>
                      <w:spacing w:val="6"/>
                      <w:sz w:val="21"/>
                      <w:szCs w:val="21"/>
                      <w14:textFill>
                        <w14:solidFill>
                          <w14:schemeClr w14:val="tx1"/>
                        </w14:solidFill>
                      </w14:textFill>
                    </w:rPr>
                    <w:t>装载机</w:t>
                  </w:r>
                </w:p>
              </w:tc>
              <w:tc>
                <w:tcPr>
                  <w:tcW w:w="452" w:type="pct"/>
                  <w:vAlign w:val="center"/>
                </w:tcPr>
                <w:p w14:paraId="3E34B25C">
                  <w:pPr>
                    <w:ind w:left="0" w:leftChars="0" w:firstLine="0" w:firstLineChars="0"/>
                    <w:jc w:val="center"/>
                    <w:rPr>
                      <w:rFonts w:hint="default" w:ascii="Times New Roman" w:hAnsi="Times New Roman"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84</w:t>
                  </w:r>
                </w:p>
              </w:tc>
              <w:tc>
                <w:tcPr>
                  <w:tcW w:w="452" w:type="pct"/>
                  <w:vAlign w:val="center"/>
                </w:tcPr>
                <w:p w14:paraId="3A79623F">
                  <w:pPr>
                    <w:ind w:left="0" w:leftChars="0" w:firstLine="0" w:firstLineChars="0"/>
                    <w:jc w:val="center"/>
                    <w:rPr>
                      <w:rFonts w:hint="default" w:ascii="Times New Roman" w:hAnsi="Times New Roman"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78</w:t>
                  </w:r>
                </w:p>
              </w:tc>
              <w:tc>
                <w:tcPr>
                  <w:tcW w:w="452" w:type="pct"/>
                  <w:vAlign w:val="center"/>
                </w:tcPr>
                <w:p w14:paraId="343A7799">
                  <w:pPr>
                    <w:ind w:left="0" w:leftChars="0" w:firstLine="0" w:firstLineChars="0"/>
                    <w:jc w:val="center"/>
                    <w:rPr>
                      <w:rFonts w:hint="default" w:ascii="Times New Roman" w:hAnsi="Times New Roman"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74</w:t>
                  </w:r>
                </w:p>
              </w:tc>
              <w:tc>
                <w:tcPr>
                  <w:tcW w:w="452" w:type="pct"/>
                  <w:vAlign w:val="center"/>
                </w:tcPr>
                <w:p w14:paraId="6D382F71">
                  <w:pPr>
                    <w:ind w:left="0" w:leftChars="0" w:firstLine="0" w:firstLineChars="0"/>
                    <w:jc w:val="center"/>
                    <w:rPr>
                      <w:rFonts w:hint="default" w:ascii="Times New Roman" w:hAnsi="Times New Roman"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72</w:t>
                  </w:r>
                </w:p>
              </w:tc>
              <w:tc>
                <w:tcPr>
                  <w:tcW w:w="452" w:type="pct"/>
                  <w:vAlign w:val="center"/>
                </w:tcPr>
                <w:p w14:paraId="7B1E5CC4">
                  <w:pPr>
                    <w:ind w:left="0" w:leftChars="0" w:firstLine="0" w:firstLineChars="0"/>
                    <w:jc w:val="center"/>
                    <w:rPr>
                      <w:rFonts w:hint="default" w:ascii="Times New Roman" w:hAnsi="Times New Roman"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70</w:t>
                  </w:r>
                </w:p>
              </w:tc>
              <w:tc>
                <w:tcPr>
                  <w:tcW w:w="452" w:type="pct"/>
                  <w:vAlign w:val="center"/>
                </w:tcPr>
                <w:p w14:paraId="78919A8E">
                  <w:pPr>
                    <w:ind w:left="0" w:leftChars="0" w:firstLine="0" w:firstLineChars="0"/>
                    <w:jc w:val="center"/>
                    <w:rPr>
                      <w:rFonts w:hint="default" w:ascii="Times New Roman" w:hAnsi="Times New Roman"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68</w:t>
                  </w:r>
                </w:p>
              </w:tc>
              <w:tc>
                <w:tcPr>
                  <w:tcW w:w="453" w:type="pct"/>
                  <w:vAlign w:val="center"/>
                </w:tcPr>
                <w:p w14:paraId="5B7DFA6D">
                  <w:pPr>
                    <w:ind w:left="0" w:leftChars="0" w:firstLine="0" w:firstLineChars="0"/>
                    <w:jc w:val="center"/>
                    <w:rPr>
                      <w:rFonts w:hint="default" w:ascii="Times New Roman" w:hAnsi="Times New Roman"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67</w:t>
                  </w:r>
                </w:p>
              </w:tc>
              <w:tc>
                <w:tcPr>
                  <w:tcW w:w="453" w:type="pct"/>
                  <w:vAlign w:val="center"/>
                </w:tcPr>
                <w:p w14:paraId="7AC9F4FD">
                  <w:pPr>
                    <w:ind w:left="0" w:leftChars="0" w:firstLine="0" w:firstLineChars="0"/>
                    <w:jc w:val="center"/>
                    <w:rPr>
                      <w:rFonts w:hint="default" w:ascii="Times New Roman" w:hAnsi="Times New Roman"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66</w:t>
                  </w:r>
                </w:p>
              </w:tc>
              <w:tc>
                <w:tcPr>
                  <w:tcW w:w="455" w:type="pct"/>
                  <w:vAlign w:val="center"/>
                </w:tcPr>
                <w:p w14:paraId="592B62A6">
                  <w:pPr>
                    <w:ind w:left="0" w:leftChars="0" w:firstLine="0" w:firstLineChars="0"/>
                    <w:jc w:val="center"/>
                    <w:rPr>
                      <w:rFonts w:hint="default" w:ascii="Times New Roman" w:hAnsi="Times New Roman"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65</w:t>
                  </w:r>
                </w:p>
              </w:tc>
            </w:tr>
            <w:tr w14:paraId="212E1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pct"/>
                  <w:vAlign w:val="center"/>
                </w:tcPr>
                <w:p w14:paraId="3FD9CD30">
                  <w:pPr>
                    <w:ind w:left="0" w:leftChars="0" w:firstLine="0" w:firstLineChars="0"/>
                    <w:jc w:val="center"/>
                    <w:rPr>
                      <w:rFonts w:ascii="Times New Roman" w:hAnsi="Times New Roman" w:eastAsia="Times New Roman" w:cs="Times New Roman"/>
                      <w:b w:val="0"/>
                      <w:bCs w:val="0"/>
                      <w:color w:val="000000" w:themeColor="text1"/>
                      <w:spacing w:val="-2"/>
                      <w:sz w:val="21"/>
                      <w:szCs w:val="21"/>
                      <w:vertAlign w:val="baseline"/>
                      <w14:textFill>
                        <w14:solidFill>
                          <w14:schemeClr w14:val="tx1"/>
                        </w14:solidFill>
                      </w14:textFill>
                    </w:rPr>
                  </w:pPr>
                  <w:r>
                    <w:rPr>
                      <w:rFonts w:ascii="Times New Roman" w:hAnsi="Times New Roman" w:eastAsia="宋体"/>
                      <w:color w:val="000000" w:themeColor="text1"/>
                      <w:spacing w:val="7"/>
                      <w:sz w:val="21"/>
                      <w:szCs w:val="21"/>
                      <w14:textFill>
                        <w14:solidFill>
                          <w14:schemeClr w14:val="tx1"/>
                        </w14:solidFill>
                      </w14:textFill>
                    </w:rPr>
                    <w:t>蛙式打夯机</w:t>
                  </w:r>
                </w:p>
              </w:tc>
              <w:tc>
                <w:tcPr>
                  <w:tcW w:w="452" w:type="pct"/>
                  <w:vAlign w:val="center"/>
                </w:tcPr>
                <w:p w14:paraId="165AEB7D">
                  <w:pPr>
                    <w:ind w:left="0" w:leftChars="0" w:firstLine="0" w:firstLineChars="0"/>
                    <w:jc w:val="center"/>
                    <w:rPr>
                      <w:rFonts w:hint="default" w:ascii="Times New Roman" w:hAnsi="Times New Roman"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84</w:t>
                  </w:r>
                </w:p>
              </w:tc>
              <w:tc>
                <w:tcPr>
                  <w:tcW w:w="452" w:type="pct"/>
                  <w:vAlign w:val="center"/>
                </w:tcPr>
                <w:p w14:paraId="3E3AA4EF">
                  <w:pPr>
                    <w:ind w:left="0" w:leftChars="0" w:firstLine="0" w:firstLineChars="0"/>
                    <w:jc w:val="center"/>
                    <w:rPr>
                      <w:rFonts w:hint="default" w:ascii="Times New Roman" w:hAnsi="Times New Roman"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78</w:t>
                  </w:r>
                </w:p>
              </w:tc>
              <w:tc>
                <w:tcPr>
                  <w:tcW w:w="452" w:type="pct"/>
                  <w:vAlign w:val="center"/>
                </w:tcPr>
                <w:p w14:paraId="60507C94">
                  <w:pPr>
                    <w:ind w:left="0" w:leftChars="0" w:firstLine="0" w:firstLineChars="0"/>
                    <w:jc w:val="center"/>
                    <w:rPr>
                      <w:rFonts w:hint="default" w:ascii="Times New Roman" w:hAnsi="Times New Roman"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74</w:t>
                  </w:r>
                </w:p>
              </w:tc>
              <w:tc>
                <w:tcPr>
                  <w:tcW w:w="452" w:type="pct"/>
                  <w:vAlign w:val="center"/>
                </w:tcPr>
                <w:p w14:paraId="4C19D0FF">
                  <w:pPr>
                    <w:ind w:left="0" w:leftChars="0" w:firstLine="0" w:firstLineChars="0"/>
                    <w:jc w:val="center"/>
                    <w:rPr>
                      <w:rFonts w:hint="default" w:ascii="Times New Roman" w:hAnsi="Times New Roman"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72</w:t>
                  </w:r>
                </w:p>
              </w:tc>
              <w:tc>
                <w:tcPr>
                  <w:tcW w:w="452" w:type="pct"/>
                  <w:vAlign w:val="center"/>
                </w:tcPr>
                <w:p w14:paraId="6043BE59">
                  <w:pPr>
                    <w:ind w:left="0" w:leftChars="0" w:firstLine="0" w:firstLineChars="0"/>
                    <w:jc w:val="center"/>
                    <w:rPr>
                      <w:rFonts w:hint="default" w:ascii="Times New Roman" w:hAnsi="Times New Roman"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70</w:t>
                  </w:r>
                </w:p>
              </w:tc>
              <w:tc>
                <w:tcPr>
                  <w:tcW w:w="452" w:type="pct"/>
                  <w:vAlign w:val="center"/>
                </w:tcPr>
                <w:p w14:paraId="68047AA5">
                  <w:pPr>
                    <w:ind w:left="0" w:leftChars="0" w:firstLine="0" w:firstLineChars="0"/>
                    <w:jc w:val="center"/>
                    <w:rPr>
                      <w:rFonts w:hint="default" w:ascii="Times New Roman" w:hAnsi="Times New Roman"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68</w:t>
                  </w:r>
                </w:p>
              </w:tc>
              <w:tc>
                <w:tcPr>
                  <w:tcW w:w="453" w:type="pct"/>
                  <w:vAlign w:val="center"/>
                </w:tcPr>
                <w:p w14:paraId="27790FAF">
                  <w:pPr>
                    <w:ind w:left="0" w:leftChars="0" w:firstLine="0" w:firstLineChars="0"/>
                    <w:jc w:val="center"/>
                    <w:rPr>
                      <w:rFonts w:hint="default" w:ascii="Times New Roman" w:hAnsi="Times New Roman"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67</w:t>
                  </w:r>
                </w:p>
              </w:tc>
              <w:tc>
                <w:tcPr>
                  <w:tcW w:w="453" w:type="pct"/>
                  <w:vAlign w:val="center"/>
                </w:tcPr>
                <w:p w14:paraId="4A123ECA">
                  <w:pPr>
                    <w:ind w:left="0" w:leftChars="0" w:firstLine="0" w:firstLineChars="0"/>
                    <w:jc w:val="center"/>
                    <w:rPr>
                      <w:rFonts w:hint="default" w:ascii="Times New Roman" w:hAnsi="Times New Roman"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66</w:t>
                  </w:r>
                </w:p>
              </w:tc>
              <w:tc>
                <w:tcPr>
                  <w:tcW w:w="455" w:type="pct"/>
                  <w:vAlign w:val="center"/>
                </w:tcPr>
                <w:p w14:paraId="25385DD1">
                  <w:pPr>
                    <w:ind w:left="0" w:leftChars="0" w:firstLine="0" w:firstLineChars="0"/>
                    <w:jc w:val="center"/>
                    <w:rPr>
                      <w:rFonts w:hint="default" w:ascii="Times New Roman" w:hAnsi="Times New Roman"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65</w:t>
                  </w:r>
                </w:p>
              </w:tc>
            </w:tr>
            <w:tr w14:paraId="5B15C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pct"/>
                  <w:vAlign w:val="center"/>
                </w:tcPr>
                <w:p w14:paraId="25DD8AA0">
                  <w:pPr>
                    <w:ind w:left="0" w:leftChars="0" w:firstLine="0" w:firstLineChars="0"/>
                    <w:jc w:val="center"/>
                    <w:rPr>
                      <w:rFonts w:ascii="Times New Roman" w:hAnsi="Times New Roman" w:eastAsia="Times New Roman" w:cs="Times New Roman"/>
                      <w:b w:val="0"/>
                      <w:bCs w:val="0"/>
                      <w:color w:val="000000" w:themeColor="text1"/>
                      <w:spacing w:val="-2"/>
                      <w:sz w:val="21"/>
                      <w:szCs w:val="21"/>
                      <w:vertAlign w:val="baseline"/>
                      <w14:textFill>
                        <w14:solidFill>
                          <w14:schemeClr w14:val="tx1"/>
                        </w14:solidFill>
                      </w14:textFill>
                    </w:rPr>
                  </w:pPr>
                  <w:r>
                    <w:rPr>
                      <w:rFonts w:hint="eastAsia" w:ascii="Times New Roman" w:hAnsi="Times New Roman" w:eastAsia="宋体"/>
                      <w:color w:val="000000" w:themeColor="text1"/>
                      <w:sz w:val="21"/>
                      <w:szCs w:val="21"/>
                      <w:vertAlign w:val="baseline"/>
                      <w:lang w:val="en-US" w:eastAsia="zh-CN"/>
                      <w14:textFill>
                        <w14:solidFill>
                          <w14:schemeClr w14:val="tx1"/>
                        </w14:solidFill>
                      </w14:textFill>
                    </w:rPr>
                    <w:t>汽车</w:t>
                  </w:r>
                  <w:r>
                    <w:rPr>
                      <w:rFonts w:hint="default" w:ascii="Times New Roman" w:hAnsi="Times New Roman" w:eastAsia="宋体"/>
                      <w:color w:val="000000" w:themeColor="text1"/>
                      <w:sz w:val="21"/>
                      <w:szCs w:val="21"/>
                      <w:vertAlign w:val="baseline"/>
                      <w:lang w:val="en-US" w:eastAsia="zh-CN"/>
                      <w14:textFill>
                        <w14:solidFill>
                          <w14:schemeClr w14:val="tx1"/>
                        </w14:solidFill>
                      </w14:textFill>
                    </w:rPr>
                    <w:t>起重机</w:t>
                  </w:r>
                </w:p>
              </w:tc>
              <w:tc>
                <w:tcPr>
                  <w:tcW w:w="452" w:type="pct"/>
                  <w:vAlign w:val="center"/>
                </w:tcPr>
                <w:p w14:paraId="2B1615C9">
                  <w:pPr>
                    <w:ind w:left="0" w:leftChars="0" w:firstLine="0" w:firstLineChars="0"/>
                    <w:jc w:val="center"/>
                    <w:rPr>
                      <w:rFonts w:ascii="Times New Roman" w:hAnsi="Times New Roman" w:eastAsia="Times New Roman" w:cs="Times New Roman"/>
                      <w:b w:val="0"/>
                      <w:bCs w:val="0"/>
                      <w:color w:val="000000" w:themeColor="text1"/>
                      <w:spacing w:val="-2"/>
                      <w:sz w:val="21"/>
                      <w:szCs w:val="21"/>
                      <w:vertAlign w:val="baseline"/>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84</w:t>
                  </w:r>
                </w:p>
              </w:tc>
              <w:tc>
                <w:tcPr>
                  <w:tcW w:w="452" w:type="pct"/>
                  <w:vAlign w:val="center"/>
                </w:tcPr>
                <w:p w14:paraId="059A9FA7">
                  <w:pPr>
                    <w:ind w:left="0" w:leftChars="0" w:firstLine="0" w:firstLineChars="0"/>
                    <w:jc w:val="center"/>
                    <w:rPr>
                      <w:rFonts w:ascii="Times New Roman" w:hAnsi="Times New Roman" w:eastAsia="Times New Roman" w:cs="Times New Roman"/>
                      <w:b w:val="0"/>
                      <w:bCs w:val="0"/>
                      <w:color w:val="000000" w:themeColor="text1"/>
                      <w:spacing w:val="-2"/>
                      <w:sz w:val="21"/>
                      <w:szCs w:val="21"/>
                      <w:vertAlign w:val="baseline"/>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78</w:t>
                  </w:r>
                </w:p>
              </w:tc>
              <w:tc>
                <w:tcPr>
                  <w:tcW w:w="452" w:type="pct"/>
                  <w:vAlign w:val="center"/>
                </w:tcPr>
                <w:p w14:paraId="2409BB29">
                  <w:pPr>
                    <w:ind w:left="0" w:leftChars="0" w:firstLine="0" w:firstLineChars="0"/>
                    <w:jc w:val="center"/>
                    <w:rPr>
                      <w:rFonts w:ascii="Times New Roman" w:hAnsi="Times New Roman" w:eastAsia="Times New Roman" w:cs="Times New Roman"/>
                      <w:b w:val="0"/>
                      <w:bCs w:val="0"/>
                      <w:color w:val="000000" w:themeColor="text1"/>
                      <w:spacing w:val="-2"/>
                      <w:sz w:val="21"/>
                      <w:szCs w:val="21"/>
                      <w:vertAlign w:val="baseline"/>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74</w:t>
                  </w:r>
                </w:p>
              </w:tc>
              <w:tc>
                <w:tcPr>
                  <w:tcW w:w="452" w:type="pct"/>
                  <w:vAlign w:val="center"/>
                </w:tcPr>
                <w:p w14:paraId="2A014581">
                  <w:pPr>
                    <w:ind w:left="0" w:leftChars="0" w:firstLine="0" w:firstLineChars="0"/>
                    <w:jc w:val="center"/>
                    <w:rPr>
                      <w:rFonts w:ascii="Times New Roman" w:hAnsi="Times New Roman" w:eastAsia="Times New Roman" w:cs="Times New Roman"/>
                      <w:b w:val="0"/>
                      <w:bCs w:val="0"/>
                      <w:color w:val="000000" w:themeColor="text1"/>
                      <w:spacing w:val="-2"/>
                      <w:sz w:val="21"/>
                      <w:szCs w:val="21"/>
                      <w:vertAlign w:val="baseline"/>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72</w:t>
                  </w:r>
                </w:p>
              </w:tc>
              <w:tc>
                <w:tcPr>
                  <w:tcW w:w="452" w:type="pct"/>
                  <w:vAlign w:val="center"/>
                </w:tcPr>
                <w:p w14:paraId="6923AB75">
                  <w:pPr>
                    <w:ind w:left="0" w:leftChars="0" w:firstLine="0" w:firstLineChars="0"/>
                    <w:jc w:val="center"/>
                    <w:rPr>
                      <w:rFonts w:ascii="Times New Roman" w:hAnsi="Times New Roman" w:eastAsia="Times New Roman" w:cs="Times New Roman"/>
                      <w:b w:val="0"/>
                      <w:bCs w:val="0"/>
                      <w:color w:val="000000" w:themeColor="text1"/>
                      <w:spacing w:val="-2"/>
                      <w:sz w:val="21"/>
                      <w:szCs w:val="21"/>
                      <w:vertAlign w:val="baseline"/>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70</w:t>
                  </w:r>
                </w:p>
              </w:tc>
              <w:tc>
                <w:tcPr>
                  <w:tcW w:w="452" w:type="pct"/>
                  <w:vAlign w:val="center"/>
                </w:tcPr>
                <w:p w14:paraId="0728F1BB">
                  <w:pPr>
                    <w:ind w:left="0" w:leftChars="0" w:firstLine="0" w:firstLineChars="0"/>
                    <w:jc w:val="center"/>
                    <w:rPr>
                      <w:rFonts w:ascii="Times New Roman" w:hAnsi="Times New Roman" w:eastAsia="Times New Roman" w:cs="Times New Roman"/>
                      <w:b w:val="0"/>
                      <w:bCs w:val="0"/>
                      <w:color w:val="000000" w:themeColor="text1"/>
                      <w:spacing w:val="-2"/>
                      <w:sz w:val="21"/>
                      <w:szCs w:val="21"/>
                      <w:vertAlign w:val="baseline"/>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68</w:t>
                  </w:r>
                </w:p>
              </w:tc>
              <w:tc>
                <w:tcPr>
                  <w:tcW w:w="453" w:type="pct"/>
                  <w:vAlign w:val="center"/>
                </w:tcPr>
                <w:p w14:paraId="46232AE4">
                  <w:pPr>
                    <w:ind w:left="0" w:leftChars="0" w:firstLine="0" w:firstLineChars="0"/>
                    <w:jc w:val="center"/>
                    <w:rPr>
                      <w:rFonts w:ascii="Times New Roman" w:hAnsi="Times New Roman" w:eastAsia="Times New Roman" w:cs="Times New Roman"/>
                      <w:b w:val="0"/>
                      <w:bCs w:val="0"/>
                      <w:color w:val="000000" w:themeColor="text1"/>
                      <w:spacing w:val="-2"/>
                      <w:sz w:val="21"/>
                      <w:szCs w:val="21"/>
                      <w:vertAlign w:val="baseline"/>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67</w:t>
                  </w:r>
                </w:p>
              </w:tc>
              <w:tc>
                <w:tcPr>
                  <w:tcW w:w="453" w:type="pct"/>
                  <w:vAlign w:val="center"/>
                </w:tcPr>
                <w:p w14:paraId="19DB5726">
                  <w:pPr>
                    <w:ind w:left="0" w:leftChars="0" w:firstLine="0" w:firstLineChars="0"/>
                    <w:jc w:val="center"/>
                    <w:rPr>
                      <w:rFonts w:ascii="Times New Roman" w:hAnsi="Times New Roman" w:eastAsia="Times New Roman" w:cs="Times New Roman"/>
                      <w:b w:val="0"/>
                      <w:bCs w:val="0"/>
                      <w:color w:val="000000" w:themeColor="text1"/>
                      <w:spacing w:val="-2"/>
                      <w:sz w:val="21"/>
                      <w:szCs w:val="21"/>
                      <w:vertAlign w:val="baseline"/>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66</w:t>
                  </w:r>
                </w:p>
              </w:tc>
              <w:tc>
                <w:tcPr>
                  <w:tcW w:w="455" w:type="pct"/>
                  <w:vAlign w:val="center"/>
                </w:tcPr>
                <w:p w14:paraId="65DA4195">
                  <w:pPr>
                    <w:ind w:left="0" w:leftChars="0" w:firstLine="0" w:firstLineChars="0"/>
                    <w:jc w:val="center"/>
                    <w:rPr>
                      <w:rFonts w:ascii="Times New Roman" w:hAnsi="Times New Roman" w:eastAsia="Times New Roman" w:cs="Times New Roman"/>
                      <w:b w:val="0"/>
                      <w:bCs w:val="0"/>
                      <w:color w:val="000000" w:themeColor="text1"/>
                      <w:spacing w:val="-2"/>
                      <w:sz w:val="21"/>
                      <w:szCs w:val="21"/>
                      <w:vertAlign w:val="baseline"/>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65</w:t>
                  </w:r>
                </w:p>
              </w:tc>
            </w:tr>
            <w:tr w14:paraId="7B618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20" w:type="pct"/>
                  <w:vAlign w:val="center"/>
                </w:tcPr>
                <w:p w14:paraId="5A3898E0">
                  <w:pPr>
                    <w:ind w:left="0" w:leftChars="0" w:firstLine="0" w:firstLineChars="0"/>
                    <w:jc w:val="center"/>
                    <w:rPr>
                      <w:rFonts w:ascii="Times New Roman" w:hAnsi="Times New Roman" w:eastAsia="Times New Roman" w:cs="Times New Roman"/>
                      <w:b w:val="0"/>
                      <w:bCs w:val="0"/>
                      <w:color w:val="000000" w:themeColor="text1"/>
                      <w:spacing w:val="-2"/>
                      <w:sz w:val="21"/>
                      <w:szCs w:val="21"/>
                      <w:vertAlign w:val="baseline"/>
                      <w14:textFill>
                        <w14:solidFill>
                          <w14:schemeClr w14:val="tx1"/>
                        </w14:solidFill>
                      </w14:textFill>
                    </w:rPr>
                  </w:pPr>
                  <w:r>
                    <w:rPr>
                      <w:rFonts w:hint="default" w:ascii="Times New Roman" w:hAnsi="Times New Roman" w:eastAsia="宋体"/>
                      <w:color w:val="000000" w:themeColor="text1"/>
                      <w:sz w:val="21"/>
                      <w:szCs w:val="21"/>
                      <w:vertAlign w:val="baseline"/>
                      <w:lang w:val="en-US" w:eastAsia="zh-CN"/>
                      <w14:textFill>
                        <w14:solidFill>
                          <w14:schemeClr w14:val="tx1"/>
                        </w14:solidFill>
                      </w14:textFill>
                    </w:rPr>
                    <w:t>载重</w:t>
                  </w:r>
                  <w:r>
                    <w:rPr>
                      <w:rFonts w:hint="eastAsia" w:ascii="Times New Roman" w:hAnsi="Times New Roman" w:eastAsia="宋体"/>
                      <w:color w:val="000000" w:themeColor="text1"/>
                      <w:sz w:val="21"/>
                      <w:szCs w:val="21"/>
                      <w:vertAlign w:val="baseline"/>
                      <w:lang w:val="en-US" w:eastAsia="zh-CN"/>
                      <w14:textFill>
                        <w14:solidFill>
                          <w14:schemeClr w14:val="tx1"/>
                        </w14:solidFill>
                      </w14:textFill>
                    </w:rPr>
                    <w:t>汽车</w:t>
                  </w:r>
                </w:p>
              </w:tc>
              <w:tc>
                <w:tcPr>
                  <w:tcW w:w="452" w:type="pct"/>
                  <w:vAlign w:val="center"/>
                </w:tcPr>
                <w:p w14:paraId="013C7116">
                  <w:pPr>
                    <w:ind w:left="0" w:leftChars="0" w:firstLine="0" w:firstLineChars="0"/>
                    <w:jc w:val="center"/>
                    <w:rPr>
                      <w:rFonts w:hint="default" w:ascii="Times New Roman" w:hAnsi="Times New Roman"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76</w:t>
                  </w:r>
                </w:p>
              </w:tc>
              <w:tc>
                <w:tcPr>
                  <w:tcW w:w="452" w:type="pct"/>
                  <w:vAlign w:val="center"/>
                </w:tcPr>
                <w:p w14:paraId="29DB129B">
                  <w:pPr>
                    <w:ind w:left="0" w:leftChars="0" w:firstLine="0" w:firstLineChars="0"/>
                    <w:jc w:val="center"/>
                    <w:rPr>
                      <w:rFonts w:hint="default" w:ascii="Times New Roman" w:hAnsi="Times New Roman"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70</w:t>
                  </w:r>
                </w:p>
              </w:tc>
              <w:tc>
                <w:tcPr>
                  <w:tcW w:w="452" w:type="pct"/>
                  <w:vAlign w:val="center"/>
                </w:tcPr>
                <w:p w14:paraId="2AB030D5">
                  <w:pPr>
                    <w:ind w:left="0" w:leftChars="0" w:firstLine="0" w:firstLineChars="0"/>
                    <w:jc w:val="center"/>
                    <w:rPr>
                      <w:rFonts w:hint="default" w:ascii="Times New Roman" w:hAnsi="Times New Roman"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66</w:t>
                  </w:r>
                </w:p>
              </w:tc>
              <w:tc>
                <w:tcPr>
                  <w:tcW w:w="452" w:type="pct"/>
                  <w:vAlign w:val="center"/>
                </w:tcPr>
                <w:p w14:paraId="1DCB7848">
                  <w:pPr>
                    <w:ind w:left="0" w:leftChars="0" w:firstLine="0" w:firstLineChars="0"/>
                    <w:jc w:val="center"/>
                    <w:rPr>
                      <w:rFonts w:hint="default" w:ascii="Times New Roman" w:hAnsi="Times New Roman"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64</w:t>
                  </w:r>
                </w:p>
              </w:tc>
              <w:tc>
                <w:tcPr>
                  <w:tcW w:w="452" w:type="pct"/>
                  <w:vAlign w:val="center"/>
                </w:tcPr>
                <w:p w14:paraId="5A1E9437">
                  <w:pPr>
                    <w:ind w:left="0" w:leftChars="0" w:firstLine="0" w:firstLineChars="0"/>
                    <w:jc w:val="center"/>
                    <w:rPr>
                      <w:rFonts w:hint="default" w:ascii="Times New Roman" w:hAnsi="Times New Roman"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62</w:t>
                  </w:r>
                </w:p>
              </w:tc>
              <w:tc>
                <w:tcPr>
                  <w:tcW w:w="452" w:type="pct"/>
                  <w:vAlign w:val="center"/>
                </w:tcPr>
                <w:p w14:paraId="0032DB4C">
                  <w:pPr>
                    <w:ind w:left="0" w:leftChars="0" w:firstLine="0" w:firstLineChars="0"/>
                    <w:jc w:val="center"/>
                    <w:rPr>
                      <w:rFonts w:hint="default" w:ascii="Times New Roman" w:hAnsi="Times New Roman"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60</w:t>
                  </w:r>
                </w:p>
              </w:tc>
              <w:tc>
                <w:tcPr>
                  <w:tcW w:w="453" w:type="pct"/>
                  <w:vAlign w:val="center"/>
                </w:tcPr>
                <w:p w14:paraId="5B2860FB">
                  <w:pPr>
                    <w:ind w:left="0" w:leftChars="0" w:firstLine="0" w:firstLineChars="0"/>
                    <w:jc w:val="center"/>
                    <w:rPr>
                      <w:rFonts w:hint="default" w:ascii="Times New Roman" w:hAnsi="Times New Roman"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59</w:t>
                  </w:r>
                </w:p>
              </w:tc>
              <w:tc>
                <w:tcPr>
                  <w:tcW w:w="453" w:type="pct"/>
                  <w:vAlign w:val="center"/>
                </w:tcPr>
                <w:p w14:paraId="22C70C8B">
                  <w:pPr>
                    <w:ind w:left="0" w:leftChars="0" w:firstLine="0" w:firstLineChars="0"/>
                    <w:jc w:val="center"/>
                    <w:rPr>
                      <w:rFonts w:hint="default" w:ascii="Times New Roman" w:hAnsi="Times New Roman"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58</w:t>
                  </w:r>
                </w:p>
              </w:tc>
              <w:tc>
                <w:tcPr>
                  <w:tcW w:w="455" w:type="pct"/>
                  <w:vAlign w:val="center"/>
                </w:tcPr>
                <w:p w14:paraId="748A38A8">
                  <w:pPr>
                    <w:ind w:left="0" w:leftChars="0" w:firstLine="0" w:firstLineChars="0"/>
                    <w:jc w:val="center"/>
                    <w:rPr>
                      <w:rFonts w:hint="default" w:ascii="Times New Roman" w:hAnsi="Times New Roman"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57</w:t>
                  </w:r>
                </w:p>
              </w:tc>
            </w:tr>
            <w:tr w14:paraId="639D7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pct"/>
                  <w:vAlign w:val="center"/>
                </w:tcPr>
                <w:p w14:paraId="60FF2FA0">
                  <w:pPr>
                    <w:ind w:left="0" w:leftChars="0" w:firstLine="0" w:firstLineChars="0"/>
                    <w:jc w:val="center"/>
                    <w:rPr>
                      <w:rFonts w:hint="eastAsia" w:ascii="Times New Roman" w:hAnsi="Times New Roman" w:eastAsia="宋体" w:cs="Times New Roman"/>
                      <w:b w:val="0"/>
                      <w:bCs w:val="0"/>
                      <w:color w:val="000000" w:themeColor="text1"/>
                      <w:spacing w:val="-2"/>
                      <w:sz w:val="21"/>
                      <w:szCs w:val="21"/>
                      <w:vertAlign w:val="baseline"/>
                      <w:lang w:eastAsia="zh-CN"/>
                      <w14:textFill>
                        <w14:solidFill>
                          <w14:schemeClr w14:val="tx1"/>
                        </w14:solidFill>
                      </w14:textFill>
                    </w:rPr>
                  </w:pPr>
                  <w:r>
                    <w:rPr>
                      <w:rFonts w:hint="eastAsia" w:eastAsia="宋体"/>
                      <w:color w:val="000000" w:themeColor="text1"/>
                      <w:spacing w:val="-2"/>
                      <w:sz w:val="21"/>
                      <w:szCs w:val="21"/>
                      <w:lang w:val="en-US" w:eastAsia="zh-CN"/>
                      <w14:textFill>
                        <w14:solidFill>
                          <w14:schemeClr w14:val="tx1"/>
                        </w14:solidFill>
                      </w14:textFill>
                    </w:rPr>
                    <w:t>振动器</w:t>
                  </w:r>
                </w:p>
              </w:tc>
              <w:tc>
                <w:tcPr>
                  <w:tcW w:w="452" w:type="pct"/>
                  <w:vAlign w:val="center"/>
                </w:tcPr>
                <w:p w14:paraId="4925BA01">
                  <w:pPr>
                    <w:ind w:left="0" w:leftChars="0" w:firstLine="0" w:firstLineChars="0"/>
                    <w:jc w:val="center"/>
                    <w:rPr>
                      <w:rFonts w:ascii="Times New Roman" w:hAnsi="Times New Roman" w:eastAsia="Times New Roman" w:cs="Times New Roman"/>
                      <w:b w:val="0"/>
                      <w:bCs w:val="0"/>
                      <w:color w:val="000000" w:themeColor="text1"/>
                      <w:spacing w:val="-2"/>
                      <w:sz w:val="21"/>
                      <w:szCs w:val="21"/>
                      <w:vertAlign w:val="baseline"/>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79</w:t>
                  </w:r>
                </w:p>
              </w:tc>
              <w:tc>
                <w:tcPr>
                  <w:tcW w:w="452" w:type="pct"/>
                  <w:vAlign w:val="center"/>
                </w:tcPr>
                <w:p w14:paraId="18B4830F">
                  <w:pPr>
                    <w:ind w:left="0" w:leftChars="0" w:firstLine="0" w:firstLineChars="0"/>
                    <w:jc w:val="center"/>
                    <w:rPr>
                      <w:rFonts w:ascii="Times New Roman" w:hAnsi="Times New Roman" w:eastAsia="Times New Roman" w:cs="Times New Roman"/>
                      <w:b w:val="0"/>
                      <w:bCs w:val="0"/>
                      <w:color w:val="000000" w:themeColor="text1"/>
                      <w:spacing w:val="-2"/>
                      <w:sz w:val="21"/>
                      <w:szCs w:val="21"/>
                      <w:vertAlign w:val="baseline"/>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73</w:t>
                  </w:r>
                </w:p>
              </w:tc>
              <w:tc>
                <w:tcPr>
                  <w:tcW w:w="452" w:type="pct"/>
                  <w:vAlign w:val="center"/>
                </w:tcPr>
                <w:p w14:paraId="70C37979">
                  <w:pPr>
                    <w:ind w:left="0" w:leftChars="0" w:firstLine="0" w:firstLineChars="0"/>
                    <w:jc w:val="center"/>
                    <w:rPr>
                      <w:rFonts w:ascii="Times New Roman" w:hAnsi="Times New Roman" w:eastAsia="Times New Roman" w:cs="Times New Roman"/>
                      <w:b w:val="0"/>
                      <w:bCs w:val="0"/>
                      <w:color w:val="000000" w:themeColor="text1"/>
                      <w:spacing w:val="-2"/>
                      <w:sz w:val="21"/>
                      <w:szCs w:val="21"/>
                      <w:vertAlign w:val="baseline"/>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69</w:t>
                  </w:r>
                </w:p>
              </w:tc>
              <w:tc>
                <w:tcPr>
                  <w:tcW w:w="452" w:type="pct"/>
                  <w:vAlign w:val="center"/>
                </w:tcPr>
                <w:p w14:paraId="53D9FB6C">
                  <w:pPr>
                    <w:ind w:left="0" w:leftChars="0" w:firstLine="0" w:firstLineChars="0"/>
                    <w:jc w:val="center"/>
                    <w:rPr>
                      <w:rFonts w:ascii="Times New Roman" w:hAnsi="Times New Roman" w:eastAsia="Times New Roman" w:cs="Times New Roman"/>
                      <w:b w:val="0"/>
                      <w:bCs w:val="0"/>
                      <w:color w:val="000000" w:themeColor="text1"/>
                      <w:spacing w:val="-2"/>
                      <w:sz w:val="21"/>
                      <w:szCs w:val="21"/>
                      <w:vertAlign w:val="baseline"/>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67</w:t>
                  </w:r>
                </w:p>
              </w:tc>
              <w:tc>
                <w:tcPr>
                  <w:tcW w:w="452" w:type="pct"/>
                  <w:vAlign w:val="center"/>
                </w:tcPr>
                <w:p w14:paraId="642478E2">
                  <w:pPr>
                    <w:ind w:left="0" w:leftChars="0" w:firstLine="0" w:firstLineChars="0"/>
                    <w:jc w:val="center"/>
                    <w:rPr>
                      <w:rFonts w:ascii="Times New Roman" w:hAnsi="Times New Roman" w:eastAsia="Times New Roman" w:cs="Times New Roman"/>
                      <w:b w:val="0"/>
                      <w:bCs w:val="0"/>
                      <w:color w:val="000000" w:themeColor="text1"/>
                      <w:spacing w:val="-2"/>
                      <w:sz w:val="21"/>
                      <w:szCs w:val="21"/>
                      <w:vertAlign w:val="baseline"/>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65</w:t>
                  </w:r>
                </w:p>
              </w:tc>
              <w:tc>
                <w:tcPr>
                  <w:tcW w:w="452" w:type="pct"/>
                  <w:vAlign w:val="center"/>
                </w:tcPr>
                <w:p w14:paraId="20A485DC">
                  <w:pPr>
                    <w:ind w:left="0" w:leftChars="0" w:firstLine="0" w:firstLineChars="0"/>
                    <w:jc w:val="center"/>
                    <w:rPr>
                      <w:rFonts w:ascii="Times New Roman" w:hAnsi="Times New Roman" w:eastAsia="Times New Roman" w:cs="Times New Roman"/>
                      <w:b w:val="0"/>
                      <w:bCs w:val="0"/>
                      <w:color w:val="000000" w:themeColor="text1"/>
                      <w:spacing w:val="-2"/>
                      <w:sz w:val="21"/>
                      <w:szCs w:val="21"/>
                      <w:vertAlign w:val="baseline"/>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63</w:t>
                  </w:r>
                </w:p>
              </w:tc>
              <w:tc>
                <w:tcPr>
                  <w:tcW w:w="453" w:type="pct"/>
                  <w:vAlign w:val="center"/>
                </w:tcPr>
                <w:p w14:paraId="25379ADE">
                  <w:pPr>
                    <w:ind w:left="0" w:leftChars="0" w:firstLine="0" w:firstLineChars="0"/>
                    <w:jc w:val="center"/>
                    <w:rPr>
                      <w:rFonts w:ascii="Times New Roman" w:hAnsi="Times New Roman" w:eastAsia="Times New Roman" w:cs="Times New Roman"/>
                      <w:b w:val="0"/>
                      <w:bCs w:val="0"/>
                      <w:color w:val="000000" w:themeColor="text1"/>
                      <w:spacing w:val="-2"/>
                      <w:sz w:val="21"/>
                      <w:szCs w:val="21"/>
                      <w:vertAlign w:val="baseline"/>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62</w:t>
                  </w:r>
                </w:p>
              </w:tc>
              <w:tc>
                <w:tcPr>
                  <w:tcW w:w="453" w:type="pct"/>
                  <w:vAlign w:val="center"/>
                </w:tcPr>
                <w:p w14:paraId="1D15C7ED">
                  <w:pPr>
                    <w:ind w:left="0" w:leftChars="0" w:firstLine="0" w:firstLineChars="0"/>
                    <w:jc w:val="center"/>
                    <w:rPr>
                      <w:rFonts w:ascii="Times New Roman" w:hAnsi="Times New Roman" w:eastAsia="Times New Roman" w:cs="Times New Roman"/>
                      <w:b w:val="0"/>
                      <w:bCs w:val="0"/>
                      <w:color w:val="000000" w:themeColor="text1"/>
                      <w:spacing w:val="-2"/>
                      <w:sz w:val="21"/>
                      <w:szCs w:val="21"/>
                      <w:vertAlign w:val="baseline"/>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61</w:t>
                  </w:r>
                </w:p>
              </w:tc>
              <w:tc>
                <w:tcPr>
                  <w:tcW w:w="455" w:type="pct"/>
                  <w:vAlign w:val="center"/>
                </w:tcPr>
                <w:p w14:paraId="30D9EDF9">
                  <w:pPr>
                    <w:ind w:left="0" w:leftChars="0" w:firstLine="0" w:firstLineChars="0"/>
                    <w:jc w:val="center"/>
                    <w:rPr>
                      <w:rFonts w:ascii="Times New Roman" w:hAnsi="Times New Roman" w:eastAsia="Times New Roman" w:cs="Times New Roman"/>
                      <w:b w:val="0"/>
                      <w:bCs w:val="0"/>
                      <w:color w:val="000000" w:themeColor="text1"/>
                      <w:spacing w:val="-2"/>
                      <w:sz w:val="21"/>
                      <w:szCs w:val="21"/>
                      <w:vertAlign w:val="baseline"/>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60</w:t>
                  </w:r>
                </w:p>
              </w:tc>
            </w:tr>
            <w:tr w14:paraId="396C3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0" w:type="pct"/>
                  <w:vAlign w:val="center"/>
                </w:tcPr>
                <w:p w14:paraId="56B06A15">
                  <w:pPr>
                    <w:ind w:left="0" w:leftChars="0" w:firstLine="0" w:firstLineChars="0"/>
                    <w:jc w:val="center"/>
                    <w:rPr>
                      <w:rFonts w:hint="default" w:eastAsia="宋体"/>
                      <w:color w:val="000000" w:themeColor="text1"/>
                      <w:spacing w:val="-2"/>
                      <w:sz w:val="21"/>
                      <w:szCs w:val="21"/>
                      <w:lang w:val="en-US" w:eastAsia="zh-CN"/>
                      <w14:textFill>
                        <w14:solidFill>
                          <w14:schemeClr w14:val="tx1"/>
                        </w14:solidFill>
                      </w14:textFill>
                    </w:rPr>
                  </w:pPr>
                  <w:r>
                    <w:rPr>
                      <w:rFonts w:hint="eastAsia"/>
                      <w:color w:val="000000" w:themeColor="text1"/>
                      <w:spacing w:val="-2"/>
                      <w:sz w:val="21"/>
                      <w:szCs w:val="21"/>
                      <w:lang w:val="en-US" w:eastAsia="zh-CN"/>
                      <w14:textFill>
                        <w14:solidFill>
                          <w14:schemeClr w14:val="tx1"/>
                        </w14:solidFill>
                      </w14:textFill>
                    </w:rPr>
                    <w:t>切割机</w:t>
                  </w:r>
                </w:p>
              </w:tc>
              <w:tc>
                <w:tcPr>
                  <w:tcW w:w="712" w:type="dxa"/>
                  <w:vAlign w:val="center"/>
                </w:tcPr>
                <w:p w14:paraId="423921DB">
                  <w:pPr>
                    <w:ind w:left="0" w:leftChars="0" w:firstLine="0" w:firstLineChars="0"/>
                    <w:jc w:val="cente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76</w:t>
                  </w:r>
                </w:p>
              </w:tc>
              <w:tc>
                <w:tcPr>
                  <w:tcW w:w="712" w:type="dxa"/>
                  <w:vAlign w:val="center"/>
                </w:tcPr>
                <w:p w14:paraId="431530D9">
                  <w:pPr>
                    <w:ind w:left="0" w:leftChars="0" w:firstLine="0" w:firstLineChars="0"/>
                    <w:jc w:val="cente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70</w:t>
                  </w:r>
                </w:p>
              </w:tc>
              <w:tc>
                <w:tcPr>
                  <w:tcW w:w="712" w:type="dxa"/>
                  <w:vAlign w:val="center"/>
                </w:tcPr>
                <w:p w14:paraId="0B7ADB97">
                  <w:pPr>
                    <w:ind w:left="0" w:leftChars="0" w:firstLine="0" w:firstLineChars="0"/>
                    <w:jc w:val="cente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66</w:t>
                  </w:r>
                </w:p>
              </w:tc>
              <w:tc>
                <w:tcPr>
                  <w:tcW w:w="712" w:type="dxa"/>
                  <w:vAlign w:val="center"/>
                </w:tcPr>
                <w:p w14:paraId="04C589B7">
                  <w:pPr>
                    <w:ind w:left="0" w:leftChars="0" w:firstLine="0" w:firstLineChars="0"/>
                    <w:jc w:val="cente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64</w:t>
                  </w:r>
                </w:p>
              </w:tc>
              <w:tc>
                <w:tcPr>
                  <w:tcW w:w="712" w:type="dxa"/>
                  <w:vAlign w:val="center"/>
                </w:tcPr>
                <w:p w14:paraId="5C07F6F1">
                  <w:pPr>
                    <w:ind w:left="0" w:leftChars="0" w:firstLine="0" w:firstLineChars="0"/>
                    <w:jc w:val="cente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62</w:t>
                  </w:r>
                </w:p>
              </w:tc>
              <w:tc>
                <w:tcPr>
                  <w:tcW w:w="712" w:type="dxa"/>
                  <w:vAlign w:val="center"/>
                </w:tcPr>
                <w:p w14:paraId="595DF188">
                  <w:pPr>
                    <w:ind w:left="0" w:leftChars="0" w:firstLine="0" w:firstLineChars="0"/>
                    <w:jc w:val="cente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60</w:t>
                  </w:r>
                </w:p>
              </w:tc>
              <w:tc>
                <w:tcPr>
                  <w:tcW w:w="713" w:type="dxa"/>
                  <w:vAlign w:val="center"/>
                </w:tcPr>
                <w:p w14:paraId="40A69E10">
                  <w:pPr>
                    <w:ind w:left="0" w:leftChars="0" w:firstLine="0" w:firstLineChars="0"/>
                    <w:jc w:val="cente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59</w:t>
                  </w:r>
                </w:p>
              </w:tc>
              <w:tc>
                <w:tcPr>
                  <w:tcW w:w="713" w:type="dxa"/>
                  <w:vAlign w:val="center"/>
                </w:tcPr>
                <w:p w14:paraId="4CB4B434">
                  <w:pPr>
                    <w:ind w:left="0" w:leftChars="0" w:firstLine="0" w:firstLineChars="0"/>
                    <w:jc w:val="cente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58</w:t>
                  </w:r>
                </w:p>
              </w:tc>
              <w:tc>
                <w:tcPr>
                  <w:tcW w:w="717" w:type="dxa"/>
                  <w:vAlign w:val="center"/>
                </w:tcPr>
                <w:p w14:paraId="7F807E1E">
                  <w:pPr>
                    <w:ind w:left="0" w:leftChars="0" w:firstLine="0" w:firstLineChars="0"/>
                    <w:jc w:val="cente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pPr>
                  <w:r>
                    <w:rPr>
                      <w:rFonts w:hint="eastAsia" w:eastAsia="宋体" w:cs="Times New Roman"/>
                      <w:b w:val="0"/>
                      <w:bCs w:val="0"/>
                      <w:color w:val="000000" w:themeColor="text1"/>
                      <w:spacing w:val="-2"/>
                      <w:sz w:val="21"/>
                      <w:szCs w:val="21"/>
                      <w:vertAlign w:val="baseline"/>
                      <w:lang w:val="en-US" w:eastAsia="zh-CN"/>
                      <w14:textFill>
                        <w14:solidFill>
                          <w14:schemeClr w14:val="tx1"/>
                        </w14:solidFill>
                      </w14:textFill>
                    </w:rPr>
                    <w:t>57</w:t>
                  </w:r>
                </w:p>
              </w:tc>
            </w:tr>
          </w:tbl>
          <w:p w14:paraId="21286628">
            <w:pPr>
              <w:ind w:left="0" w:leftChars="0" w:firstLine="0" w:firstLineChars="0"/>
              <w:rPr>
                <w:rFonts w:hint="default" w:ascii="Times New Roman" w:hAnsi="Times New Roman" w:eastAsia="Times New Roman" w:cs="Times New Roman"/>
                <w:b/>
                <w:bCs/>
                <w:color w:val="000000" w:themeColor="text1"/>
                <w:spacing w:val="-2"/>
                <w:lang w:val="en-US" w:eastAsia="zh-CN"/>
                <w14:textFill>
                  <w14:solidFill>
                    <w14:schemeClr w14:val="tx1"/>
                  </w14:solidFill>
                </w14:textFill>
              </w:rPr>
            </w:pPr>
          </w:p>
          <w:p w14:paraId="3F4A92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color w:val="000000"/>
                <w:kern w:val="0"/>
                <w:sz w:val="24"/>
                <w:szCs w:val="24"/>
                <w:highlight w:val="none"/>
                <w:lang w:val="en-US" w:eastAsia="zh-CN"/>
              </w:rPr>
            </w:pPr>
            <w:r>
              <w:rPr>
                <w:rFonts w:hint="eastAsia" w:ascii="Times New Roman" w:hAnsi="Times New Roman" w:eastAsia="宋体" w:cs="Times New Roman"/>
                <w:b w:val="0"/>
                <w:bCs/>
                <w:color w:val="000000"/>
                <w:kern w:val="0"/>
                <w:sz w:val="24"/>
                <w:szCs w:val="24"/>
                <w:highlight w:val="none"/>
                <w:lang w:val="en-US" w:eastAsia="zh-CN"/>
              </w:rPr>
              <w:t>（3）噪声达标排放分析</w:t>
            </w:r>
          </w:p>
          <w:p w14:paraId="523706CE">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由于本项目施工期施工机械主要集中在白天施工</w:t>
            </w:r>
            <w:r>
              <w:rPr>
                <w:rFonts w:hint="eastAsia" w:ascii="Times New Roman" w:hAnsi="Times New Roman" w:eastAsia="宋体" w:cs="Times New Roman"/>
                <w:color w:val="auto"/>
                <w:sz w:val="24"/>
                <w:szCs w:val="24"/>
                <w:highlight w:val="none"/>
                <w:lang w:val="en-US" w:eastAsia="zh-CN"/>
              </w:rPr>
              <w:t>，由表4-2可知，</w:t>
            </w:r>
            <w:r>
              <w:rPr>
                <w:rFonts w:hint="default" w:ascii="Times New Roman" w:hAnsi="Times New Roman" w:eastAsia="宋体" w:cs="Times New Roman"/>
                <w:color w:val="auto"/>
                <w:sz w:val="24"/>
                <w:szCs w:val="24"/>
                <w:highlight w:val="none"/>
                <w:lang w:val="en-US" w:eastAsia="zh-CN"/>
              </w:rPr>
              <w:t>在距施工机械声源</w:t>
            </w:r>
            <w:r>
              <w:rPr>
                <w:rFonts w:hint="eastAsia" w:ascii="Times New Roman" w:hAnsi="Times New Roman" w:eastAsia="宋体" w:cs="Times New Roman"/>
                <w:color w:val="auto"/>
                <w:sz w:val="24"/>
                <w:szCs w:val="24"/>
                <w:highlight w:val="none"/>
                <w:lang w:val="en-US" w:eastAsia="zh-CN"/>
              </w:rPr>
              <w:t>60m</w:t>
            </w:r>
            <w:r>
              <w:rPr>
                <w:rFonts w:hint="default" w:ascii="Times New Roman" w:hAnsi="Times New Roman" w:eastAsia="宋体" w:cs="Times New Roman"/>
                <w:color w:val="auto"/>
                <w:sz w:val="24"/>
                <w:szCs w:val="24"/>
                <w:highlight w:val="none"/>
                <w:lang w:val="en-US" w:eastAsia="zh-CN"/>
              </w:rPr>
              <w:t>的地方，昼间噪声可达到《</w:t>
            </w:r>
            <w:r>
              <w:rPr>
                <w:rFonts w:hint="eastAsia" w:cs="Times New Roman"/>
                <w:color w:val="auto"/>
                <w:sz w:val="24"/>
                <w:szCs w:val="24"/>
                <w:highlight w:val="none"/>
                <w:lang w:val="en-US" w:eastAsia="zh-CN"/>
              </w:rPr>
              <w:t>建筑施工噪声排放标准</w:t>
            </w:r>
            <w:r>
              <w:rPr>
                <w:rFonts w:hint="default" w:ascii="Times New Roman" w:hAnsi="Times New Roman" w:eastAsia="宋体" w:cs="Times New Roman"/>
                <w:color w:val="auto"/>
                <w:sz w:val="24"/>
                <w:szCs w:val="24"/>
                <w:highlight w:val="none"/>
                <w:lang w:val="en-US" w:eastAsia="zh-CN"/>
              </w:rPr>
              <w:t>》（GB12523-20</w:t>
            </w:r>
            <w:r>
              <w:rPr>
                <w:rFonts w:hint="eastAsia" w:ascii="Times New Roman" w:hAnsi="Times New Roman" w:eastAsia="宋体" w:cs="Times New Roman"/>
                <w:color w:val="auto"/>
                <w:sz w:val="24"/>
                <w:szCs w:val="24"/>
                <w:highlight w:val="none"/>
                <w:lang w:val="en-US" w:eastAsia="zh-CN"/>
              </w:rPr>
              <w:t>25</w:t>
            </w:r>
            <w:r>
              <w:rPr>
                <w:rFonts w:hint="default" w:ascii="Times New Roman" w:hAnsi="Times New Roman" w:eastAsia="宋体" w:cs="Times New Roman"/>
                <w:color w:val="auto"/>
                <w:sz w:val="24"/>
                <w:szCs w:val="24"/>
                <w:highlight w:val="none"/>
                <w:lang w:val="en-US" w:eastAsia="zh-CN"/>
              </w:rPr>
              <w:t>）。本工程沿线最近的环境保护目标距离工程区</w:t>
            </w:r>
            <w:r>
              <w:rPr>
                <w:rFonts w:hint="eastAsia" w:ascii="Times New Roman" w:hAnsi="Times New Roman" w:eastAsia="宋体" w:cs="Times New Roman"/>
                <w:color w:val="auto"/>
                <w:sz w:val="24"/>
                <w:szCs w:val="24"/>
                <w:highlight w:val="none"/>
                <w:lang w:val="en-US" w:eastAsia="zh-CN"/>
              </w:rPr>
              <w:t>30</w:t>
            </w:r>
            <w:r>
              <w:rPr>
                <w:rFonts w:hint="eastAsia"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m，昼间施工噪声对周边居民居住区</w:t>
            </w:r>
            <w:r>
              <w:rPr>
                <w:rFonts w:hint="eastAsia"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lang w:val="en-US" w:eastAsia="zh-CN"/>
              </w:rPr>
              <w:t>影响</w:t>
            </w:r>
            <w:r>
              <w:rPr>
                <w:rFonts w:hint="eastAsia" w:cs="Times New Roman"/>
                <w:color w:val="auto"/>
                <w:sz w:val="24"/>
                <w:szCs w:val="24"/>
                <w:highlight w:val="none"/>
                <w:lang w:val="en-US" w:eastAsia="zh-CN"/>
              </w:rPr>
              <w:t>较小</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为了减轻对周边住户的影响，</w:t>
            </w:r>
            <w:r>
              <w:rPr>
                <w:rFonts w:hint="eastAsia" w:ascii="Times New Roman" w:hAnsi="Times New Roman" w:eastAsia="宋体" w:cs="Times New Roman"/>
                <w:color w:val="auto"/>
                <w:sz w:val="24"/>
                <w:szCs w:val="24"/>
                <w:highlight w:val="none"/>
                <w:lang w:val="en-US" w:eastAsia="zh-CN"/>
              </w:rPr>
              <w:t>夜间不施工</w:t>
            </w:r>
            <w:r>
              <w:rPr>
                <w:rFonts w:hint="default" w:ascii="Times New Roman" w:hAnsi="Times New Roman" w:eastAsia="宋体" w:cs="Times New Roman"/>
                <w:color w:val="auto"/>
                <w:sz w:val="24"/>
                <w:szCs w:val="24"/>
                <w:highlight w:val="none"/>
                <w:lang w:val="en-US" w:eastAsia="zh-CN"/>
              </w:rPr>
              <w:t>。本工程</w:t>
            </w:r>
            <w:r>
              <w:rPr>
                <w:rFonts w:hint="eastAsia" w:cs="Times New Roman"/>
                <w:color w:val="auto"/>
                <w:sz w:val="24"/>
                <w:szCs w:val="24"/>
                <w:highlight w:val="none"/>
                <w:lang w:val="en-US" w:eastAsia="zh-CN"/>
              </w:rPr>
              <w:t>距村庄较远</w:t>
            </w:r>
            <w:r>
              <w:rPr>
                <w:rFonts w:hint="default" w:ascii="Times New Roman" w:hAnsi="Times New Roman" w:eastAsia="宋体" w:cs="Times New Roman"/>
                <w:color w:val="auto"/>
                <w:sz w:val="24"/>
                <w:szCs w:val="24"/>
                <w:highlight w:val="none"/>
                <w:lang w:val="en-US" w:eastAsia="zh-CN"/>
              </w:rPr>
              <w:t>，且施工期短，对敏感点的影响</w:t>
            </w:r>
            <w:r>
              <w:rPr>
                <w:rFonts w:hint="eastAsia" w:cs="Times New Roman"/>
                <w:color w:val="auto"/>
                <w:sz w:val="24"/>
                <w:szCs w:val="24"/>
                <w:highlight w:val="none"/>
                <w:lang w:val="en-US" w:eastAsia="zh-CN"/>
              </w:rPr>
              <w:t>较小</w:t>
            </w:r>
            <w:r>
              <w:rPr>
                <w:rFonts w:hint="eastAsia" w:ascii="Times New Roman" w:hAnsi="Times New Roman" w:eastAsia="宋体" w:cs="Times New Roman"/>
                <w:color w:val="auto"/>
                <w:sz w:val="24"/>
                <w:szCs w:val="24"/>
                <w:highlight w:val="none"/>
                <w:lang w:val="en-US" w:eastAsia="zh-CN"/>
              </w:rPr>
              <w:t>，随着施工</w:t>
            </w:r>
            <w:r>
              <w:rPr>
                <w:rFonts w:hint="eastAsia" w:cs="Times New Roman"/>
                <w:color w:val="auto"/>
                <w:sz w:val="24"/>
                <w:szCs w:val="24"/>
                <w:highlight w:val="none"/>
                <w:lang w:val="en-US" w:eastAsia="zh-CN"/>
              </w:rPr>
              <w:t>期</w:t>
            </w:r>
            <w:r>
              <w:rPr>
                <w:rFonts w:hint="eastAsia" w:ascii="Times New Roman" w:hAnsi="Times New Roman" w:eastAsia="宋体" w:cs="Times New Roman"/>
                <w:color w:val="auto"/>
                <w:sz w:val="24"/>
                <w:szCs w:val="24"/>
                <w:highlight w:val="none"/>
                <w:lang w:val="en-US" w:eastAsia="zh-CN"/>
              </w:rPr>
              <w:t>结束，噪声影响也相继消失。</w:t>
            </w:r>
          </w:p>
          <w:p w14:paraId="354316E4">
            <w:pPr>
              <w:pStyle w:val="20"/>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baseline"/>
              <w:rPr>
                <w:rFonts w:hint="default" w:ascii="Times New Roman" w:hAnsi="Times New Roman" w:cs="Times New Roman"/>
                <w:b/>
                <w:bCs w:val="0"/>
                <w:color w:val="auto"/>
                <w:spacing w:val="0"/>
                <w:sz w:val="24"/>
                <w:szCs w:val="24"/>
                <w:lang w:val="en-US" w:eastAsia="zh-CN"/>
              </w:rPr>
            </w:pPr>
            <w:r>
              <w:rPr>
                <w:rFonts w:hint="eastAsia" w:ascii="Times New Roman" w:hAnsi="Times New Roman" w:cs="Times New Roman"/>
                <w:b/>
                <w:bCs w:val="0"/>
                <w:color w:val="auto"/>
                <w:spacing w:val="0"/>
                <w:sz w:val="24"/>
                <w:szCs w:val="24"/>
                <w:lang w:val="en-US" w:eastAsia="zh-CN"/>
              </w:rPr>
              <w:t>5、</w:t>
            </w:r>
            <w:r>
              <w:rPr>
                <w:rFonts w:hint="default" w:ascii="Times New Roman" w:hAnsi="Times New Roman" w:cs="Times New Roman"/>
                <w:b/>
                <w:bCs w:val="0"/>
                <w:color w:val="auto"/>
                <w:spacing w:val="0"/>
                <w:sz w:val="24"/>
                <w:szCs w:val="24"/>
                <w:lang w:val="en-US" w:eastAsia="zh-CN"/>
              </w:rPr>
              <w:t>固体废物影响分析</w:t>
            </w:r>
          </w:p>
          <w:p w14:paraId="449E0B63">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施工机械定期维护保养均依托附近正规修理厂，施工区域内不设维修场所；因此</w:t>
            </w:r>
            <w:r>
              <w:rPr>
                <w:rFonts w:hint="default" w:ascii="Times New Roman" w:hAnsi="Times New Roman" w:eastAsia="宋体" w:cs="Times New Roman"/>
                <w:color w:val="auto"/>
                <w:sz w:val="24"/>
                <w:szCs w:val="24"/>
                <w:highlight w:val="none"/>
                <w:lang w:val="en-US" w:eastAsia="zh-CN"/>
              </w:rPr>
              <w:t>施工期固体废物主要为</w:t>
            </w:r>
            <w:r>
              <w:rPr>
                <w:rFonts w:hint="eastAsia" w:ascii="Times New Roman" w:hAnsi="Times New Roman" w:eastAsia="宋体" w:cs="Times New Roman"/>
                <w:color w:val="auto"/>
                <w:sz w:val="24"/>
                <w:szCs w:val="24"/>
                <w:highlight w:val="none"/>
                <w:lang w:val="en-US" w:eastAsia="zh-CN"/>
              </w:rPr>
              <w:t>废弃土方、</w:t>
            </w:r>
            <w:r>
              <w:rPr>
                <w:rFonts w:hint="eastAsia" w:cs="Times New Roman"/>
                <w:color w:val="auto"/>
                <w:sz w:val="24"/>
                <w:szCs w:val="24"/>
                <w:highlight w:val="none"/>
                <w:lang w:val="en-US" w:eastAsia="zh-CN"/>
              </w:rPr>
              <w:t>建筑垃圾</w:t>
            </w:r>
            <w:r>
              <w:rPr>
                <w:rFonts w:hint="eastAsia" w:ascii="Times New Roman" w:hAnsi="Times New Roman" w:eastAsia="宋体" w:cs="Times New Roman"/>
                <w:color w:val="auto"/>
                <w:sz w:val="24"/>
                <w:szCs w:val="24"/>
                <w:highlight w:val="none"/>
                <w:lang w:val="en-US" w:eastAsia="zh-CN"/>
              </w:rPr>
              <w:t>，以及</w:t>
            </w:r>
            <w:r>
              <w:rPr>
                <w:rFonts w:hint="default" w:ascii="Times New Roman" w:hAnsi="Times New Roman" w:eastAsia="宋体" w:cs="Times New Roman"/>
                <w:color w:val="auto"/>
                <w:sz w:val="24"/>
                <w:szCs w:val="24"/>
                <w:highlight w:val="none"/>
                <w:lang w:val="en-US" w:eastAsia="zh-CN"/>
              </w:rPr>
              <w:t>施工人员产生的生活垃圾。</w:t>
            </w:r>
          </w:p>
          <w:p w14:paraId="5AC04DC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kern w:val="0"/>
                <w:sz w:val="24"/>
                <w:szCs w:val="24"/>
                <w:highlight w:val="none"/>
                <w:lang w:val="en-US" w:eastAsia="zh-CN"/>
              </w:rPr>
            </w:pPr>
            <w:r>
              <w:rPr>
                <w:rFonts w:hint="eastAsia" w:ascii="Times New Roman" w:hAnsi="Times New Roman" w:cs="Times New Roman"/>
                <w:b w:val="0"/>
                <w:bCs/>
                <w:color w:val="auto"/>
                <w:kern w:val="0"/>
                <w:sz w:val="24"/>
                <w:szCs w:val="24"/>
                <w:highlight w:val="none"/>
                <w:lang w:val="en-US" w:eastAsia="zh-CN"/>
              </w:rPr>
              <w:t>（1）废弃土方</w:t>
            </w:r>
          </w:p>
          <w:p w14:paraId="7805F8D9">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根据建设单位提供的施工资料，</w:t>
            </w:r>
            <w:r>
              <w:rPr>
                <w:rFonts w:hint="eastAsia" w:ascii="Times New Roman" w:hAnsi="Times New Roman" w:eastAsia="宋体" w:cs="Times New Roman"/>
                <w:color w:val="auto"/>
                <w:sz w:val="24"/>
                <w:szCs w:val="24"/>
                <w:highlight w:val="none"/>
                <w:lang w:val="en-US" w:eastAsia="zh-CN"/>
              </w:rPr>
              <w:t>本项目</w:t>
            </w:r>
            <w:r>
              <w:rPr>
                <w:rFonts w:hint="default" w:cs="Times New Roman"/>
                <w:color w:val="auto"/>
                <w:kern w:val="0"/>
                <w:sz w:val="24"/>
                <w:szCs w:val="24"/>
                <w:highlight w:val="none"/>
                <w:vertAlign w:val="baseline"/>
                <w:lang w:val="en-US" w:eastAsia="zh-CN" w:bidi="ar"/>
              </w:rPr>
              <w:t>需弃运土方</w:t>
            </w:r>
            <w:r>
              <w:rPr>
                <w:rFonts w:hint="eastAsia" w:cs="Times New Roman"/>
                <w:color w:val="auto"/>
                <w:kern w:val="0"/>
                <w:sz w:val="24"/>
                <w:szCs w:val="24"/>
                <w:highlight w:val="none"/>
                <w:vertAlign w:val="baseline"/>
                <w:lang w:val="en-US" w:eastAsia="zh-CN" w:bidi="ar"/>
              </w:rPr>
              <w:t>5.14万m</w:t>
            </w:r>
            <w:r>
              <w:rPr>
                <w:rFonts w:hint="eastAsia" w:cs="Times New Roman"/>
                <w:color w:val="auto"/>
                <w:kern w:val="0"/>
                <w:sz w:val="24"/>
                <w:szCs w:val="24"/>
                <w:highlight w:val="none"/>
                <w:vertAlign w:val="superscript"/>
                <w:lang w:val="en-US" w:eastAsia="zh-CN" w:bidi="ar"/>
              </w:rPr>
              <w:t>3</w:t>
            </w:r>
            <w:r>
              <w:rPr>
                <w:rFonts w:hint="eastAsia" w:cs="Times New Roman"/>
                <w:color w:val="auto"/>
                <w:kern w:val="0"/>
                <w:sz w:val="24"/>
                <w:szCs w:val="24"/>
                <w:highlight w:val="none"/>
                <w:vertAlign w:val="baseline"/>
                <w:lang w:val="en-US" w:eastAsia="zh-CN" w:bidi="ar"/>
              </w:rPr>
              <w:t>，本项目距河道较近，土方砂石含量较多，弃方</w:t>
            </w:r>
            <w:r>
              <w:rPr>
                <w:rFonts w:hint="default" w:cs="Times New Roman"/>
                <w:color w:val="auto"/>
                <w:kern w:val="0"/>
                <w:sz w:val="24"/>
                <w:szCs w:val="24"/>
                <w:highlight w:val="none"/>
                <w:vertAlign w:val="baseline"/>
                <w:lang w:val="en-US" w:eastAsia="zh-CN" w:bidi="ar"/>
              </w:rPr>
              <w:t>外运至</w:t>
            </w:r>
            <w:r>
              <w:rPr>
                <w:rFonts w:hint="eastAsia" w:cs="Times New Roman"/>
                <w:color w:val="auto"/>
                <w:kern w:val="0"/>
                <w:sz w:val="24"/>
                <w:szCs w:val="24"/>
                <w:highlight w:val="none"/>
                <w:vertAlign w:val="baseline"/>
                <w:lang w:val="en-US" w:eastAsia="zh-CN" w:bidi="ar"/>
              </w:rPr>
              <w:t>陇县国有化标准砂石厂综合利用，运距5km</w:t>
            </w:r>
            <w:r>
              <w:rPr>
                <w:rFonts w:hint="eastAsia" w:ascii="Times New Roman" w:hAnsi="Times New Roman" w:eastAsia="宋体" w:cs="Times New Roman"/>
                <w:color w:val="auto"/>
                <w:sz w:val="24"/>
                <w:szCs w:val="24"/>
                <w:highlight w:val="none"/>
                <w:lang w:val="en-US" w:eastAsia="zh-CN"/>
              </w:rPr>
              <w:t>。</w:t>
            </w:r>
          </w:p>
          <w:p w14:paraId="2C22ACBA">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建筑</w:t>
            </w:r>
            <w:r>
              <w:rPr>
                <w:rFonts w:hint="default" w:ascii="Times New Roman" w:hAnsi="Times New Roman" w:eastAsia="宋体" w:cs="Times New Roman"/>
                <w:color w:val="auto"/>
                <w:sz w:val="24"/>
                <w:szCs w:val="24"/>
                <w:highlight w:val="none"/>
                <w:lang w:val="en-US" w:eastAsia="zh-CN"/>
              </w:rPr>
              <w:t>垃圾</w:t>
            </w:r>
          </w:p>
          <w:p w14:paraId="2DBAA1BF">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建筑垃圾主要来自施工作业</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包括废砂石、碎砖瓦、废金属、废钢筋等</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建材垃圾以及废砂石、碎砖瓦、废金属、废钢筋等建材垃圾可以回收利用的回收利用</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其余无法回用</w:t>
            </w:r>
            <w:r>
              <w:rPr>
                <w:rFonts w:hint="eastAsia"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lang w:val="en-US" w:eastAsia="zh-CN"/>
              </w:rPr>
              <w:t>委托有建筑垃圾清运及资源化处置经营资质的单位清运至建筑垃圾行政主管部门指定的处置场所。</w:t>
            </w:r>
          </w:p>
          <w:p w14:paraId="503C252C">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（3）生活垃圾</w:t>
            </w:r>
          </w:p>
          <w:p w14:paraId="31F97C71">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本项目高峰期施工人员</w:t>
            </w:r>
            <w:r>
              <w:rPr>
                <w:rFonts w:hint="eastAsia" w:cs="Times New Roman"/>
                <w:color w:val="auto"/>
                <w:sz w:val="24"/>
                <w:szCs w:val="24"/>
                <w:highlight w:val="none"/>
                <w:lang w:val="en-US" w:eastAsia="zh-CN"/>
              </w:rPr>
              <w:t>约2</w:t>
            </w: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人，</w:t>
            </w:r>
            <w:r>
              <w:rPr>
                <w:rFonts w:hint="eastAsia" w:ascii="Times New Roman" w:hAnsi="Times New Roman" w:eastAsia="宋体" w:cs="Times New Roman"/>
                <w:color w:val="auto"/>
                <w:sz w:val="24"/>
                <w:szCs w:val="24"/>
                <w:highlight w:val="none"/>
                <w:lang w:val="en-US" w:eastAsia="zh-CN"/>
              </w:rPr>
              <w:t>施工方在施工区设置垃圾桶统一收集后送至附近垃圾收集点，</w:t>
            </w:r>
            <w:r>
              <w:rPr>
                <w:rFonts w:hint="default" w:ascii="Times New Roman" w:hAnsi="Times New Roman" w:eastAsia="宋体" w:cs="Times New Roman"/>
                <w:color w:val="auto"/>
                <w:sz w:val="24"/>
                <w:szCs w:val="24"/>
                <w:highlight w:val="none"/>
                <w:lang w:val="en-US" w:eastAsia="zh-CN"/>
              </w:rPr>
              <w:t>由环卫部门统一清运处置。</w:t>
            </w:r>
          </w:p>
          <w:p w14:paraId="08E02581">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综上，本</w:t>
            </w:r>
            <w:r>
              <w:rPr>
                <w:rFonts w:hint="eastAsia" w:ascii="Times New Roman" w:hAnsi="Times New Roman" w:eastAsia="宋体" w:cs="Times New Roman"/>
                <w:color w:val="auto"/>
                <w:sz w:val="24"/>
                <w:szCs w:val="24"/>
                <w:highlight w:val="none"/>
                <w:lang w:val="en-US" w:eastAsia="zh-CN"/>
              </w:rPr>
              <w:t>工程</w:t>
            </w:r>
            <w:r>
              <w:rPr>
                <w:rFonts w:hint="default" w:ascii="Times New Roman" w:hAnsi="Times New Roman" w:eastAsia="宋体" w:cs="Times New Roman"/>
                <w:color w:val="auto"/>
                <w:sz w:val="24"/>
                <w:szCs w:val="24"/>
                <w:highlight w:val="none"/>
                <w:lang w:val="en-US" w:eastAsia="zh-CN"/>
              </w:rPr>
              <w:t>固体废物</w:t>
            </w:r>
            <w:r>
              <w:rPr>
                <w:rFonts w:hint="eastAsia" w:cs="Times New Roman"/>
                <w:color w:val="auto"/>
                <w:sz w:val="24"/>
                <w:szCs w:val="24"/>
                <w:highlight w:val="none"/>
                <w:lang w:val="en-US" w:eastAsia="zh-CN"/>
              </w:rPr>
              <w:t>能够</w:t>
            </w:r>
            <w:r>
              <w:rPr>
                <w:rFonts w:hint="default" w:ascii="Times New Roman" w:hAnsi="Times New Roman" w:eastAsia="宋体" w:cs="Times New Roman"/>
                <w:color w:val="auto"/>
                <w:sz w:val="24"/>
                <w:szCs w:val="24"/>
                <w:highlight w:val="none"/>
                <w:lang w:val="en-US" w:eastAsia="zh-CN"/>
              </w:rPr>
              <w:t>得到有效处置，不会对周围环境造成明显不利影响。</w:t>
            </w:r>
          </w:p>
          <w:p w14:paraId="72F073D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cs="Times New Roman"/>
                <w:b/>
                <w:bCs/>
                <w:color w:val="auto"/>
                <w:spacing w:val="0"/>
                <w:w w:val="100"/>
                <w:position w:val="0"/>
                <w:sz w:val="24"/>
                <w:szCs w:val="24"/>
                <w:highlight w:val="none"/>
                <w:lang w:val="en-US" w:eastAsia="zh-CN"/>
              </w:rPr>
            </w:pPr>
            <w:r>
              <w:rPr>
                <w:rFonts w:hint="default" w:cs="Times New Roman"/>
                <w:b/>
                <w:bCs/>
                <w:color w:val="auto"/>
                <w:spacing w:val="0"/>
                <w:w w:val="100"/>
                <w:position w:val="0"/>
                <w:sz w:val="24"/>
                <w:szCs w:val="24"/>
                <w:highlight w:val="none"/>
                <w:lang w:val="en-US" w:eastAsia="zh-CN"/>
              </w:rPr>
              <w:t>6.土壤环境影响分析</w:t>
            </w:r>
          </w:p>
          <w:p w14:paraId="625CA0CD">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施工过程中临时占地绝大部分可恢复利用。但由于土</w:t>
            </w:r>
            <w:r>
              <w:rPr>
                <w:rFonts w:hint="eastAsia" w:cs="Times New Roman"/>
                <w:color w:val="auto"/>
                <w:sz w:val="24"/>
                <w:szCs w:val="24"/>
                <w:highlight w:val="none"/>
                <w:lang w:val="en-US" w:eastAsia="zh-CN"/>
              </w:rPr>
              <w:t>方</w:t>
            </w:r>
            <w:r>
              <w:rPr>
                <w:rFonts w:hint="default" w:ascii="Times New Roman" w:hAnsi="Times New Roman" w:eastAsia="宋体" w:cs="Times New Roman"/>
                <w:color w:val="auto"/>
                <w:sz w:val="24"/>
                <w:szCs w:val="24"/>
                <w:highlight w:val="none"/>
                <w:lang w:val="en-US" w:eastAsia="zh-CN"/>
              </w:rPr>
              <w:t>开挖，对土壤结构和理化性质造成一定影响，并因重型施工机械的碾压、施工人员践踏、土体的扰动等原因，使</w:t>
            </w:r>
            <w:r>
              <w:rPr>
                <w:rFonts w:hint="eastAsia" w:cs="Times New Roman"/>
                <w:color w:val="auto"/>
                <w:sz w:val="24"/>
                <w:szCs w:val="24"/>
                <w:highlight w:val="none"/>
                <w:lang w:val="en-US" w:eastAsia="zh-CN"/>
              </w:rPr>
              <w:t>周边</w:t>
            </w:r>
            <w:r>
              <w:rPr>
                <w:rFonts w:hint="default" w:ascii="Times New Roman" w:hAnsi="Times New Roman" w:eastAsia="宋体" w:cs="Times New Roman"/>
                <w:color w:val="auto"/>
                <w:sz w:val="24"/>
                <w:szCs w:val="24"/>
                <w:highlight w:val="none"/>
                <w:lang w:val="en-US" w:eastAsia="zh-CN"/>
              </w:rPr>
              <w:t>耕作层土壤及自然土壤的理化性质、肥力都受到一定程度的影响，并进一步影响地表植被恢复。</w:t>
            </w:r>
          </w:p>
          <w:p w14:paraId="55840EC0">
            <w:pPr>
              <w:pStyle w:val="20"/>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baseline"/>
              <w:rPr>
                <w:rFonts w:hint="default" w:ascii="Times New Roman" w:hAnsi="Times New Roman" w:eastAsia="宋体" w:cs="Times New Roman"/>
                <w:b/>
                <w:bCs w:val="0"/>
                <w:color w:val="auto"/>
                <w:spacing w:val="0"/>
                <w:sz w:val="24"/>
                <w:szCs w:val="24"/>
                <w:lang w:val="en-US" w:eastAsia="zh-CN"/>
              </w:rPr>
            </w:pPr>
            <w:r>
              <w:rPr>
                <w:rFonts w:hint="default" w:ascii="Times New Roman" w:hAnsi="Times New Roman" w:eastAsia="宋体" w:cs="Times New Roman"/>
                <w:b/>
                <w:bCs w:val="0"/>
                <w:color w:val="auto"/>
                <w:spacing w:val="0"/>
                <w:sz w:val="24"/>
                <w:szCs w:val="24"/>
                <w:lang w:val="en-US" w:eastAsia="zh-CN"/>
              </w:rPr>
              <w:t>7.环境风险影响分析</w:t>
            </w:r>
          </w:p>
          <w:p w14:paraId="1155DC0D">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color w:val="auto"/>
                <w:spacing w:val="0"/>
                <w:w w:val="100"/>
                <w:kern w:val="2"/>
                <w:position w:val="0"/>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本工程属非污染生态类项目，主要施工内容为</w:t>
            </w:r>
            <w:r>
              <w:rPr>
                <w:rFonts w:hint="eastAsia" w:cs="Times New Roman"/>
                <w:color w:val="auto"/>
                <w:sz w:val="24"/>
                <w:szCs w:val="24"/>
                <w:highlight w:val="none"/>
                <w:lang w:val="en-US" w:eastAsia="zh-CN"/>
              </w:rPr>
              <w:t>人工湿地和</w:t>
            </w:r>
            <w:r>
              <w:rPr>
                <w:rFonts w:hint="default" w:ascii="Times New Roman" w:hAnsi="Times New Roman" w:eastAsia="宋体" w:cs="Times New Roman"/>
                <w:color w:val="auto"/>
                <w:sz w:val="24"/>
                <w:szCs w:val="24"/>
                <w:highlight w:val="none"/>
                <w:lang w:val="en-US" w:eastAsia="zh-CN"/>
              </w:rPr>
              <w:t>护岸工程建设。项目施工期不涉及有毒有害、易燃易爆物质的贮存，施工机械、运输车辆不在施工区范围内进行燃料加注、维修保养等活动。因此，施工期环境风险主要为：施工机械、运输车辆在施工作业和运输过程中发生故障，造成油类物质泄漏，可能对</w:t>
            </w:r>
            <w:r>
              <w:rPr>
                <w:rFonts w:hint="eastAsia" w:cs="Times New Roman"/>
                <w:color w:val="auto"/>
                <w:sz w:val="24"/>
                <w:szCs w:val="24"/>
                <w:highlight w:val="none"/>
                <w:lang w:val="en-US" w:eastAsia="zh-CN"/>
              </w:rPr>
              <w:t>千</w:t>
            </w:r>
            <w:r>
              <w:rPr>
                <w:rFonts w:hint="default" w:ascii="Times New Roman" w:hAnsi="Times New Roman" w:eastAsia="宋体" w:cs="Times New Roman"/>
                <w:color w:val="auto"/>
                <w:sz w:val="24"/>
                <w:szCs w:val="24"/>
                <w:highlight w:val="none"/>
                <w:lang w:val="en-US" w:eastAsia="zh-CN"/>
              </w:rPr>
              <w:t>河水质造成影响。</w:t>
            </w:r>
          </w:p>
        </w:tc>
      </w:tr>
      <w:tr w14:paraId="2376BF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91" w:type="dxa"/>
            <w:noWrap w:val="0"/>
            <w:tcMar>
              <w:left w:w="28" w:type="dxa"/>
              <w:right w:w="28" w:type="dxa"/>
            </w:tcMar>
            <w:vAlign w:val="center"/>
          </w:tcPr>
          <w:p w14:paraId="09D2F905">
            <w:pPr>
              <w:pStyle w:val="15"/>
              <w:adjustRightInd w:val="0"/>
              <w:snapToGrid w:val="0"/>
              <w:spacing w:before="0" w:beforeAutospacing="0" w:after="0" w:afterAutospacing="0"/>
              <w:jc w:val="center"/>
              <w:rPr>
                <w:rFonts w:hint="eastAsia" w:cs="宋体"/>
                <w:color w:val="auto"/>
                <w:kern w:val="2"/>
                <w:sz w:val="24"/>
                <w:szCs w:val="24"/>
                <w:lang w:val="en-US" w:eastAsia="zh-CN"/>
              </w:rPr>
            </w:pPr>
            <w:r>
              <w:rPr>
                <w:rFonts w:hint="eastAsia" w:ascii="宋体" w:hAnsi="宋体" w:eastAsia="宋体" w:cs="宋体"/>
                <w:color w:val="auto"/>
                <w:kern w:val="2"/>
                <w:sz w:val="24"/>
                <w:szCs w:val="24"/>
                <w:lang w:val="en-US" w:eastAsia="zh-CN"/>
              </w:rPr>
              <w:t>运营期</w:t>
            </w:r>
            <w:r>
              <w:rPr>
                <w:rFonts w:hint="eastAsia" w:cs="宋体"/>
                <w:color w:val="auto"/>
                <w:kern w:val="2"/>
                <w:sz w:val="24"/>
                <w:szCs w:val="24"/>
                <w:lang w:val="en-US" w:eastAsia="zh-CN"/>
              </w:rPr>
              <w:t>生态环境影响分析</w:t>
            </w:r>
          </w:p>
        </w:tc>
        <w:tc>
          <w:tcPr>
            <w:tcW w:w="8090" w:type="dxa"/>
            <w:noWrap w:val="0"/>
            <w:vAlign w:val="center"/>
          </w:tcPr>
          <w:p w14:paraId="209FCEC8">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大气环境影响分析</w:t>
            </w:r>
          </w:p>
          <w:p w14:paraId="10664DFD">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本项目运营期废气主要是人工湿地在运营过程中维护不当易产生少量恶臭污染物</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恶臭气体大部分经湿地基质和大气吸附后</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对外散失少</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其产生量较微弱环境影响微弱。考虑本项目建设完成后</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湿地植物丰茂</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将进一步对微量恶臭气体产生净化和吸附作用。因此</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本项目运营期恶臭气体对周围大气环境影响</w:t>
            </w:r>
            <w:r>
              <w:rPr>
                <w:rFonts w:hint="eastAsia" w:cs="Times New Roman"/>
                <w:color w:val="auto"/>
                <w:sz w:val="24"/>
                <w:szCs w:val="24"/>
                <w:highlight w:val="none"/>
                <w:lang w:val="en-US" w:eastAsia="zh-CN"/>
              </w:rPr>
              <w:t>很</w:t>
            </w:r>
            <w:r>
              <w:rPr>
                <w:rFonts w:hint="eastAsia" w:ascii="Times New Roman" w:hAnsi="Times New Roman" w:eastAsia="宋体" w:cs="Times New Roman"/>
                <w:color w:val="auto"/>
                <w:sz w:val="24"/>
                <w:szCs w:val="24"/>
                <w:highlight w:val="none"/>
                <w:lang w:val="en-US" w:eastAsia="zh-CN"/>
              </w:rPr>
              <w:t>小。</w:t>
            </w:r>
          </w:p>
          <w:p w14:paraId="775B144D">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地表水环境影响分析</w:t>
            </w:r>
          </w:p>
          <w:p w14:paraId="47552E3F">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本项目建成后</w:t>
            </w:r>
            <w:r>
              <w:rPr>
                <w:rFonts w:hint="eastAsia" w:cs="Times New Roman"/>
                <w:color w:val="auto"/>
                <w:sz w:val="24"/>
                <w:szCs w:val="24"/>
                <w:highlight w:val="none"/>
                <w:lang w:val="en-US" w:eastAsia="zh-CN"/>
              </w:rPr>
              <w:t>陇县</w:t>
            </w:r>
            <w:r>
              <w:rPr>
                <w:rFonts w:hint="eastAsia" w:ascii="Times New Roman" w:hAnsi="Times New Roman" w:eastAsia="宋体" w:cs="Times New Roman"/>
                <w:color w:val="auto"/>
                <w:sz w:val="24"/>
                <w:szCs w:val="24"/>
                <w:highlight w:val="none"/>
                <w:lang w:val="en-US" w:eastAsia="zh-CN"/>
              </w:rPr>
              <w:t>污水处理厂</w:t>
            </w:r>
            <w:r>
              <w:rPr>
                <w:rFonts w:hint="eastAsia" w:cs="Times New Roman"/>
                <w:color w:val="auto"/>
                <w:sz w:val="24"/>
                <w:szCs w:val="24"/>
                <w:highlight w:val="none"/>
                <w:lang w:val="en-US" w:eastAsia="zh-CN"/>
              </w:rPr>
              <w:t>和陇县千河南岸新城污水处理厂部分</w:t>
            </w:r>
            <w:r>
              <w:rPr>
                <w:rFonts w:hint="eastAsia" w:ascii="Times New Roman" w:hAnsi="Times New Roman" w:eastAsia="宋体" w:cs="Times New Roman"/>
                <w:color w:val="auto"/>
                <w:sz w:val="24"/>
                <w:szCs w:val="24"/>
                <w:highlight w:val="none"/>
                <w:lang w:val="en-US" w:eastAsia="zh-CN"/>
              </w:rPr>
              <w:t>尾水进一步净化</w:t>
            </w:r>
            <w:r>
              <w:rPr>
                <w:rFonts w:hint="eastAsia" w:cs="Times New Roman"/>
                <w:color w:val="auto"/>
                <w:sz w:val="24"/>
                <w:szCs w:val="24"/>
                <w:highlight w:val="none"/>
                <w:lang w:val="en-US" w:eastAsia="zh-CN"/>
              </w:rPr>
              <w:t>后排入千河和大杜阳河，减少排入河流的污染物，</w:t>
            </w:r>
            <w:r>
              <w:rPr>
                <w:rFonts w:hint="eastAsia" w:ascii="Times New Roman" w:hAnsi="Times New Roman" w:eastAsia="宋体" w:cs="Times New Roman"/>
                <w:color w:val="auto"/>
                <w:sz w:val="24"/>
                <w:szCs w:val="24"/>
                <w:highlight w:val="none"/>
                <w:lang w:val="en-US" w:eastAsia="zh-CN"/>
              </w:rPr>
              <w:t>本项目实施后每年可削减污染物</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COD:324.32t/a、NH3-N:34.72t/a、 TP:5.09t/a。可以改善</w:t>
            </w:r>
            <w:r>
              <w:rPr>
                <w:rFonts w:hint="eastAsia" w:cs="Times New Roman"/>
                <w:color w:val="auto"/>
                <w:sz w:val="24"/>
                <w:szCs w:val="24"/>
                <w:highlight w:val="none"/>
                <w:lang w:val="en-US" w:eastAsia="zh-CN"/>
              </w:rPr>
              <w:t>千河</w:t>
            </w:r>
            <w:r>
              <w:rPr>
                <w:rFonts w:hint="eastAsia" w:ascii="Times New Roman" w:hAnsi="Times New Roman" w:eastAsia="宋体" w:cs="Times New Roman"/>
                <w:color w:val="auto"/>
                <w:sz w:val="24"/>
                <w:szCs w:val="24"/>
                <w:highlight w:val="none"/>
                <w:lang w:val="en-US" w:eastAsia="zh-CN"/>
              </w:rPr>
              <w:t>水质</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可保障</w:t>
            </w:r>
            <w:r>
              <w:rPr>
                <w:rFonts w:ascii="宋体" w:hAnsi="宋体" w:eastAsia="宋体" w:cs="宋体"/>
                <w:spacing w:val="-2"/>
                <w:sz w:val="24"/>
                <w:szCs w:val="24"/>
              </w:rPr>
              <w:t>千陇交界（水沟桥）水质监测</w:t>
            </w:r>
            <w:r>
              <w:rPr>
                <w:rFonts w:ascii="宋体" w:hAnsi="宋体" w:eastAsia="宋体" w:cs="宋体"/>
                <w:spacing w:val="-11"/>
                <w:sz w:val="24"/>
                <w:szCs w:val="24"/>
              </w:rPr>
              <w:t>断面</w:t>
            </w:r>
            <w:r>
              <w:rPr>
                <w:rFonts w:hint="eastAsia" w:ascii="Times New Roman" w:hAnsi="Times New Roman" w:eastAsia="宋体" w:cs="Times New Roman"/>
                <w:color w:val="auto"/>
                <w:sz w:val="24"/>
                <w:szCs w:val="24"/>
                <w:highlight w:val="none"/>
                <w:lang w:val="en-US" w:eastAsia="zh-CN"/>
              </w:rPr>
              <w:t>水质满足考核要求</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提升目前水质现状。从环保角度</w:t>
            </w:r>
            <w:r>
              <w:rPr>
                <w:rFonts w:hint="eastAsia" w:cs="Times New Roman"/>
                <w:color w:val="auto"/>
                <w:sz w:val="24"/>
                <w:szCs w:val="24"/>
                <w:highlight w:val="none"/>
                <w:lang w:val="en-US" w:eastAsia="zh-CN"/>
              </w:rPr>
              <w:t>，项目建设</w:t>
            </w:r>
            <w:r>
              <w:rPr>
                <w:rFonts w:hint="eastAsia" w:ascii="Times New Roman" w:hAnsi="Times New Roman" w:eastAsia="宋体" w:cs="Times New Roman"/>
                <w:color w:val="auto"/>
                <w:sz w:val="24"/>
                <w:szCs w:val="24"/>
                <w:highlight w:val="none"/>
                <w:lang w:val="en-US" w:eastAsia="zh-CN"/>
              </w:rPr>
              <w:t>对区域地表水影响为正向效益</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项目建设可行。</w:t>
            </w:r>
          </w:p>
          <w:p w14:paraId="1A8B9F76">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固体废物影响分析</w:t>
            </w:r>
          </w:p>
          <w:p w14:paraId="1ACA1166">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湿地运营维护过程中会产生一定量的杂草和垃圾</w:t>
            </w:r>
            <w:r>
              <w:rPr>
                <w:rFonts w:hint="eastAsia" w:cs="Times New Roman"/>
                <w:color w:val="auto"/>
                <w:sz w:val="24"/>
                <w:szCs w:val="24"/>
                <w:highlight w:val="none"/>
                <w:lang w:val="en-US" w:eastAsia="zh-CN"/>
              </w:rPr>
              <w:t>，湿地定期清淤产生清淤废物，</w:t>
            </w:r>
            <w:r>
              <w:rPr>
                <w:rFonts w:hint="eastAsia" w:ascii="Times New Roman" w:hAnsi="Times New Roman" w:eastAsia="宋体" w:cs="Times New Roman"/>
                <w:color w:val="auto"/>
                <w:sz w:val="24"/>
                <w:szCs w:val="24"/>
                <w:highlight w:val="none"/>
                <w:lang w:val="en-US" w:eastAsia="zh-CN"/>
              </w:rPr>
              <w:t>委托环卫部门定期清运处置。处置率为100%</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不会对周边环境产生不利影响。</w:t>
            </w:r>
          </w:p>
          <w:p w14:paraId="2E7C108A">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声环境影响分析</w:t>
            </w:r>
          </w:p>
          <w:p w14:paraId="53E00505">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项目运营期</w:t>
            </w:r>
            <w:r>
              <w:rPr>
                <w:rFonts w:hint="eastAsia" w:cs="Times New Roman"/>
                <w:color w:val="auto"/>
                <w:sz w:val="24"/>
                <w:szCs w:val="24"/>
                <w:highlight w:val="none"/>
                <w:lang w:val="en-US" w:eastAsia="zh-CN"/>
              </w:rPr>
              <w:t>污水处理厂尾水进、出人工湿地均为自流，无</w:t>
            </w:r>
            <w:r>
              <w:rPr>
                <w:rFonts w:hint="eastAsia" w:ascii="Times New Roman" w:hAnsi="Times New Roman" w:eastAsia="宋体" w:cs="Times New Roman"/>
                <w:color w:val="auto"/>
                <w:sz w:val="24"/>
                <w:szCs w:val="24"/>
                <w:highlight w:val="none"/>
                <w:lang w:val="en-US" w:eastAsia="zh-CN"/>
              </w:rPr>
              <w:t>产生噪声的设备</w:t>
            </w:r>
            <w:r>
              <w:rPr>
                <w:rFonts w:hint="eastAsia" w:cs="Times New Roman"/>
                <w:color w:val="auto"/>
                <w:sz w:val="24"/>
                <w:szCs w:val="24"/>
                <w:highlight w:val="none"/>
                <w:lang w:val="en-US" w:eastAsia="zh-CN"/>
              </w:rPr>
              <w:t>，因此运营期不会对周边声环境产生影响</w:t>
            </w:r>
            <w:r>
              <w:rPr>
                <w:rFonts w:hint="eastAsia" w:ascii="Times New Roman" w:hAnsi="Times New Roman" w:eastAsia="宋体" w:cs="Times New Roman"/>
                <w:color w:val="auto"/>
                <w:sz w:val="24"/>
                <w:szCs w:val="24"/>
                <w:highlight w:val="none"/>
                <w:lang w:val="en-US" w:eastAsia="zh-CN"/>
              </w:rPr>
              <w:t>。</w:t>
            </w:r>
          </w:p>
          <w:p w14:paraId="17BF88B3">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val="en-US" w:eastAsia="zh-CN"/>
              </w:rPr>
              <w:t>生态环境影响分析</w:t>
            </w:r>
          </w:p>
          <w:p w14:paraId="3061A73C">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项目区内无国家保护野生珍稀濒危动植物</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有适应性较强的小动物生存</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可以适应运营期人工湿地对当地生态环境的影响。本项目为</w:t>
            </w:r>
            <w:r>
              <w:rPr>
                <w:rFonts w:hint="eastAsia" w:cs="Times New Roman"/>
                <w:color w:val="auto"/>
                <w:sz w:val="24"/>
                <w:szCs w:val="24"/>
                <w:highlight w:val="none"/>
                <w:lang w:val="en-US" w:eastAsia="zh-CN"/>
              </w:rPr>
              <w:t>污水处理厂</w:t>
            </w:r>
            <w:r>
              <w:rPr>
                <w:rFonts w:hint="eastAsia" w:ascii="Times New Roman" w:hAnsi="Times New Roman" w:eastAsia="宋体" w:cs="Times New Roman"/>
                <w:color w:val="auto"/>
                <w:sz w:val="24"/>
                <w:szCs w:val="24"/>
                <w:highlight w:val="none"/>
                <w:lang w:val="en-US" w:eastAsia="zh-CN"/>
              </w:rPr>
              <w:t>人工湿地水质净化工程</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主要对</w:t>
            </w:r>
            <w:r>
              <w:rPr>
                <w:rFonts w:hint="eastAsia" w:cs="Times New Roman"/>
                <w:color w:val="auto"/>
                <w:sz w:val="24"/>
                <w:szCs w:val="24"/>
                <w:highlight w:val="none"/>
                <w:lang w:val="en-US" w:eastAsia="zh-CN"/>
              </w:rPr>
              <w:t>两座</w:t>
            </w:r>
            <w:r>
              <w:rPr>
                <w:rFonts w:hint="eastAsia" w:ascii="Times New Roman" w:hAnsi="Times New Roman" w:eastAsia="宋体" w:cs="Times New Roman"/>
                <w:color w:val="auto"/>
                <w:sz w:val="24"/>
                <w:szCs w:val="24"/>
                <w:highlight w:val="none"/>
                <w:lang w:val="en-US" w:eastAsia="zh-CN"/>
              </w:rPr>
              <w:t>污水处理厂</w:t>
            </w:r>
            <w:r>
              <w:rPr>
                <w:rFonts w:hint="eastAsia" w:cs="Times New Roman"/>
                <w:color w:val="auto"/>
                <w:sz w:val="24"/>
                <w:szCs w:val="24"/>
                <w:highlight w:val="none"/>
                <w:lang w:val="en-US" w:eastAsia="zh-CN"/>
              </w:rPr>
              <w:t>的部分</w:t>
            </w:r>
            <w:r>
              <w:rPr>
                <w:rFonts w:hint="eastAsia" w:ascii="Times New Roman" w:hAnsi="Times New Roman" w:eastAsia="宋体" w:cs="Times New Roman"/>
                <w:color w:val="auto"/>
                <w:sz w:val="24"/>
                <w:szCs w:val="24"/>
                <w:highlight w:val="none"/>
                <w:lang w:val="en-US" w:eastAsia="zh-CN"/>
              </w:rPr>
              <w:t>尾水采用</w:t>
            </w:r>
            <w:r>
              <w:rPr>
                <w:rFonts w:hint="eastAsia" w:cs="Times New Roman"/>
                <w:color w:val="auto"/>
                <w:sz w:val="24"/>
                <w:szCs w:val="24"/>
                <w:highlight w:val="none"/>
                <w:lang w:val="en-US" w:eastAsia="zh-CN"/>
              </w:rPr>
              <w:t>人工湿地</w:t>
            </w:r>
            <w:r>
              <w:rPr>
                <w:rFonts w:hint="eastAsia" w:ascii="Times New Roman" w:hAnsi="Times New Roman" w:eastAsia="宋体" w:cs="Times New Roman"/>
                <w:color w:val="auto"/>
                <w:sz w:val="24"/>
                <w:szCs w:val="24"/>
                <w:highlight w:val="none"/>
                <w:lang w:val="en-US" w:eastAsia="zh-CN"/>
              </w:rPr>
              <w:t>进一步处理</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处理后的水体可改善周围水生态环境</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建设人工湿地</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是具有水质净化与生态多样性功能的水处理和湿地生态系统</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能更好地发挥湿地调节气候、美化环境、保护生物多样性及涵养水源、净化水质等有益于生态的各种正效益。因此本项目的建设有利于区域水环境保护及</w:t>
            </w:r>
            <w:r>
              <w:rPr>
                <w:rFonts w:hint="eastAsia" w:cs="Times New Roman"/>
                <w:color w:val="auto"/>
                <w:sz w:val="24"/>
                <w:szCs w:val="24"/>
                <w:highlight w:val="none"/>
                <w:lang w:val="en-US" w:eastAsia="zh-CN"/>
              </w:rPr>
              <w:t>生态环境保护，</w:t>
            </w:r>
            <w:r>
              <w:rPr>
                <w:rFonts w:hint="eastAsia" w:ascii="Times New Roman" w:hAnsi="Times New Roman" w:eastAsia="宋体" w:cs="Times New Roman"/>
                <w:color w:val="auto"/>
                <w:sz w:val="24"/>
                <w:szCs w:val="24"/>
                <w:highlight w:val="none"/>
                <w:lang w:val="en-US" w:eastAsia="zh-CN"/>
              </w:rPr>
              <w:t>促进周边区域生态环境的良性循环。</w:t>
            </w:r>
          </w:p>
          <w:p w14:paraId="6EF7C697">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p>
          <w:p w14:paraId="0F924772">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p>
          <w:p w14:paraId="3C7C317D">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p>
          <w:p w14:paraId="2C2CB9DC">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p>
          <w:p w14:paraId="3048FE50">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p>
          <w:p w14:paraId="4AB670A4">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p>
          <w:p w14:paraId="616140E8">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p>
          <w:p w14:paraId="30356E0B">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p>
        </w:tc>
      </w:tr>
      <w:tr w14:paraId="469A1A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31" w:hRule="atLeast"/>
          <w:jc w:val="center"/>
        </w:trPr>
        <w:tc>
          <w:tcPr>
            <w:tcW w:w="891" w:type="dxa"/>
            <w:noWrap w:val="0"/>
            <w:tcMar>
              <w:left w:w="28" w:type="dxa"/>
              <w:right w:w="28" w:type="dxa"/>
            </w:tcMar>
            <w:vAlign w:val="center"/>
          </w:tcPr>
          <w:p w14:paraId="1CD0C3D9">
            <w:pPr>
              <w:keepNext w:val="0"/>
              <w:keepLines w:val="0"/>
              <w:widowControl/>
              <w:suppressLineNumbers w:val="0"/>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选址选</w:t>
            </w:r>
          </w:p>
          <w:p w14:paraId="6535CA05">
            <w:pPr>
              <w:keepNext w:val="0"/>
              <w:keepLines w:val="0"/>
              <w:widowControl/>
              <w:suppressLineNumbers w:val="0"/>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线环境</w:t>
            </w:r>
          </w:p>
          <w:p w14:paraId="60D6D573">
            <w:pPr>
              <w:keepNext w:val="0"/>
              <w:keepLines w:val="0"/>
              <w:widowControl/>
              <w:suppressLineNumbers w:val="0"/>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合理性</w:t>
            </w:r>
          </w:p>
          <w:p w14:paraId="182BAE01">
            <w:pPr>
              <w:keepNext w:val="0"/>
              <w:keepLines w:val="0"/>
              <w:widowControl/>
              <w:suppressLineNumbers w:val="0"/>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分析</w:t>
            </w:r>
          </w:p>
          <w:p w14:paraId="7EDB5A6C">
            <w:pPr>
              <w:pStyle w:val="15"/>
              <w:adjustRightInd w:val="0"/>
              <w:snapToGrid w:val="0"/>
              <w:spacing w:before="0" w:beforeAutospacing="0" w:after="0" w:afterAutospacing="0"/>
              <w:jc w:val="center"/>
              <w:rPr>
                <w:rFonts w:hint="eastAsia" w:ascii="宋体" w:hAnsi="宋体" w:eastAsia="宋体" w:cs="宋体"/>
                <w:color w:val="auto"/>
                <w:kern w:val="2"/>
                <w:sz w:val="24"/>
                <w:szCs w:val="24"/>
                <w:lang w:val="en-US" w:eastAsia="zh-CN"/>
              </w:rPr>
            </w:pPr>
          </w:p>
        </w:tc>
        <w:tc>
          <w:tcPr>
            <w:tcW w:w="8090" w:type="dxa"/>
            <w:noWrap w:val="0"/>
            <w:vAlign w:val="center"/>
          </w:tcPr>
          <w:p w14:paraId="78167DE4">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32"/>
              </w:rPr>
            </w:pPr>
            <w:r>
              <w:rPr>
                <w:rFonts w:hint="eastAsia"/>
                <w:color w:val="auto"/>
                <w:sz w:val="24"/>
                <w:szCs w:val="32"/>
                <w:lang w:val="en-US" w:eastAsia="zh-CN"/>
              </w:rPr>
              <w:t>陇县污水处理厂人工湿地</w:t>
            </w:r>
            <w:r>
              <w:rPr>
                <w:rFonts w:hint="eastAsia"/>
                <w:color w:val="auto"/>
                <w:sz w:val="24"/>
                <w:szCs w:val="32"/>
              </w:rPr>
              <w:t>选址位于</w:t>
            </w:r>
            <w:r>
              <w:rPr>
                <w:rFonts w:hint="eastAsia"/>
                <w:color w:val="auto"/>
                <w:sz w:val="24"/>
                <w:szCs w:val="32"/>
                <w:lang w:val="en-US" w:eastAsia="zh-CN"/>
              </w:rPr>
              <w:t>陇县</w:t>
            </w:r>
            <w:r>
              <w:rPr>
                <w:rFonts w:hint="eastAsia"/>
                <w:color w:val="auto"/>
                <w:sz w:val="24"/>
                <w:szCs w:val="32"/>
              </w:rPr>
              <w:t>污水处理厂</w:t>
            </w:r>
            <w:r>
              <w:rPr>
                <w:rFonts w:hint="eastAsia"/>
                <w:color w:val="auto"/>
                <w:sz w:val="24"/>
                <w:szCs w:val="32"/>
                <w:lang w:val="en-US" w:eastAsia="zh-CN"/>
              </w:rPr>
              <w:t>西南侧，污水处理厂与千河左岸堤防之间的可利用场地</w:t>
            </w:r>
            <w:r>
              <w:rPr>
                <w:rFonts w:hint="eastAsia"/>
                <w:color w:val="auto"/>
                <w:sz w:val="24"/>
                <w:szCs w:val="32"/>
                <w:lang w:eastAsia="zh-CN"/>
              </w:rPr>
              <w:t>，</w:t>
            </w:r>
            <w:r>
              <w:rPr>
                <w:rFonts w:hint="eastAsia"/>
                <w:color w:val="auto"/>
                <w:sz w:val="24"/>
                <w:szCs w:val="32"/>
              </w:rPr>
              <w:t>西侧临近</w:t>
            </w:r>
            <w:r>
              <w:rPr>
                <w:rFonts w:hint="eastAsia"/>
                <w:color w:val="auto"/>
                <w:sz w:val="24"/>
                <w:szCs w:val="32"/>
                <w:lang w:val="en-US" w:eastAsia="zh-CN"/>
              </w:rPr>
              <w:t>千</w:t>
            </w:r>
            <w:r>
              <w:rPr>
                <w:rFonts w:hint="eastAsia"/>
                <w:color w:val="auto"/>
                <w:sz w:val="24"/>
                <w:szCs w:val="32"/>
              </w:rPr>
              <w:t>河</w:t>
            </w:r>
            <w:r>
              <w:rPr>
                <w:rFonts w:hint="eastAsia"/>
                <w:color w:val="auto"/>
                <w:sz w:val="24"/>
                <w:szCs w:val="32"/>
                <w:lang w:eastAsia="zh-CN"/>
              </w:rPr>
              <w:t>；</w:t>
            </w:r>
            <w:r>
              <w:rPr>
                <w:rFonts w:ascii="宋体" w:hAnsi="宋体" w:eastAsia="宋体" w:cs="宋体"/>
                <w:spacing w:val="-2"/>
                <w:sz w:val="24"/>
                <w:szCs w:val="24"/>
              </w:rPr>
              <w:t>陇县千河南岸新城污水处理厂</w:t>
            </w:r>
            <w:r>
              <w:rPr>
                <w:rFonts w:hint="eastAsia" w:ascii="宋体" w:hAnsi="宋体" w:eastAsia="宋体" w:cs="宋体"/>
                <w:spacing w:val="-2"/>
                <w:sz w:val="24"/>
                <w:szCs w:val="24"/>
                <w:lang w:val="en-US" w:eastAsia="zh-CN"/>
              </w:rPr>
              <w:t>人工湿地选址位于</w:t>
            </w:r>
            <w:r>
              <w:rPr>
                <w:rFonts w:ascii="宋体" w:hAnsi="宋体" w:eastAsia="宋体" w:cs="宋体"/>
                <w:spacing w:val="-2"/>
                <w:sz w:val="24"/>
                <w:szCs w:val="24"/>
              </w:rPr>
              <w:t>陇县千河南岸新城污水处理厂</w:t>
            </w:r>
            <w:r>
              <w:rPr>
                <w:rFonts w:hint="eastAsia" w:ascii="宋体" w:hAnsi="宋体" w:eastAsia="宋体" w:cs="宋体"/>
                <w:spacing w:val="-2"/>
                <w:sz w:val="24"/>
                <w:szCs w:val="24"/>
                <w:lang w:val="en-US" w:eastAsia="zh-CN"/>
              </w:rPr>
              <w:t>西侧，污水处理厂</w:t>
            </w:r>
            <w:r>
              <w:rPr>
                <w:rFonts w:ascii="宋体" w:hAnsi="宋体" w:eastAsia="宋体" w:cs="宋体"/>
                <w:spacing w:val="-2"/>
                <w:sz w:val="24"/>
                <w:szCs w:val="24"/>
              </w:rPr>
              <w:t>与千河左岸堤防之间可利用场地</w:t>
            </w:r>
            <w:r>
              <w:rPr>
                <w:rFonts w:hint="eastAsia"/>
                <w:color w:val="auto"/>
                <w:sz w:val="24"/>
                <w:szCs w:val="32"/>
              </w:rPr>
              <w:t>。</w:t>
            </w:r>
            <w:r>
              <w:rPr>
                <w:rFonts w:hint="eastAsia"/>
                <w:color w:val="auto"/>
                <w:sz w:val="24"/>
                <w:szCs w:val="32"/>
                <w:lang w:val="en-US" w:eastAsia="zh-CN"/>
              </w:rPr>
              <w:t>两座人工湿地选址</w:t>
            </w:r>
            <w:r>
              <w:rPr>
                <w:rFonts w:hint="eastAsia"/>
                <w:color w:val="auto"/>
                <w:sz w:val="24"/>
                <w:szCs w:val="32"/>
              </w:rPr>
              <w:t>位置优越</w:t>
            </w:r>
            <w:r>
              <w:rPr>
                <w:rFonts w:hint="eastAsia"/>
                <w:color w:val="auto"/>
                <w:sz w:val="24"/>
                <w:szCs w:val="32"/>
                <w:lang w:eastAsia="zh-CN"/>
              </w:rPr>
              <w:t>，</w:t>
            </w:r>
            <w:r>
              <w:rPr>
                <w:rFonts w:hint="eastAsia"/>
                <w:color w:val="auto"/>
                <w:sz w:val="24"/>
                <w:szCs w:val="32"/>
              </w:rPr>
              <w:t>既能保障</w:t>
            </w:r>
            <w:r>
              <w:rPr>
                <w:rFonts w:hint="eastAsia"/>
                <w:color w:val="auto"/>
                <w:sz w:val="24"/>
                <w:szCs w:val="32"/>
                <w:lang w:val="en-US" w:eastAsia="zh-CN"/>
              </w:rPr>
              <w:t>湿地自流</w:t>
            </w:r>
            <w:r>
              <w:rPr>
                <w:rFonts w:hint="eastAsia"/>
                <w:color w:val="auto"/>
                <w:sz w:val="24"/>
                <w:szCs w:val="32"/>
              </w:rPr>
              <w:t>进水</w:t>
            </w:r>
            <w:r>
              <w:rPr>
                <w:rFonts w:hint="eastAsia"/>
                <w:color w:val="auto"/>
                <w:sz w:val="24"/>
                <w:szCs w:val="32"/>
                <w:lang w:eastAsia="zh-CN"/>
              </w:rPr>
              <w:t>，</w:t>
            </w:r>
            <w:r>
              <w:rPr>
                <w:rFonts w:hint="eastAsia"/>
                <w:color w:val="auto"/>
                <w:sz w:val="24"/>
                <w:szCs w:val="32"/>
              </w:rPr>
              <w:t>又能实现尾水就近排入</w:t>
            </w:r>
            <w:r>
              <w:rPr>
                <w:rFonts w:hint="eastAsia"/>
                <w:color w:val="auto"/>
                <w:sz w:val="24"/>
                <w:szCs w:val="32"/>
                <w:lang w:val="en-US" w:eastAsia="zh-CN"/>
              </w:rPr>
              <w:t>原有的排放管道</w:t>
            </w:r>
            <w:r>
              <w:rPr>
                <w:rFonts w:hint="eastAsia"/>
                <w:color w:val="auto"/>
                <w:sz w:val="24"/>
                <w:szCs w:val="32"/>
                <w:lang w:eastAsia="zh-CN"/>
              </w:rPr>
              <w:t>，</w:t>
            </w:r>
            <w:r>
              <w:rPr>
                <w:rFonts w:hint="eastAsia"/>
                <w:color w:val="auto"/>
                <w:sz w:val="24"/>
                <w:szCs w:val="32"/>
              </w:rPr>
              <w:t>本工程新建进水管道接污水处理厂尾水至人工湿地</w:t>
            </w:r>
            <w:r>
              <w:rPr>
                <w:rFonts w:hint="eastAsia"/>
                <w:color w:val="auto"/>
                <w:sz w:val="24"/>
                <w:szCs w:val="32"/>
                <w:lang w:eastAsia="zh-CN"/>
              </w:rPr>
              <w:t>，</w:t>
            </w:r>
            <w:r>
              <w:rPr>
                <w:rFonts w:hint="eastAsia"/>
                <w:color w:val="auto"/>
                <w:sz w:val="24"/>
                <w:szCs w:val="32"/>
              </w:rPr>
              <w:t>尾水经湿地深度处理后</w:t>
            </w:r>
            <w:r>
              <w:rPr>
                <w:rFonts w:hint="eastAsia"/>
                <w:color w:val="auto"/>
                <w:sz w:val="24"/>
                <w:szCs w:val="32"/>
                <w:lang w:val="en-US" w:eastAsia="zh-CN"/>
              </w:rPr>
              <w:t>通过现有入河排污口</w:t>
            </w:r>
            <w:r>
              <w:rPr>
                <w:rFonts w:hint="eastAsia"/>
                <w:color w:val="auto"/>
                <w:sz w:val="24"/>
                <w:szCs w:val="32"/>
              </w:rPr>
              <w:t>排入</w:t>
            </w:r>
            <w:r>
              <w:rPr>
                <w:rFonts w:hint="eastAsia"/>
                <w:color w:val="auto"/>
                <w:sz w:val="24"/>
                <w:szCs w:val="32"/>
                <w:lang w:val="en-US" w:eastAsia="zh-CN"/>
              </w:rPr>
              <w:t>千</w:t>
            </w:r>
            <w:r>
              <w:rPr>
                <w:rFonts w:hint="eastAsia"/>
                <w:color w:val="auto"/>
                <w:sz w:val="24"/>
                <w:szCs w:val="32"/>
              </w:rPr>
              <w:t>河</w:t>
            </w:r>
            <w:r>
              <w:rPr>
                <w:rFonts w:hint="eastAsia"/>
                <w:color w:val="auto"/>
                <w:sz w:val="24"/>
                <w:szCs w:val="32"/>
                <w:lang w:val="en-US" w:eastAsia="zh-CN"/>
              </w:rPr>
              <w:t>和大杜阳河</w:t>
            </w:r>
            <w:r>
              <w:rPr>
                <w:rFonts w:hint="eastAsia"/>
                <w:color w:val="auto"/>
                <w:sz w:val="24"/>
                <w:szCs w:val="32"/>
              </w:rPr>
              <w:t>。</w:t>
            </w:r>
            <w:r>
              <w:rPr>
                <w:rFonts w:hint="eastAsia"/>
                <w:color w:val="auto"/>
                <w:sz w:val="24"/>
                <w:szCs w:val="32"/>
                <w:lang w:val="en-US" w:eastAsia="zh-CN"/>
              </w:rPr>
              <w:t>陇县污水处理厂人工湿地的</w:t>
            </w:r>
            <w:r>
              <w:rPr>
                <w:rFonts w:hint="eastAsia"/>
                <w:color w:val="auto"/>
                <w:sz w:val="24"/>
                <w:szCs w:val="32"/>
              </w:rPr>
              <w:t>用地类型为</w:t>
            </w:r>
            <w:r>
              <w:rPr>
                <w:rFonts w:hint="eastAsia"/>
                <w:color w:val="auto"/>
                <w:sz w:val="24"/>
                <w:szCs w:val="32"/>
                <w:lang w:val="en-US" w:eastAsia="zh-CN"/>
              </w:rPr>
              <w:t>园地、其他林地和其他草地</w:t>
            </w:r>
            <w:r>
              <w:rPr>
                <w:rFonts w:hint="eastAsia"/>
                <w:color w:val="auto"/>
                <w:sz w:val="24"/>
                <w:szCs w:val="32"/>
                <w:lang w:eastAsia="zh-CN"/>
              </w:rPr>
              <w:t>，</w:t>
            </w:r>
            <w:r>
              <w:rPr>
                <w:rFonts w:ascii="宋体" w:hAnsi="宋体" w:eastAsia="宋体" w:cs="宋体"/>
                <w:spacing w:val="-2"/>
                <w:sz w:val="24"/>
                <w:szCs w:val="24"/>
              </w:rPr>
              <w:t>陇县千河南岸新城污水处理厂</w:t>
            </w:r>
            <w:r>
              <w:rPr>
                <w:rFonts w:hint="eastAsia" w:ascii="宋体" w:hAnsi="宋体" w:eastAsia="宋体" w:cs="宋体"/>
                <w:spacing w:val="-2"/>
                <w:sz w:val="24"/>
                <w:szCs w:val="24"/>
                <w:lang w:val="en-US" w:eastAsia="zh-CN"/>
              </w:rPr>
              <w:t>人工湿地</w:t>
            </w:r>
            <w:r>
              <w:rPr>
                <w:rFonts w:hint="eastAsia" w:ascii="宋体" w:hAnsi="宋体" w:cs="宋体"/>
                <w:spacing w:val="-2"/>
                <w:sz w:val="24"/>
                <w:szCs w:val="24"/>
                <w:lang w:val="en-US" w:eastAsia="zh-CN"/>
              </w:rPr>
              <w:t>用地类型为天然牧草地、公用设施用地、公路用地和乔木林地，</w:t>
            </w:r>
            <w:r>
              <w:rPr>
                <w:rFonts w:hint="eastAsia"/>
                <w:color w:val="auto"/>
                <w:sz w:val="24"/>
                <w:szCs w:val="32"/>
              </w:rPr>
              <w:t>占地类型不受限制</w:t>
            </w:r>
            <w:r>
              <w:rPr>
                <w:rFonts w:hint="eastAsia"/>
                <w:color w:val="auto"/>
                <w:sz w:val="24"/>
                <w:szCs w:val="32"/>
                <w:lang w:eastAsia="zh-CN"/>
              </w:rPr>
              <w:t>，</w:t>
            </w:r>
            <w:r>
              <w:rPr>
                <w:rFonts w:hint="eastAsia"/>
                <w:color w:val="auto"/>
                <w:sz w:val="24"/>
                <w:szCs w:val="32"/>
              </w:rPr>
              <w:t>且现有地形可利用性高</w:t>
            </w:r>
            <w:r>
              <w:rPr>
                <w:rFonts w:hint="eastAsia"/>
                <w:color w:val="auto"/>
                <w:sz w:val="24"/>
                <w:szCs w:val="32"/>
                <w:lang w:eastAsia="zh-CN"/>
              </w:rPr>
              <w:t>，</w:t>
            </w:r>
            <w:r>
              <w:rPr>
                <w:rFonts w:hint="eastAsia"/>
                <w:color w:val="auto"/>
                <w:sz w:val="24"/>
                <w:szCs w:val="32"/>
              </w:rPr>
              <w:t>具有作为人工湿地的自然优势</w:t>
            </w:r>
            <w:r>
              <w:rPr>
                <w:rFonts w:hint="eastAsia"/>
                <w:color w:val="auto"/>
                <w:sz w:val="24"/>
                <w:szCs w:val="32"/>
                <w:lang w:eastAsia="zh-CN"/>
              </w:rPr>
              <w:t>，</w:t>
            </w:r>
            <w:r>
              <w:rPr>
                <w:rFonts w:hint="eastAsia"/>
                <w:color w:val="auto"/>
                <w:sz w:val="24"/>
                <w:szCs w:val="32"/>
              </w:rPr>
              <w:t>不仅降低了湿地建设的土方工程量</w:t>
            </w:r>
            <w:r>
              <w:rPr>
                <w:rFonts w:hint="eastAsia"/>
                <w:color w:val="auto"/>
                <w:sz w:val="24"/>
                <w:szCs w:val="32"/>
                <w:lang w:eastAsia="zh-CN"/>
              </w:rPr>
              <w:t>，</w:t>
            </w:r>
            <w:r>
              <w:rPr>
                <w:rFonts w:hint="eastAsia"/>
                <w:color w:val="auto"/>
                <w:sz w:val="24"/>
                <w:szCs w:val="32"/>
              </w:rPr>
              <w:t>还利于水力自然流动设计</w:t>
            </w:r>
            <w:r>
              <w:rPr>
                <w:rFonts w:hint="eastAsia"/>
                <w:color w:val="auto"/>
                <w:sz w:val="24"/>
                <w:szCs w:val="32"/>
                <w:lang w:eastAsia="zh-CN"/>
              </w:rPr>
              <w:t>，</w:t>
            </w:r>
            <w:r>
              <w:rPr>
                <w:rFonts w:hint="eastAsia"/>
                <w:color w:val="auto"/>
                <w:sz w:val="24"/>
                <w:szCs w:val="32"/>
              </w:rPr>
              <w:t>便于人工湿地项目的顺利实施。此外</w:t>
            </w:r>
            <w:r>
              <w:rPr>
                <w:rFonts w:hint="eastAsia"/>
                <w:color w:val="auto"/>
                <w:sz w:val="24"/>
                <w:szCs w:val="32"/>
                <w:lang w:eastAsia="zh-CN"/>
              </w:rPr>
              <w:t>，</w:t>
            </w:r>
            <w:r>
              <w:rPr>
                <w:rFonts w:hint="eastAsia"/>
                <w:color w:val="auto"/>
                <w:sz w:val="24"/>
                <w:szCs w:val="32"/>
              </w:rPr>
              <w:t>项目选址</w:t>
            </w:r>
            <w:r>
              <w:rPr>
                <w:rFonts w:hint="eastAsia"/>
                <w:color w:val="auto"/>
                <w:sz w:val="24"/>
                <w:szCs w:val="32"/>
                <w:lang w:val="en-US" w:eastAsia="zh-CN"/>
              </w:rPr>
              <w:t>北</w:t>
            </w:r>
            <w:r>
              <w:rPr>
                <w:rFonts w:hint="eastAsia"/>
                <w:color w:val="auto"/>
                <w:sz w:val="24"/>
                <w:szCs w:val="32"/>
              </w:rPr>
              <w:t>侧</w:t>
            </w:r>
            <w:r>
              <w:rPr>
                <w:rFonts w:hint="eastAsia"/>
                <w:color w:val="auto"/>
                <w:sz w:val="24"/>
                <w:szCs w:val="32"/>
                <w:lang w:val="en-US" w:eastAsia="zh-CN"/>
              </w:rPr>
              <w:t>有村道和乡道</w:t>
            </w:r>
            <w:r>
              <w:rPr>
                <w:rFonts w:hint="eastAsia"/>
                <w:color w:val="auto"/>
                <w:sz w:val="24"/>
                <w:szCs w:val="32"/>
                <w:lang w:eastAsia="zh-CN"/>
              </w:rPr>
              <w:t>，</w:t>
            </w:r>
            <w:r>
              <w:rPr>
                <w:rFonts w:hint="eastAsia"/>
                <w:color w:val="auto"/>
                <w:sz w:val="24"/>
                <w:szCs w:val="32"/>
              </w:rPr>
              <w:t>交通十分便利。</w:t>
            </w:r>
          </w:p>
          <w:p w14:paraId="44DC60C2">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32"/>
              </w:rPr>
            </w:pPr>
            <w:r>
              <w:rPr>
                <w:rFonts w:hint="eastAsia"/>
                <w:color w:val="auto"/>
                <w:sz w:val="24"/>
                <w:szCs w:val="32"/>
                <w:lang w:val="en-US" w:eastAsia="zh-CN"/>
              </w:rPr>
              <w:t>根据陇</w:t>
            </w:r>
            <w:r>
              <w:rPr>
                <w:rFonts w:hint="eastAsia"/>
                <w:color w:val="auto"/>
                <w:sz w:val="24"/>
                <w:szCs w:val="32"/>
              </w:rPr>
              <w:t>县自然资源局</w:t>
            </w:r>
            <w:r>
              <w:rPr>
                <w:rFonts w:hint="eastAsia"/>
                <w:color w:val="auto"/>
                <w:sz w:val="24"/>
                <w:szCs w:val="32"/>
                <w:lang w:val="en-US" w:eastAsia="zh-CN"/>
              </w:rPr>
              <w:t>出具的《关于陇县千河南岸新城污水处理厂人工湿地水质净化工程用地情况说明的函》（陇自然资函</w:t>
            </w:r>
            <w:r>
              <w:rPr>
                <w:rFonts w:hint="eastAsia" w:ascii="仿宋" w:hAnsi="仿宋" w:eastAsia="仿宋" w:cs="仿宋"/>
                <w:color w:val="auto"/>
                <w:sz w:val="24"/>
                <w:szCs w:val="32"/>
                <w:lang w:val="en-US" w:eastAsia="zh-CN"/>
              </w:rPr>
              <w:t>〔2025〕173号</w:t>
            </w:r>
            <w:r>
              <w:rPr>
                <w:rFonts w:hint="eastAsia"/>
                <w:color w:val="auto"/>
                <w:sz w:val="24"/>
                <w:szCs w:val="32"/>
                <w:lang w:val="en-US" w:eastAsia="zh-CN"/>
              </w:rPr>
              <w:t>）</w:t>
            </w:r>
            <w:r>
              <w:rPr>
                <w:rFonts w:hint="eastAsia"/>
                <w:color w:val="auto"/>
                <w:sz w:val="24"/>
                <w:szCs w:val="32"/>
                <w:lang w:eastAsia="zh-CN"/>
              </w:rPr>
              <w:t>，</w:t>
            </w:r>
            <w:r>
              <w:rPr>
                <w:rFonts w:hint="eastAsia"/>
                <w:color w:val="auto"/>
                <w:sz w:val="24"/>
                <w:szCs w:val="32"/>
              </w:rPr>
              <w:t>项目选址不涉及耕地、生态保护红线或永久基本农田。</w:t>
            </w:r>
          </w:p>
          <w:p w14:paraId="350AFDC1">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32"/>
              </w:rPr>
            </w:pPr>
            <w:r>
              <w:rPr>
                <w:rFonts w:hint="eastAsia"/>
                <w:color w:val="auto"/>
                <w:sz w:val="24"/>
                <w:szCs w:val="32"/>
                <w:lang w:val="en-US" w:eastAsia="zh-CN"/>
              </w:rPr>
              <w:t>两座人工湿地西侧</w:t>
            </w:r>
            <w:r>
              <w:rPr>
                <w:rFonts w:hint="eastAsia"/>
                <w:color w:val="auto"/>
                <w:sz w:val="24"/>
                <w:szCs w:val="32"/>
              </w:rPr>
              <w:t>边界距</w:t>
            </w:r>
            <w:r>
              <w:rPr>
                <w:rFonts w:hint="eastAsia"/>
                <w:color w:val="auto"/>
                <w:sz w:val="24"/>
                <w:szCs w:val="32"/>
                <w:lang w:val="en-US" w:eastAsia="zh-CN"/>
              </w:rPr>
              <w:t>千</w:t>
            </w:r>
            <w:r>
              <w:rPr>
                <w:rFonts w:hint="eastAsia"/>
                <w:color w:val="auto"/>
                <w:sz w:val="24"/>
                <w:szCs w:val="32"/>
              </w:rPr>
              <w:t>河河堤</w:t>
            </w:r>
            <w:r>
              <w:rPr>
                <w:rFonts w:hint="eastAsia"/>
                <w:color w:val="auto"/>
                <w:sz w:val="24"/>
                <w:szCs w:val="32"/>
                <w:lang w:val="en-US" w:eastAsia="zh-CN"/>
              </w:rPr>
              <w:t>较近，</w:t>
            </w:r>
            <w:r>
              <w:rPr>
                <w:rFonts w:ascii="宋体" w:hAnsi="宋体" w:eastAsia="宋体" w:cs="宋体"/>
                <w:spacing w:val="-2"/>
                <w:sz w:val="24"/>
                <w:szCs w:val="24"/>
              </w:rPr>
              <w:t>陇县千河南岸新城污水处理厂</w:t>
            </w:r>
            <w:r>
              <w:rPr>
                <w:rFonts w:hint="eastAsia" w:ascii="宋体" w:hAnsi="宋体" w:eastAsia="宋体" w:cs="宋体"/>
                <w:spacing w:val="-2"/>
                <w:sz w:val="24"/>
                <w:szCs w:val="24"/>
                <w:lang w:val="en-US" w:eastAsia="zh-CN"/>
              </w:rPr>
              <w:t>人工湿地</w:t>
            </w:r>
            <w:r>
              <w:rPr>
                <w:rFonts w:hint="eastAsia" w:ascii="宋体" w:hAnsi="宋体" w:cs="宋体"/>
                <w:spacing w:val="-2"/>
                <w:sz w:val="24"/>
                <w:szCs w:val="24"/>
                <w:lang w:val="en-US" w:eastAsia="zh-CN"/>
              </w:rPr>
              <w:t>水质净化工程在千河和大杜阳河配套建设了护岸挡墙和护坡，</w:t>
            </w:r>
            <w:r>
              <w:rPr>
                <w:rFonts w:hint="eastAsia"/>
                <w:color w:val="auto"/>
                <w:sz w:val="24"/>
                <w:szCs w:val="32"/>
              </w:rPr>
              <w:t>项目建设不影响</w:t>
            </w:r>
            <w:r>
              <w:rPr>
                <w:rFonts w:hint="eastAsia"/>
                <w:color w:val="auto"/>
                <w:sz w:val="24"/>
                <w:szCs w:val="32"/>
                <w:lang w:val="en-US" w:eastAsia="zh-CN"/>
              </w:rPr>
              <w:t>原有</w:t>
            </w:r>
            <w:r>
              <w:rPr>
                <w:rFonts w:hint="eastAsia"/>
                <w:color w:val="auto"/>
                <w:sz w:val="24"/>
                <w:szCs w:val="32"/>
              </w:rPr>
              <w:t>岸线稳定性和行洪安全。项目施工期、运营期在落实本次环评提出的各项要求后</w:t>
            </w:r>
            <w:r>
              <w:rPr>
                <w:rFonts w:hint="eastAsia"/>
                <w:color w:val="auto"/>
                <w:sz w:val="24"/>
                <w:szCs w:val="32"/>
                <w:lang w:eastAsia="zh-CN"/>
              </w:rPr>
              <w:t>，</w:t>
            </w:r>
            <w:r>
              <w:rPr>
                <w:rFonts w:hint="eastAsia"/>
                <w:color w:val="auto"/>
                <w:sz w:val="24"/>
                <w:szCs w:val="32"/>
              </w:rPr>
              <w:t>对周边环境影响较小。</w:t>
            </w:r>
          </w:p>
          <w:p w14:paraId="7ECA80A4">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eastAsia"/>
                <w:color w:val="auto"/>
                <w:sz w:val="24"/>
                <w:szCs w:val="32"/>
              </w:rPr>
              <w:t>综上所述</w:t>
            </w:r>
            <w:r>
              <w:rPr>
                <w:rFonts w:hint="eastAsia"/>
                <w:color w:val="auto"/>
                <w:sz w:val="24"/>
                <w:szCs w:val="32"/>
                <w:lang w:eastAsia="zh-CN"/>
              </w:rPr>
              <w:t>，</w:t>
            </w:r>
            <w:r>
              <w:rPr>
                <w:rFonts w:hint="eastAsia"/>
                <w:color w:val="auto"/>
                <w:sz w:val="24"/>
                <w:szCs w:val="32"/>
              </w:rPr>
              <w:t>本项目选址充分考虑了地理、交通、环保等多方面因素</w:t>
            </w:r>
            <w:r>
              <w:rPr>
                <w:rFonts w:hint="eastAsia"/>
                <w:color w:val="auto"/>
                <w:sz w:val="24"/>
                <w:szCs w:val="32"/>
                <w:lang w:eastAsia="zh-CN"/>
              </w:rPr>
              <w:t>，</w:t>
            </w:r>
            <w:r>
              <w:rPr>
                <w:rFonts w:hint="eastAsia"/>
                <w:color w:val="auto"/>
                <w:sz w:val="24"/>
                <w:szCs w:val="32"/>
              </w:rPr>
              <w:t>选址合理。</w:t>
            </w:r>
          </w:p>
        </w:tc>
      </w:tr>
    </w:tbl>
    <w:p w14:paraId="39196D64">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32"/>
        </w:rPr>
        <w:sectPr>
          <w:pgSz w:w="11907" w:h="16840"/>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3B831F71">
      <w:pPr>
        <w:pStyle w:val="1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outlineLvl w:val="0"/>
        <w:rPr>
          <w:rFonts w:hint="eastAsia" w:ascii="黑体" w:hAnsi="黑体" w:eastAsia="黑体"/>
          <w:snapToGrid w:val="0"/>
          <w:color w:val="auto"/>
          <w:sz w:val="30"/>
          <w:szCs w:val="30"/>
          <w:lang w:val="en-US" w:eastAsia="zh-CN"/>
        </w:rPr>
      </w:pPr>
      <w:r>
        <w:rPr>
          <w:rFonts w:hint="eastAsia" w:ascii="黑体" w:hAnsi="黑体" w:eastAsia="黑体"/>
          <w:snapToGrid w:val="0"/>
          <w:color w:val="auto"/>
          <w:sz w:val="30"/>
          <w:szCs w:val="30"/>
          <w:lang w:val="en-US" w:eastAsia="zh-CN"/>
        </w:rPr>
        <w:t>五</w:t>
      </w:r>
      <w:r>
        <w:rPr>
          <w:rFonts w:hint="eastAsia" w:ascii="黑体" w:hAnsi="黑体" w:eastAsia="黑体"/>
          <w:snapToGrid w:val="0"/>
          <w:color w:val="auto"/>
          <w:sz w:val="30"/>
          <w:szCs w:val="30"/>
        </w:rPr>
        <w:t>、</w:t>
      </w:r>
      <w:r>
        <w:rPr>
          <w:rFonts w:hint="eastAsia" w:ascii="黑体" w:hAnsi="黑体" w:eastAsia="黑体"/>
          <w:snapToGrid w:val="0"/>
          <w:color w:val="auto"/>
          <w:sz w:val="30"/>
          <w:szCs w:val="30"/>
          <w:lang w:val="en-US" w:eastAsia="zh-CN"/>
        </w:rPr>
        <w:t>主要生态</w:t>
      </w:r>
      <w:r>
        <w:rPr>
          <w:rFonts w:hint="eastAsia" w:ascii="黑体" w:hAnsi="黑体" w:eastAsia="黑体"/>
          <w:snapToGrid w:val="0"/>
          <w:color w:val="auto"/>
          <w:sz w:val="30"/>
          <w:szCs w:val="30"/>
        </w:rPr>
        <w:t>环境</w:t>
      </w:r>
      <w:r>
        <w:rPr>
          <w:rFonts w:hint="eastAsia" w:ascii="黑体" w:hAnsi="黑体" w:eastAsia="黑体"/>
          <w:snapToGrid w:val="0"/>
          <w:color w:val="auto"/>
          <w:sz w:val="30"/>
          <w:szCs w:val="30"/>
          <w:lang w:val="en-US" w:eastAsia="zh-CN"/>
        </w:rPr>
        <w:t>保护措施</w:t>
      </w:r>
    </w:p>
    <w:tbl>
      <w:tblPr>
        <w:tblStyle w:val="16"/>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1"/>
        <w:gridCol w:w="8090"/>
      </w:tblGrid>
      <w:tr w14:paraId="5D57DD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891" w:type="dxa"/>
            <w:noWrap w:val="0"/>
            <w:tcMar>
              <w:left w:w="28" w:type="dxa"/>
              <w:right w:w="28" w:type="dxa"/>
            </w:tcMar>
            <w:vAlign w:val="center"/>
          </w:tcPr>
          <w:p w14:paraId="6644C50F">
            <w:pPr>
              <w:pStyle w:val="15"/>
              <w:adjustRightInd w:val="0"/>
              <w:snapToGrid w:val="0"/>
              <w:spacing w:before="0" w:beforeAutospacing="0" w:after="0" w:afterAutospacing="0"/>
              <w:jc w:val="center"/>
              <w:rPr>
                <w:rFonts w:hint="default" w:cs="宋体"/>
                <w:bCs/>
                <w:color w:val="auto"/>
                <w:kern w:val="2"/>
                <w:sz w:val="21"/>
                <w:szCs w:val="21"/>
                <w:lang w:val="en-US" w:eastAsia="zh-CN"/>
              </w:rPr>
            </w:pPr>
            <w:r>
              <w:rPr>
                <w:rFonts w:hint="eastAsia" w:cs="宋体"/>
                <w:color w:val="auto"/>
                <w:kern w:val="2"/>
                <w:sz w:val="24"/>
                <w:szCs w:val="24"/>
                <w:lang w:val="en-US" w:eastAsia="zh-CN"/>
              </w:rPr>
              <w:t>施工期生态环境保护措施</w:t>
            </w:r>
          </w:p>
        </w:tc>
        <w:tc>
          <w:tcPr>
            <w:tcW w:w="8090" w:type="dxa"/>
            <w:noWrap w:val="0"/>
            <w:vAlign w:val="center"/>
          </w:tcPr>
          <w:p w14:paraId="540ED42F">
            <w:pPr>
              <w:pStyle w:val="20"/>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baseline"/>
              <w:rPr>
                <w:rFonts w:hint="default" w:ascii="Times New Roman" w:hAnsi="Times New Roman" w:eastAsia="宋体" w:cs="Times New Roman"/>
                <w:b/>
                <w:bCs w:val="0"/>
                <w:color w:val="auto"/>
                <w:spacing w:val="0"/>
                <w:sz w:val="24"/>
                <w:szCs w:val="21"/>
                <w:lang w:val="en-US" w:eastAsia="zh-CN"/>
              </w:rPr>
            </w:pPr>
            <w:r>
              <w:rPr>
                <w:rFonts w:hint="eastAsia" w:ascii="Times New Roman" w:hAnsi="Times New Roman" w:eastAsia="宋体" w:cs="Times New Roman"/>
                <w:b/>
                <w:bCs w:val="0"/>
                <w:color w:val="auto"/>
                <w:spacing w:val="0"/>
                <w:sz w:val="24"/>
                <w:szCs w:val="21"/>
                <w:lang w:val="en-US" w:eastAsia="zh-CN"/>
              </w:rPr>
              <w:t>1、</w:t>
            </w:r>
            <w:r>
              <w:rPr>
                <w:rFonts w:hint="default" w:ascii="Times New Roman" w:hAnsi="Times New Roman" w:eastAsia="宋体" w:cs="Times New Roman"/>
                <w:b/>
                <w:bCs w:val="0"/>
                <w:color w:val="auto"/>
                <w:spacing w:val="0"/>
                <w:sz w:val="24"/>
                <w:szCs w:val="21"/>
                <w:lang w:val="en-US" w:eastAsia="zh-CN"/>
              </w:rPr>
              <w:t>施工期生态环境保护措施</w:t>
            </w:r>
          </w:p>
          <w:p w14:paraId="588DB691">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施工过程中的占压、开挖、回填等施工活动都会造成生态破坏和水土流失。施工过程中的水土流失，不但会影响工程进度和工程质量，而且会对周</w:t>
            </w:r>
            <w:r>
              <w:rPr>
                <w:rFonts w:hint="default" w:ascii="Times New Roman" w:hAnsi="Times New Roman" w:eastAsia="宋体" w:cs="Times New Roman"/>
                <w:color w:val="auto"/>
                <w:sz w:val="24"/>
                <w:szCs w:val="24"/>
                <w:lang w:val="en-US" w:eastAsia="zh-CN"/>
              </w:rPr>
              <w:t>围环境产生较为严重的影响。故施工</w:t>
            </w:r>
            <w:r>
              <w:rPr>
                <w:rFonts w:hint="eastAsia" w:cs="Times New Roman"/>
                <w:color w:val="auto"/>
                <w:sz w:val="24"/>
                <w:szCs w:val="24"/>
                <w:lang w:val="en-US" w:eastAsia="zh-CN"/>
              </w:rPr>
              <w:t>期间</w:t>
            </w:r>
            <w:r>
              <w:rPr>
                <w:rFonts w:hint="default" w:ascii="Times New Roman" w:hAnsi="Times New Roman" w:eastAsia="宋体" w:cs="Times New Roman"/>
                <w:color w:val="auto"/>
                <w:sz w:val="24"/>
                <w:szCs w:val="24"/>
                <w:lang w:val="en-US" w:eastAsia="zh-CN"/>
              </w:rPr>
              <w:t>应采取必要的措施加以控制。为了减轻施工造成的水土流失、占用土地以及植被破坏等影响，本次评价提出以下保护措施：</w:t>
            </w:r>
          </w:p>
          <w:p w14:paraId="6BF6251F">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工程措施</w:t>
            </w:r>
          </w:p>
          <w:p w14:paraId="384B7CEE">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①严格按照工程建设划定的占地红线进行施工，不得</w:t>
            </w:r>
            <w:r>
              <w:rPr>
                <w:rFonts w:hint="eastAsia" w:ascii="Times New Roman" w:hAnsi="Times New Roman" w:eastAsia="宋体" w:cs="Times New Roman"/>
                <w:color w:val="auto"/>
                <w:sz w:val="24"/>
                <w:szCs w:val="24"/>
                <w:lang w:val="en-US" w:eastAsia="zh-CN"/>
              </w:rPr>
              <w:t>再</w:t>
            </w:r>
            <w:r>
              <w:rPr>
                <w:rFonts w:hint="default" w:ascii="Times New Roman" w:hAnsi="Times New Roman" w:eastAsia="宋体" w:cs="Times New Roman"/>
                <w:color w:val="auto"/>
                <w:sz w:val="24"/>
                <w:szCs w:val="24"/>
                <w:lang w:val="en-US" w:eastAsia="zh-CN"/>
              </w:rPr>
              <w:t>随意新增施工便道；不得随意增大土石方开挖的面积，要保护好开挖地表剥离的植被及附着土壤</w:t>
            </w:r>
            <w:r>
              <w:rPr>
                <w:rFonts w:hint="eastAsia" w:ascii="Times New Roman" w:hAnsi="Times New Roman" w:eastAsia="宋体" w:cs="Times New Roman"/>
                <w:color w:val="auto"/>
                <w:sz w:val="24"/>
                <w:szCs w:val="24"/>
                <w:lang w:val="en-US" w:eastAsia="zh-CN"/>
              </w:rPr>
              <w:t>，采取密目网遮盖措施，防止降雨击贱侵蚀及径流冲刷产生新增水土流失；</w:t>
            </w:r>
            <w:r>
              <w:rPr>
                <w:rFonts w:hint="default" w:ascii="Times New Roman" w:hAnsi="Times New Roman" w:eastAsia="宋体" w:cs="Times New Roman"/>
                <w:color w:val="auto"/>
                <w:sz w:val="24"/>
                <w:szCs w:val="24"/>
                <w:lang w:val="en-US" w:eastAsia="zh-CN"/>
              </w:rPr>
              <w:t>运输材料时必须充分利用现有的道路，应避免对道路两侧灌丛及灌草丛等植被造成破坏。</w:t>
            </w:r>
          </w:p>
          <w:p w14:paraId="39346EB2">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②优化临时占地的选址，临时占地选址应尽量选择没有植被覆盖的裸地，对临时占地采取</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永临结合</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的方式，尽量减少地面扰动面积。施工结束后，应及时对临时占地采取平整压实处理，避免水土流失等对植被的破坏。</w:t>
            </w:r>
          </w:p>
          <w:p w14:paraId="63464A60">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③各种施工活动应严格控制在施工区域内，施工机械、土石及其他建筑材料不得乱堆乱放，防止破坏植被，加剧水土流失。</w:t>
            </w:r>
          </w:p>
          <w:p w14:paraId="1B57F743">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④加强施工管理，合理安排施工进度，尽量减少临时工程占地，缩短临时占地使用时间，及时恢复土地原有功能。尽可能地缩短疏松地面的裸露时间，合理安排施工时间，尽量避开大风和雨天施工。</w:t>
            </w:r>
          </w:p>
          <w:p w14:paraId="2D66E180">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⑤施工结束后，及时进行场地清理平整及土壤植被恢复绿化工作，对土壤植被恢复遵循</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破坏多少，恢复多少</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的原则。</w:t>
            </w:r>
          </w:p>
          <w:p w14:paraId="43447CD8">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w:t>
            </w:r>
            <w:r>
              <w:rPr>
                <w:rFonts w:hint="eastAsia" w:cs="Times New Roman"/>
                <w:color w:val="auto"/>
                <w:sz w:val="24"/>
                <w:szCs w:val="24"/>
                <w:lang w:val="en-US" w:eastAsia="zh-CN"/>
              </w:rPr>
              <w:t>陆</w:t>
            </w:r>
            <w:r>
              <w:rPr>
                <w:rFonts w:hint="default" w:ascii="Times New Roman" w:hAnsi="Times New Roman" w:eastAsia="宋体" w:cs="Times New Roman"/>
                <w:color w:val="auto"/>
                <w:sz w:val="24"/>
                <w:szCs w:val="24"/>
                <w:lang w:val="en-US" w:eastAsia="zh-CN"/>
              </w:rPr>
              <w:t>生动物保护措施</w:t>
            </w:r>
          </w:p>
          <w:p w14:paraId="7FE75138">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w:t>
            </w:r>
            <w:r>
              <w:rPr>
                <w:rFonts w:hint="eastAsia" w:cs="Times New Roman"/>
                <w:color w:val="auto"/>
                <w:sz w:val="24"/>
                <w:szCs w:val="24"/>
                <w:lang w:val="en-US" w:eastAsia="zh-CN"/>
              </w:rPr>
              <w:t>减免</w:t>
            </w:r>
            <w:r>
              <w:rPr>
                <w:rFonts w:hint="eastAsia" w:ascii="Times New Roman" w:hAnsi="Times New Roman" w:eastAsia="宋体" w:cs="Times New Roman"/>
                <w:color w:val="auto"/>
                <w:sz w:val="24"/>
                <w:szCs w:val="24"/>
                <w:lang w:val="en-US" w:eastAsia="zh-CN"/>
              </w:rPr>
              <w:t>对动物栖息地破坏的影响。要合理规划和施工设计，严格控制，把占地控制在最合理、最小的范围内。</w:t>
            </w:r>
          </w:p>
          <w:p w14:paraId="507ED4F3">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②野生鸟类和哺乳动物大多在晨、昏（早晨、黄昏）或夜间外出觅食，正午是鸟类休息时间。为了减少工程施工开挖噪声对野生动物的惊扰，应做好开挖方式、数量、时间的计划，并力求避免在晨昏和正午施工等。</w:t>
            </w:r>
          </w:p>
          <w:p w14:paraId="6043AC07">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③施工期采用</w:t>
            </w:r>
            <w:r>
              <w:rPr>
                <w:rFonts w:hint="eastAsia" w:cs="Times New Roman"/>
                <w:color w:val="auto"/>
                <w:sz w:val="24"/>
                <w:szCs w:val="24"/>
                <w:lang w:val="en-US" w:eastAsia="zh-CN"/>
              </w:rPr>
              <w:t>噪声</w:t>
            </w:r>
            <w:r>
              <w:rPr>
                <w:rFonts w:hint="eastAsia" w:ascii="Times New Roman" w:hAnsi="Times New Roman" w:eastAsia="宋体" w:cs="Times New Roman"/>
                <w:color w:val="auto"/>
                <w:sz w:val="24"/>
                <w:szCs w:val="24"/>
                <w:lang w:val="en-US" w:eastAsia="zh-CN"/>
              </w:rPr>
              <w:t>较小的施工设备，减少工程建设产生的</w:t>
            </w:r>
            <w:r>
              <w:rPr>
                <w:rFonts w:hint="eastAsia" w:cs="Times New Roman"/>
                <w:color w:val="auto"/>
                <w:sz w:val="24"/>
                <w:szCs w:val="24"/>
                <w:lang w:val="en-US" w:eastAsia="zh-CN"/>
              </w:rPr>
              <w:t>噪声</w:t>
            </w:r>
            <w:r>
              <w:rPr>
                <w:rFonts w:hint="eastAsia" w:ascii="Times New Roman" w:hAnsi="Times New Roman" w:eastAsia="宋体" w:cs="Times New Roman"/>
                <w:color w:val="auto"/>
                <w:sz w:val="24"/>
                <w:szCs w:val="24"/>
                <w:lang w:val="en-US" w:eastAsia="zh-CN"/>
              </w:rPr>
              <w:t>，在道路两旁设置禁鸣限速的警示牌，避免对周边野生动物造成惊扰。</w:t>
            </w:r>
          </w:p>
          <w:p w14:paraId="62209642">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④</w:t>
            </w:r>
            <w:r>
              <w:rPr>
                <w:rFonts w:hint="default" w:ascii="Times New Roman" w:hAnsi="Times New Roman" w:eastAsia="宋体" w:cs="Times New Roman"/>
                <w:color w:val="auto"/>
                <w:sz w:val="24"/>
                <w:szCs w:val="24"/>
                <w:lang w:val="en-US" w:eastAsia="zh-CN"/>
              </w:rPr>
              <w:t>宣传野生动物保护法规，</w:t>
            </w:r>
            <w:r>
              <w:rPr>
                <w:rFonts w:hint="eastAsia" w:ascii="Times New Roman" w:hAnsi="Times New Roman" w:eastAsia="宋体" w:cs="Times New Roman"/>
                <w:color w:val="auto"/>
                <w:sz w:val="24"/>
                <w:szCs w:val="24"/>
                <w:lang w:val="en-US" w:eastAsia="zh-CN"/>
              </w:rPr>
              <w:t>增强</w:t>
            </w:r>
            <w:r>
              <w:rPr>
                <w:rFonts w:hint="default" w:ascii="Times New Roman" w:hAnsi="Times New Roman" w:eastAsia="宋体" w:cs="Times New Roman"/>
                <w:color w:val="auto"/>
                <w:sz w:val="24"/>
                <w:szCs w:val="24"/>
                <w:lang w:val="en-US" w:eastAsia="zh-CN"/>
              </w:rPr>
              <w:t>施工人员的保护意识，严禁在施工区及其周围捕猎野生动物。</w:t>
            </w:r>
          </w:p>
          <w:p w14:paraId="1CF768BA">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w:t>
            </w:r>
            <w:r>
              <w:rPr>
                <w:rFonts w:hint="eastAsia" w:cs="Times New Roman"/>
                <w:color w:val="auto"/>
                <w:sz w:val="24"/>
                <w:szCs w:val="24"/>
                <w:lang w:val="en-US" w:eastAsia="zh-CN"/>
              </w:rPr>
              <w:t>陆生</w:t>
            </w:r>
            <w:r>
              <w:rPr>
                <w:rFonts w:hint="default" w:ascii="Times New Roman" w:hAnsi="Times New Roman" w:eastAsia="宋体" w:cs="Times New Roman"/>
                <w:color w:val="auto"/>
                <w:sz w:val="24"/>
                <w:szCs w:val="24"/>
                <w:lang w:val="en-US" w:eastAsia="zh-CN"/>
              </w:rPr>
              <w:t>植物保护措施</w:t>
            </w:r>
          </w:p>
          <w:p w14:paraId="5AC990B5">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①为减免施工活动对植被和土壤的影响，施工单位在细化施工组织设计的同时，应严格划定施工范围，不得随意占用征地范围外耕地；在施工区设置警示牌，进行土壤、植被的保护宣传，并标明施工活动区，严格控制施工作业带，严禁进入非施工区活动，严禁破坏周边耕地。</w:t>
            </w:r>
          </w:p>
          <w:p w14:paraId="6B6DEDDE">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②施工过程</w:t>
            </w:r>
            <w:r>
              <w:rPr>
                <w:rFonts w:hint="eastAsia" w:cs="Times New Roman"/>
                <w:color w:val="auto"/>
                <w:sz w:val="24"/>
                <w:szCs w:val="24"/>
                <w:lang w:val="en-US" w:eastAsia="zh-CN"/>
              </w:rPr>
              <w:t>中应对表土进行剥离</w:t>
            </w:r>
            <w:r>
              <w:rPr>
                <w:rFonts w:hint="eastAsia" w:ascii="Times New Roman" w:hAnsi="Times New Roman" w:eastAsia="宋体" w:cs="Times New Roman"/>
                <w:color w:val="auto"/>
                <w:sz w:val="24"/>
                <w:szCs w:val="24"/>
                <w:lang w:val="en-US" w:eastAsia="zh-CN"/>
              </w:rPr>
              <w:t>，选择合适的位置集中堆放，用于</w:t>
            </w:r>
            <w:r>
              <w:rPr>
                <w:rFonts w:hint="eastAsia" w:cs="Times New Roman"/>
                <w:color w:val="auto"/>
                <w:sz w:val="24"/>
                <w:szCs w:val="24"/>
                <w:lang w:val="en-US" w:eastAsia="zh-CN"/>
              </w:rPr>
              <w:t>工程结束后植被恢复</w:t>
            </w:r>
            <w:r>
              <w:rPr>
                <w:rFonts w:hint="eastAsia" w:ascii="Times New Roman" w:hAnsi="Times New Roman" w:eastAsia="宋体" w:cs="Times New Roman"/>
                <w:color w:val="auto"/>
                <w:sz w:val="24"/>
                <w:szCs w:val="24"/>
                <w:lang w:val="en-US" w:eastAsia="zh-CN"/>
              </w:rPr>
              <w:t>。在施工过程中，为确保土壤肥力，最大限度地恢复</w:t>
            </w:r>
            <w:r>
              <w:rPr>
                <w:rFonts w:hint="eastAsia" w:cs="Times New Roman"/>
                <w:color w:val="auto"/>
                <w:sz w:val="24"/>
                <w:szCs w:val="24"/>
                <w:lang w:val="en-US" w:eastAsia="zh-CN"/>
              </w:rPr>
              <w:t>种植</w:t>
            </w:r>
            <w:r>
              <w:rPr>
                <w:rFonts w:hint="eastAsia" w:ascii="Times New Roman" w:hAnsi="Times New Roman" w:eastAsia="宋体" w:cs="Times New Roman"/>
                <w:color w:val="auto"/>
                <w:sz w:val="24"/>
                <w:szCs w:val="24"/>
                <w:lang w:val="en-US" w:eastAsia="zh-CN"/>
              </w:rPr>
              <w:t>条件，施工单位要保证表土剥离厚度在30cm以上。</w:t>
            </w:r>
          </w:p>
          <w:p w14:paraId="037ED99F">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③尽量保留现状植被，能利用则利用。</w:t>
            </w:r>
          </w:p>
          <w:p w14:paraId="516334CE">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④加强植被保护工作的宣传教育工作，提高施工人员对植物保护重要性的认识，规范施工人员行为，爱护花草树木，严禁砍伐、破坏施工区以外的作物和植被。</w:t>
            </w:r>
          </w:p>
          <w:p w14:paraId="7001A4AB">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⑤施工过程中，尽量减少对周边表土及植被的破坏，临时堆料应采取拦挡、覆盖，不能阻碍沟道排洪，禁止产生阻水、堵路、堵沟、破坏原有景观及产生次生水土流失危害等现象。施工过程及时恢复扰动的土壤植被，禁止超过一年时间的裸露。</w:t>
            </w:r>
          </w:p>
          <w:p w14:paraId="599DBA4B">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⑥优化施工工艺，开挖土方优先回填，剩余土方进行综合利用，开展相应的水土保持，减少弃土造成的土地资源的占用和地表植被破坏</w:t>
            </w:r>
            <w:r>
              <w:rPr>
                <w:rFonts w:hint="eastAsia" w:cs="Times New Roman"/>
                <w:color w:val="auto"/>
                <w:sz w:val="24"/>
                <w:szCs w:val="24"/>
                <w:lang w:val="en-US" w:eastAsia="zh-CN"/>
              </w:rPr>
              <w:t>。</w:t>
            </w:r>
          </w:p>
          <w:p w14:paraId="42E16B37">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（4）水生生态恢复措施</w:t>
            </w:r>
          </w:p>
          <w:p w14:paraId="33D96CEA">
            <w:pPr>
              <w:spacing w:line="360" w:lineRule="auto"/>
              <w:ind w:firstLine="480" w:firstLineChars="200"/>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根据对项目区水生动物的现状调查可知，</w:t>
            </w:r>
            <w:r>
              <w:rPr>
                <w:rFonts w:hint="eastAsia" w:cs="Times New Roman"/>
                <w:bCs/>
                <w:color w:val="auto"/>
                <w:sz w:val="24"/>
                <w:szCs w:val="24"/>
                <w:highlight w:val="none"/>
                <w:lang w:val="en-US" w:eastAsia="zh-CN"/>
              </w:rPr>
              <w:t>项目区</w:t>
            </w:r>
            <w:r>
              <w:rPr>
                <w:rFonts w:hint="eastAsia" w:ascii="Times New Roman" w:hAnsi="Times New Roman" w:eastAsia="宋体" w:cs="Times New Roman"/>
                <w:bCs/>
                <w:color w:val="auto"/>
                <w:sz w:val="24"/>
                <w:szCs w:val="24"/>
                <w:highlight w:val="none"/>
                <w:lang w:val="en-US" w:eastAsia="zh-CN"/>
              </w:rPr>
              <w:t>河段无珍稀濒危保护类水生生物物种栖息。在施工过程中，施工单位应做到：</w:t>
            </w:r>
          </w:p>
          <w:p w14:paraId="7B730102">
            <w:pPr>
              <w:spacing w:line="360" w:lineRule="auto"/>
              <w:ind w:firstLine="480" w:firstLineChars="200"/>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①施工过程中若发现蛇、青蛙、泥鳅等应采取保护措施，禁止施工人员采取炸鱼、毒鱼、电鱼等毁灭性方式进行捕鱼。</w:t>
            </w:r>
          </w:p>
          <w:p w14:paraId="42CE55D5">
            <w:pPr>
              <w:spacing w:line="360" w:lineRule="auto"/>
              <w:ind w:firstLine="480" w:firstLineChars="200"/>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②施工中产生的土方应及时回填</w:t>
            </w:r>
            <w:r>
              <w:rPr>
                <w:rFonts w:hint="eastAsia" w:cs="Times New Roman"/>
                <w:bCs/>
                <w:color w:val="auto"/>
                <w:sz w:val="24"/>
                <w:szCs w:val="24"/>
                <w:highlight w:val="none"/>
                <w:lang w:val="en-US" w:eastAsia="zh-CN"/>
              </w:rPr>
              <w:t>和清运</w:t>
            </w:r>
            <w:r>
              <w:rPr>
                <w:rFonts w:hint="eastAsia" w:ascii="Times New Roman" w:hAnsi="Times New Roman" w:eastAsia="宋体" w:cs="Times New Roman"/>
                <w:bCs/>
                <w:color w:val="auto"/>
                <w:sz w:val="24"/>
                <w:szCs w:val="24"/>
                <w:highlight w:val="none"/>
                <w:lang w:val="en-US" w:eastAsia="zh-CN"/>
              </w:rPr>
              <w:t>，在堆放过程中采取苫盖措施；生活垃圾应进行分类收集、清运处理，防止污染水体，影响水生生物生存。</w:t>
            </w:r>
          </w:p>
          <w:p w14:paraId="319A3DFB">
            <w:pPr>
              <w:spacing w:line="360" w:lineRule="auto"/>
              <w:ind w:firstLine="480" w:firstLineChars="200"/>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③施工期间施工废水处理后全部回用不外排，禁止在河道内存放砂子、水泥等施工材料以及施工机械维修，以免SS和石油类等污染物质进入地表水体，影响水生生物生存。</w:t>
            </w:r>
          </w:p>
          <w:p w14:paraId="28A5769A">
            <w:pPr>
              <w:spacing w:line="360" w:lineRule="auto"/>
              <w:ind w:firstLine="480" w:firstLineChars="200"/>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（5）临时用地生态恢复要求及措施</w:t>
            </w:r>
          </w:p>
          <w:p w14:paraId="2D6A2EC9">
            <w:pPr>
              <w:spacing w:line="360" w:lineRule="auto"/>
              <w:ind w:firstLine="480" w:firstLineChars="200"/>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本项目施工期临时占地为主体工程开挖占地、料场等，占地类型主要为</w:t>
            </w:r>
            <w:r>
              <w:rPr>
                <w:rFonts w:hint="eastAsia" w:cs="Times New Roman"/>
                <w:bCs/>
                <w:color w:val="auto"/>
                <w:sz w:val="24"/>
                <w:szCs w:val="24"/>
                <w:highlight w:val="none"/>
                <w:lang w:val="en-US" w:eastAsia="zh-CN"/>
              </w:rPr>
              <w:t>草地和林地</w:t>
            </w:r>
            <w:r>
              <w:rPr>
                <w:rFonts w:hint="eastAsia" w:ascii="Times New Roman" w:hAnsi="Times New Roman" w:eastAsia="宋体" w:cs="Times New Roman"/>
                <w:bCs/>
                <w:color w:val="auto"/>
                <w:sz w:val="24"/>
                <w:szCs w:val="24"/>
                <w:highlight w:val="none"/>
                <w:lang w:val="en-US" w:eastAsia="zh-CN"/>
              </w:rPr>
              <w:t>。施工期采取的生态环境保护措施：开挖护岸</w:t>
            </w:r>
            <w:r>
              <w:rPr>
                <w:rFonts w:hint="eastAsia" w:cs="Times New Roman"/>
                <w:bCs/>
                <w:color w:val="auto"/>
                <w:sz w:val="24"/>
                <w:szCs w:val="24"/>
                <w:highlight w:val="none"/>
                <w:lang w:val="en-US" w:eastAsia="zh-CN"/>
              </w:rPr>
              <w:t>挡墙</w:t>
            </w:r>
            <w:r>
              <w:rPr>
                <w:rFonts w:hint="eastAsia" w:ascii="Times New Roman" w:hAnsi="Times New Roman" w:eastAsia="宋体" w:cs="Times New Roman"/>
                <w:bCs/>
                <w:color w:val="auto"/>
                <w:sz w:val="24"/>
                <w:szCs w:val="24"/>
                <w:highlight w:val="none"/>
                <w:lang w:val="en-US" w:eastAsia="zh-CN"/>
              </w:rPr>
              <w:t>工程基础</w:t>
            </w:r>
            <w:r>
              <w:rPr>
                <w:rFonts w:hint="eastAsia" w:cs="Times New Roman"/>
                <w:bCs/>
                <w:color w:val="auto"/>
                <w:sz w:val="24"/>
                <w:szCs w:val="24"/>
                <w:highlight w:val="none"/>
                <w:lang w:val="en-US" w:eastAsia="zh-CN"/>
              </w:rPr>
              <w:t>和人工湿地</w:t>
            </w:r>
            <w:r>
              <w:rPr>
                <w:rFonts w:hint="eastAsia" w:ascii="Times New Roman" w:hAnsi="Times New Roman" w:eastAsia="宋体" w:cs="Times New Roman"/>
                <w:bCs/>
                <w:color w:val="auto"/>
                <w:sz w:val="24"/>
                <w:szCs w:val="24"/>
                <w:highlight w:val="none"/>
                <w:lang w:val="en-US" w:eastAsia="zh-CN"/>
              </w:rPr>
              <w:t>时</w:t>
            </w:r>
            <w:r>
              <w:rPr>
                <w:rFonts w:hint="eastAsia"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将表</w:t>
            </w:r>
            <w:r>
              <w:rPr>
                <w:rFonts w:hint="eastAsia" w:cs="Times New Roman"/>
                <w:bCs/>
                <w:color w:val="auto"/>
                <w:sz w:val="24"/>
                <w:szCs w:val="24"/>
                <w:highlight w:val="none"/>
                <w:lang w:val="en-US" w:eastAsia="zh-CN"/>
              </w:rPr>
              <w:t>土</w:t>
            </w:r>
            <w:r>
              <w:rPr>
                <w:rFonts w:hint="eastAsia" w:ascii="Times New Roman" w:hAnsi="Times New Roman" w:eastAsia="宋体" w:cs="Times New Roman"/>
                <w:bCs/>
                <w:color w:val="auto"/>
                <w:sz w:val="24"/>
                <w:szCs w:val="24"/>
                <w:highlight w:val="none"/>
                <w:lang w:val="en-US" w:eastAsia="zh-CN"/>
              </w:rPr>
              <w:t>及下层土分开堆放，</w:t>
            </w:r>
            <w:r>
              <w:rPr>
                <w:rFonts w:hint="eastAsia" w:cs="Times New Roman"/>
                <w:bCs/>
                <w:color w:val="auto"/>
                <w:sz w:val="24"/>
                <w:szCs w:val="24"/>
                <w:highlight w:val="none"/>
                <w:lang w:val="en-US" w:eastAsia="zh-CN"/>
              </w:rPr>
              <w:t>主体工程</w:t>
            </w:r>
            <w:r>
              <w:rPr>
                <w:rFonts w:hint="eastAsia" w:ascii="Times New Roman" w:hAnsi="Times New Roman" w:eastAsia="宋体" w:cs="Times New Roman"/>
                <w:bCs/>
                <w:color w:val="auto"/>
                <w:sz w:val="24"/>
                <w:szCs w:val="24"/>
                <w:highlight w:val="none"/>
                <w:lang w:val="en-US" w:eastAsia="zh-CN"/>
              </w:rPr>
              <w:t>施工</w:t>
            </w:r>
            <w:r>
              <w:rPr>
                <w:rFonts w:hint="eastAsia" w:cs="Times New Roman"/>
                <w:bCs/>
                <w:color w:val="auto"/>
                <w:sz w:val="24"/>
                <w:szCs w:val="24"/>
                <w:highlight w:val="none"/>
                <w:lang w:val="en-US" w:eastAsia="zh-CN"/>
              </w:rPr>
              <w:t>完成</w:t>
            </w:r>
            <w:r>
              <w:rPr>
                <w:rFonts w:hint="eastAsia" w:ascii="Times New Roman" w:hAnsi="Times New Roman" w:eastAsia="宋体" w:cs="Times New Roman"/>
                <w:bCs/>
                <w:color w:val="auto"/>
                <w:sz w:val="24"/>
                <w:szCs w:val="24"/>
                <w:highlight w:val="none"/>
                <w:lang w:val="en-US" w:eastAsia="zh-CN"/>
              </w:rPr>
              <w:t>后，利用原表土平铺到施工扰动地面。施工结束后，将施工区全部恢复为施工前地貌状态。对土地裸露的施工作业区，平整并覆盖原有熟化土壤，</w:t>
            </w:r>
            <w:r>
              <w:rPr>
                <w:rFonts w:hint="eastAsia" w:cs="Times New Roman"/>
                <w:bCs/>
                <w:color w:val="auto"/>
                <w:sz w:val="24"/>
                <w:szCs w:val="24"/>
                <w:highlight w:val="none"/>
                <w:lang w:val="en-US" w:eastAsia="zh-CN"/>
              </w:rPr>
              <w:t>洒水</w:t>
            </w:r>
            <w:r>
              <w:rPr>
                <w:rFonts w:hint="eastAsia" w:ascii="Times New Roman" w:hAnsi="Times New Roman" w:eastAsia="宋体" w:cs="Times New Roman"/>
                <w:bCs/>
                <w:color w:val="auto"/>
                <w:sz w:val="24"/>
                <w:szCs w:val="24"/>
                <w:highlight w:val="none"/>
                <w:lang w:val="en-US" w:eastAsia="zh-CN"/>
              </w:rPr>
              <w:t>湿润，恢复植被，采取生物措施固结土壤防止流失。生物措施以种草为主，草种选用</w:t>
            </w:r>
            <w:r>
              <w:rPr>
                <w:rFonts w:hint="eastAsia" w:cs="Times New Roman"/>
                <w:bCs/>
                <w:color w:val="auto"/>
                <w:sz w:val="24"/>
                <w:szCs w:val="24"/>
                <w:highlight w:val="none"/>
                <w:lang w:val="en-US" w:eastAsia="zh-CN"/>
              </w:rPr>
              <w:t>本地适生物种，提高成活率</w:t>
            </w:r>
            <w:r>
              <w:rPr>
                <w:rFonts w:hint="eastAsia" w:ascii="Times New Roman" w:hAnsi="Times New Roman" w:eastAsia="宋体" w:cs="Times New Roman"/>
                <w:bCs/>
                <w:color w:val="auto"/>
                <w:sz w:val="24"/>
                <w:szCs w:val="24"/>
                <w:highlight w:val="none"/>
                <w:lang w:val="en-US" w:eastAsia="zh-CN"/>
              </w:rPr>
              <w:t>。</w:t>
            </w:r>
          </w:p>
          <w:p w14:paraId="1D5E21D0">
            <w:pPr>
              <w:spacing w:line="360" w:lineRule="auto"/>
              <w:ind w:firstLine="480" w:firstLineChars="200"/>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①主体工程开挖临时占地</w:t>
            </w:r>
          </w:p>
          <w:p w14:paraId="74AEC07F">
            <w:pPr>
              <w:spacing w:line="360" w:lineRule="auto"/>
              <w:ind w:firstLine="480" w:firstLineChars="200"/>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本项目主体工程开挖土方</w:t>
            </w:r>
            <w:r>
              <w:rPr>
                <w:rFonts w:hint="eastAsia" w:cs="Times New Roman"/>
                <w:bCs/>
                <w:color w:val="auto"/>
                <w:sz w:val="24"/>
                <w:szCs w:val="24"/>
                <w:highlight w:val="none"/>
                <w:lang w:val="en-US" w:eastAsia="zh-CN"/>
              </w:rPr>
              <w:t>部分进行堆存，用于工程结束后回填，多余的弃方及时外运至陇县国有化标准砂石厂综合利用</w:t>
            </w:r>
            <w:r>
              <w:rPr>
                <w:rFonts w:hint="eastAsia" w:ascii="Times New Roman" w:hAnsi="Times New Roman" w:eastAsia="宋体" w:cs="Times New Roman"/>
                <w:bCs/>
                <w:color w:val="auto"/>
                <w:sz w:val="24"/>
                <w:szCs w:val="24"/>
                <w:highlight w:val="none"/>
                <w:lang w:val="en-US" w:eastAsia="zh-CN"/>
              </w:rPr>
              <w:t>，</w:t>
            </w:r>
            <w:r>
              <w:rPr>
                <w:rFonts w:hint="eastAsia" w:cs="Times New Roman"/>
                <w:bCs/>
                <w:color w:val="auto"/>
                <w:sz w:val="24"/>
                <w:szCs w:val="24"/>
                <w:highlight w:val="none"/>
                <w:lang w:val="en-US" w:eastAsia="zh-CN"/>
              </w:rPr>
              <w:t>施工结束后对堆存</w:t>
            </w:r>
            <w:r>
              <w:rPr>
                <w:rFonts w:hint="eastAsia" w:ascii="Times New Roman" w:hAnsi="Times New Roman" w:eastAsia="宋体" w:cs="Times New Roman"/>
                <w:bCs/>
                <w:color w:val="auto"/>
                <w:sz w:val="24"/>
                <w:szCs w:val="24"/>
                <w:highlight w:val="none"/>
                <w:lang w:val="en-US" w:eastAsia="zh-CN"/>
              </w:rPr>
              <w:t>场地清理，植树种草</w:t>
            </w:r>
            <w:r>
              <w:rPr>
                <w:rFonts w:hint="eastAsia" w:cs="Times New Roman"/>
                <w:bCs/>
                <w:color w:val="auto"/>
                <w:sz w:val="24"/>
                <w:szCs w:val="24"/>
                <w:highlight w:val="none"/>
                <w:lang w:val="en-US" w:eastAsia="zh-CN"/>
              </w:rPr>
              <w:t>进行</w:t>
            </w:r>
            <w:r>
              <w:rPr>
                <w:rFonts w:hint="eastAsia" w:ascii="Times New Roman" w:hAnsi="Times New Roman" w:eastAsia="宋体" w:cs="Times New Roman"/>
                <w:bCs/>
                <w:color w:val="auto"/>
                <w:sz w:val="24"/>
                <w:szCs w:val="24"/>
                <w:highlight w:val="none"/>
                <w:lang w:val="en-US" w:eastAsia="zh-CN"/>
              </w:rPr>
              <w:t>绿化。</w:t>
            </w:r>
          </w:p>
          <w:p w14:paraId="76109061">
            <w:pPr>
              <w:spacing w:line="360" w:lineRule="auto"/>
              <w:ind w:firstLine="480" w:firstLineChars="200"/>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②施工</w:t>
            </w:r>
            <w:r>
              <w:rPr>
                <w:rFonts w:hint="eastAsia" w:cs="Times New Roman"/>
                <w:bCs/>
                <w:color w:val="auto"/>
                <w:sz w:val="24"/>
                <w:szCs w:val="24"/>
                <w:highlight w:val="none"/>
                <w:lang w:val="en-US" w:eastAsia="zh-CN"/>
              </w:rPr>
              <w:t>工</w:t>
            </w:r>
            <w:r>
              <w:rPr>
                <w:rFonts w:hint="eastAsia" w:ascii="Times New Roman" w:hAnsi="Times New Roman" w:eastAsia="宋体" w:cs="Times New Roman"/>
                <w:bCs/>
                <w:color w:val="auto"/>
                <w:sz w:val="24"/>
                <w:szCs w:val="24"/>
                <w:highlight w:val="none"/>
                <w:lang w:val="en-US" w:eastAsia="zh-CN"/>
              </w:rPr>
              <w:t>区</w:t>
            </w:r>
          </w:p>
          <w:p w14:paraId="3AB01094">
            <w:pPr>
              <w:spacing w:line="360" w:lineRule="auto"/>
              <w:ind w:firstLine="480" w:firstLineChars="200"/>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本项目施工生产区内根据需要设置相应的</w:t>
            </w:r>
            <w:r>
              <w:rPr>
                <w:rFonts w:hint="eastAsia" w:cs="Times New Roman"/>
                <w:bCs/>
                <w:color w:val="auto"/>
                <w:sz w:val="24"/>
                <w:szCs w:val="24"/>
                <w:highlight w:val="none"/>
                <w:lang w:val="en-US" w:eastAsia="zh-CN"/>
              </w:rPr>
              <w:t>堆</w:t>
            </w:r>
            <w:r>
              <w:rPr>
                <w:rFonts w:hint="eastAsia" w:ascii="Times New Roman" w:hAnsi="Times New Roman" w:eastAsia="宋体" w:cs="Times New Roman"/>
                <w:bCs/>
                <w:color w:val="auto"/>
                <w:sz w:val="24"/>
                <w:szCs w:val="24"/>
                <w:highlight w:val="none"/>
                <w:lang w:val="en-US" w:eastAsia="zh-CN"/>
              </w:rPr>
              <w:t>料场、</w:t>
            </w:r>
            <w:r>
              <w:rPr>
                <w:rFonts w:hint="eastAsia" w:cs="Times New Roman"/>
                <w:bCs/>
                <w:color w:val="auto"/>
                <w:sz w:val="24"/>
                <w:szCs w:val="24"/>
                <w:highlight w:val="none"/>
                <w:lang w:val="en-US" w:eastAsia="zh-CN"/>
              </w:rPr>
              <w:t>施工机械停放场地</w:t>
            </w:r>
            <w:r>
              <w:rPr>
                <w:rFonts w:hint="eastAsia" w:ascii="Times New Roman" w:hAnsi="Times New Roman" w:eastAsia="宋体" w:cs="Times New Roman"/>
                <w:bCs/>
                <w:color w:val="auto"/>
                <w:sz w:val="24"/>
                <w:szCs w:val="24"/>
                <w:highlight w:val="none"/>
                <w:lang w:val="en-US" w:eastAsia="zh-CN"/>
              </w:rPr>
              <w:t>等，施工结束后，应清除并集中收集施工</w:t>
            </w:r>
            <w:r>
              <w:rPr>
                <w:rFonts w:hint="eastAsia" w:cs="Times New Roman"/>
                <w:bCs/>
                <w:color w:val="auto"/>
                <w:sz w:val="24"/>
                <w:szCs w:val="24"/>
                <w:highlight w:val="none"/>
                <w:lang w:val="en-US" w:eastAsia="zh-CN"/>
              </w:rPr>
              <w:t>工</w:t>
            </w:r>
            <w:r>
              <w:rPr>
                <w:rFonts w:hint="eastAsia" w:ascii="Times New Roman" w:hAnsi="Times New Roman" w:eastAsia="宋体" w:cs="Times New Roman"/>
                <w:bCs/>
                <w:color w:val="auto"/>
                <w:sz w:val="24"/>
                <w:szCs w:val="24"/>
                <w:highlight w:val="none"/>
                <w:lang w:val="en-US" w:eastAsia="zh-CN"/>
              </w:rPr>
              <w:t>区场地的杂物，同时对施工中践踏和机械碾压产生的硬化层进行清除，清除厚度0.1m，然后进行植树种草。</w:t>
            </w:r>
          </w:p>
          <w:p w14:paraId="618153F3">
            <w:pPr>
              <w:spacing w:line="360" w:lineRule="auto"/>
              <w:ind w:firstLine="480" w:firstLineChars="200"/>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（6）水土流失防治措施</w:t>
            </w:r>
          </w:p>
          <w:p w14:paraId="65130B6F">
            <w:pPr>
              <w:spacing w:line="360" w:lineRule="auto"/>
              <w:ind w:firstLine="480" w:firstLineChars="200"/>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①主体工程生态修复措施</w:t>
            </w:r>
          </w:p>
          <w:p w14:paraId="19F58516">
            <w:pPr>
              <w:spacing w:line="360" w:lineRule="auto"/>
              <w:ind w:firstLine="480" w:firstLineChars="200"/>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工程措施：本工程整修采用履带式推土机平整、压实。主体工程在施工前，需对</w:t>
            </w:r>
            <w:r>
              <w:rPr>
                <w:rFonts w:hint="eastAsia" w:cs="Times New Roman"/>
                <w:bCs/>
                <w:color w:val="auto"/>
                <w:sz w:val="24"/>
                <w:szCs w:val="24"/>
                <w:highlight w:val="none"/>
                <w:lang w:val="en-US" w:eastAsia="zh-CN"/>
              </w:rPr>
              <w:t>人工湿地和护岸</w:t>
            </w:r>
            <w:r>
              <w:rPr>
                <w:rFonts w:hint="eastAsia" w:ascii="Times New Roman" w:hAnsi="Times New Roman" w:eastAsia="宋体" w:cs="Times New Roman"/>
                <w:bCs/>
                <w:color w:val="auto"/>
                <w:sz w:val="24"/>
                <w:szCs w:val="24"/>
                <w:highlight w:val="none"/>
                <w:lang w:val="en-US" w:eastAsia="zh-CN"/>
              </w:rPr>
              <w:t>所占地实施表土剥离，剥离厚度控制在0.3m，表土集中堆放于</w:t>
            </w:r>
            <w:r>
              <w:rPr>
                <w:rFonts w:hint="eastAsia" w:cs="Times New Roman"/>
                <w:bCs/>
                <w:color w:val="auto"/>
                <w:sz w:val="24"/>
                <w:szCs w:val="24"/>
                <w:highlight w:val="none"/>
                <w:lang w:val="en-US" w:eastAsia="zh-CN"/>
              </w:rPr>
              <w:t>项目区北侧的</w:t>
            </w:r>
            <w:r>
              <w:rPr>
                <w:rFonts w:hint="eastAsia" w:ascii="Times New Roman" w:hAnsi="Times New Roman" w:eastAsia="宋体" w:cs="Times New Roman"/>
                <w:bCs/>
                <w:color w:val="auto"/>
                <w:sz w:val="24"/>
                <w:szCs w:val="24"/>
                <w:highlight w:val="none"/>
                <w:lang w:val="en-US" w:eastAsia="zh-CN"/>
              </w:rPr>
              <w:t>空地，用于后期</w:t>
            </w:r>
            <w:r>
              <w:rPr>
                <w:rFonts w:hint="eastAsia" w:cs="Times New Roman"/>
                <w:bCs/>
                <w:color w:val="auto"/>
                <w:sz w:val="24"/>
                <w:szCs w:val="24"/>
                <w:highlight w:val="none"/>
                <w:lang w:val="en-US" w:eastAsia="zh-CN"/>
              </w:rPr>
              <w:t>植被</w:t>
            </w:r>
            <w:r>
              <w:rPr>
                <w:rFonts w:hint="eastAsia" w:ascii="Times New Roman" w:hAnsi="Times New Roman" w:eastAsia="宋体" w:cs="Times New Roman"/>
                <w:bCs/>
                <w:color w:val="auto"/>
                <w:sz w:val="24"/>
                <w:szCs w:val="24"/>
                <w:highlight w:val="none"/>
                <w:lang w:val="en-US" w:eastAsia="zh-CN"/>
              </w:rPr>
              <w:t>恢复覆土。</w:t>
            </w:r>
          </w:p>
          <w:p w14:paraId="11493BB7">
            <w:pPr>
              <w:spacing w:line="360" w:lineRule="auto"/>
              <w:ind w:firstLine="480" w:firstLineChars="200"/>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临时措施：1）表土拦挡与苫盖：为了预防降雨冲刷临时堆放的表土而造成水土流失，设计在临时堆土坡脚采用编织袋装土拦挡、表面使用密目网苫盖的措施。表土临时堆高控制在2.0m以内，表土堆放边坡为1:1.5，编织袋装土围挡断面为梯形断面，底宽0.8m，高0.9m，顶宽0.4m；2）开挖面苫盖：为防止工程开挖裸露面在施工中的水土流失，设计在护岸工程区</w:t>
            </w:r>
            <w:r>
              <w:rPr>
                <w:rFonts w:hint="eastAsia" w:cs="Times New Roman"/>
                <w:bCs/>
                <w:color w:val="auto"/>
                <w:sz w:val="24"/>
                <w:szCs w:val="24"/>
                <w:highlight w:val="none"/>
                <w:lang w:val="en-US" w:eastAsia="zh-CN"/>
              </w:rPr>
              <w:t>和人工湿地</w:t>
            </w:r>
            <w:r>
              <w:rPr>
                <w:rFonts w:hint="eastAsia" w:ascii="Times New Roman" w:hAnsi="Times New Roman" w:eastAsia="宋体" w:cs="Times New Roman"/>
                <w:bCs/>
                <w:color w:val="auto"/>
                <w:sz w:val="24"/>
                <w:szCs w:val="24"/>
                <w:highlight w:val="none"/>
                <w:lang w:val="en-US" w:eastAsia="zh-CN"/>
              </w:rPr>
              <w:t>开挖裸露面进行密目网苫盖。</w:t>
            </w:r>
          </w:p>
          <w:p w14:paraId="4BA59D2F">
            <w:pPr>
              <w:spacing w:line="360" w:lineRule="auto"/>
              <w:ind w:firstLine="480" w:firstLineChars="200"/>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②施工过程中临时水保措施</w:t>
            </w:r>
          </w:p>
          <w:p w14:paraId="6C5ED90E">
            <w:pPr>
              <w:spacing w:line="360" w:lineRule="auto"/>
              <w:ind w:firstLine="480" w:firstLineChars="200"/>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除主体工程设计中水保功能的措施外，评价要求在主体工程施工过程中采取临时水土流失防治措施，具体如下：</w:t>
            </w:r>
          </w:p>
          <w:p w14:paraId="05A0220A">
            <w:pPr>
              <w:spacing w:line="360" w:lineRule="auto"/>
              <w:ind w:firstLine="480" w:firstLineChars="200"/>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施工生产区在建设前场地开挖过程中，应做好临时排水设施，设计在施工场地三面设置临时排水沟，设计排水沟采用梯形断面形式，横断面下底宽0.4m，上底宽1.2m，深0.4m，为防雨水冲刷，排水沟沟底、沟边夯实。临时排水沟末端经简易</w:t>
            </w:r>
            <w:r>
              <w:rPr>
                <w:rFonts w:hint="eastAsia" w:cs="Times New Roman"/>
                <w:bCs/>
                <w:color w:val="auto"/>
                <w:sz w:val="24"/>
                <w:szCs w:val="24"/>
                <w:highlight w:val="none"/>
                <w:lang w:val="en-US" w:eastAsia="zh-CN"/>
              </w:rPr>
              <w:t>沉沙池</w:t>
            </w:r>
            <w:r>
              <w:rPr>
                <w:rFonts w:hint="eastAsia" w:ascii="Times New Roman" w:hAnsi="Times New Roman" w:eastAsia="宋体" w:cs="Times New Roman"/>
                <w:bCs/>
                <w:color w:val="auto"/>
                <w:sz w:val="24"/>
                <w:szCs w:val="24"/>
                <w:highlight w:val="none"/>
                <w:lang w:val="en-US" w:eastAsia="zh-CN"/>
              </w:rPr>
              <w:t>澄清后与城镇排水设施衔接。</w:t>
            </w:r>
          </w:p>
          <w:p w14:paraId="7737BE9B">
            <w:pPr>
              <w:spacing w:line="360" w:lineRule="auto"/>
              <w:ind w:firstLine="480" w:firstLineChars="200"/>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临时草袋防护措施：临时工程在施工建设中，在施工边坡下侧，为防止施工期间边坡、松散堆体对周围环境造成二次水土流失危害，拟采用填土草袋临时拦挡。</w:t>
            </w:r>
          </w:p>
          <w:p w14:paraId="76385EC1">
            <w:pPr>
              <w:pStyle w:val="20"/>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baseline"/>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植物措施：根据工程现场情况，施工结束后，应对施工场地进行疏松恢复原有地貌。并采用灌草结合的方式进行植被恢复。</w:t>
            </w:r>
          </w:p>
          <w:p w14:paraId="37F5278C">
            <w:pPr>
              <w:pStyle w:val="20"/>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baseline"/>
              <w:rPr>
                <w:rFonts w:hint="default" w:ascii="Times New Roman" w:hAnsi="Times New Roman" w:eastAsia="宋体" w:cs="Times New Roman"/>
                <w:b/>
                <w:bCs w:val="0"/>
                <w:color w:val="auto"/>
                <w:spacing w:val="0"/>
                <w:sz w:val="24"/>
                <w:szCs w:val="21"/>
                <w:lang w:val="en-US" w:eastAsia="zh-CN"/>
              </w:rPr>
            </w:pPr>
            <w:r>
              <w:rPr>
                <w:rFonts w:hint="eastAsia" w:ascii="Times New Roman" w:hAnsi="Times New Roman" w:eastAsia="宋体" w:cs="Times New Roman"/>
                <w:b/>
                <w:bCs w:val="0"/>
                <w:color w:val="auto"/>
                <w:spacing w:val="0"/>
                <w:sz w:val="24"/>
                <w:szCs w:val="21"/>
                <w:lang w:val="en-US" w:eastAsia="zh-CN"/>
              </w:rPr>
              <w:t>2</w:t>
            </w:r>
            <w:r>
              <w:rPr>
                <w:rFonts w:hint="default" w:ascii="Times New Roman" w:hAnsi="Times New Roman" w:eastAsia="宋体" w:cs="Times New Roman"/>
                <w:b/>
                <w:bCs w:val="0"/>
                <w:color w:val="auto"/>
                <w:spacing w:val="0"/>
                <w:sz w:val="24"/>
                <w:szCs w:val="21"/>
                <w:lang w:val="en-US" w:eastAsia="zh-CN"/>
              </w:rPr>
              <w:t>、施工期大气污染防治措施</w:t>
            </w:r>
          </w:p>
          <w:p w14:paraId="5BC649F9">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default" w:ascii="Times New Roman" w:hAnsi="Times New Roman" w:eastAsia="宋体" w:cs="Times New Roman"/>
                <w:bCs/>
                <w:color w:val="auto"/>
                <w:highlight w:val="none"/>
                <w:lang w:val="en-US" w:eastAsia="zh-CN"/>
              </w:rPr>
            </w:pPr>
            <w:r>
              <w:rPr>
                <w:rFonts w:hint="default" w:ascii="Times New Roman" w:hAnsi="Times New Roman" w:eastAsia="宋体" w:cs="Times New Roman"/>
                <w:bCs/>
                <w:color w:val="auto"/>
                <w:highlight w:val="none"/>
                <w:lang w:eastAsia="zh-CN"/>
              </w:rPr>
              <w:t>（</w:t>
            </w:r>
            <w:r>
              <w:rPr>
                <w:rFonts w:hint="default" w:ascii="Times New Roman" w:hAnsi="Times New Roman" w:eastAsia="宋体" w:cs="Times New Roman"/>
                <w:bCs/>
                <w:color w:val="auto"/>
                <w:highlight w:val="none"/>
                <w:lang w:val="en-US" w:eastAsia="zh-CN"/>
              </w:rPr>
              <w:t>1</w:t>
            </w:r>
            <w:r>
              <w:rPr>
                <w:rFonts w:hint="default" w:ascii="Times New Roman" w:hAnsi="Times New Roman" w:eastAsia="宋体" w:cs="Times New Roman"/>
                <w:bCs/>
                <w:color w:val="auto"/>
                <w:highlight w:val="none"/>
                <w:lang w:eastAsia="zh-CN"/>
              </w:rPr>
              <w:t>）</w:t>
            </w:r>
            <w:r>
              <w:rPr>
                <w:rFonts w:hint="default" w:ascii="Times New Roman" w:hAnsi="Times New Roman" w:eastAsia="宋体" w:cs="Times New Roman"/>
                <w:bCs/>
                <w:color w:val="auto"/>
                <w:highlight w:val="none"/>
                <w:lang w:val="en-US" w:eastAsia="zh-CN"/>
              </w:rPr>
              <w:t>扬尘</w:t>
            </w:r>
            <w:r>
              <w:rPr>
                <w:rFonts w:hint="eastAsia" w:ascii="Times New Roman" w:hAnsi="Times New Roman" w:eastAsia="宋体" w:cs="Times New Roman"/>
                <w:bCs/>
                <w:color w:val="auto"/>
                <w:highlight w:val="none"/>
                <w:lang w:val="en-US" w:eastAsia="zh-CN"/>
              </w:rPr>
              <w:t>防治措施</w:t>
            </w:r>
          </w:p>
          <w:p w14:paraId="66F44D44">
            <w:pPr>
              <w:spacing w:line="360" w:lineRule="auto"/>
              <w:ind w:firstLine="480" w:firstLineChars="200"/>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施工扬尘</w:t>
            </w:r>
            <w:r>
              <w:rPr>
                <w:rFonts w:hint="eastAsia" w:cs="Times New Roman"/>
                <w:color w:val="auto"/>
                <w:sz w:val="24"/>
                <w:szCs w:val="24"/>
                <w:lang w:val="en-US" w:eastAsia="zh-CN"/>
              </w:rPr>
              <w:t>和车辆运输扬尘</w:t>
            </w:r>
            <w:r>
              <w:rPr>
                <w:rFonts w:hint="default" w:ascii="Times New Roman" w:hAnsi="Times New Roman" w:eastAsia="宋体" w:cs="Times New Roman"/>
                <w:color w:val="auto"/>
                <w:sz w:val="24"/>
                <w:szCs w:val="24"/>
              </w:rPr>
              <w:t>是施工期最主要的环境空气污染源，针对扬尘的来源，</w:t>
            </w:r>
            <w:r>
              <w:rPr>
                <w:rFonts w:hint="eastAsia" w:ascii="Times New Roman" w:hAnsi="Times New Roman" w:eastAsia="宋体" w:cs="Times New Roman"/>
                <w:color w:val="auto"/>
                <w:sz w:val="24"/>
                <w:szCs w:val="24"/>
                <w:lang w:val="en-US" w:eastAsia="zh-CN"/>
              </w:rPr>
              <w:t>为控制及治理扬尘污染，将</w:t>
            </w:r>
            <w:r>
              <w:rPr>
                <w:rFonts w:hint="default" w:ascii="Times New Roman" w:hAnsi="Times New Roman" w:eastAsia="宋体" w:cs="Times New Roman"/>
                <w:color w:val="auto"/>
                <w:sz w:val="24"/>
                <w:szCs w:val="24"/>
              </w:rPr>
              <w:t>扬尘对周边环境空气及环境敏感点的影响</w:t>
            </w:r>
            <w:r>
              <w:rPr>
                <w:rFonts w:hint="eastAsia" w:ascii="Times New Roman" w:hAnsi="Times New Roman" w:eastAsia="宋体" w:cs="Times New Roman"/>
                <w:color w:val="auto"/>
                <w:sz w:val="24"/>
                <w:szCs w:val="24"/>
                <w:lang w:val="en-US" w:eastAsia="zh-CN"/>
              </w:rPr>
              <w:t>降至最小。</w:t>
            </w:r>
            <w:r>
              <w:rPr>
                <w:rFonts w:hint="eastAsia" w:cs="Times New Roman"/>
                <w:color w:val="auto"/>
                <w:sz w:val="24"/>
                <w:szCs w:val="24"/>
                <w:lang w:val="en-US" w:eastAsia="zh-CN"/>
              </w:rPr>
              <w:t>结合</w:t>
            </w:r>
            <w:r>
              <w:rPr>
                <w:rFonts w:hint="eastAsia" w:ascii="Times New Roman" w:hAnsi="Times New Roman" w:eastAsia="宋体" w:cs="Times New Roman"/>
                <w:color w:val="auto"/>
                <w:sz w:val="24"/>
                <w:szCs w:val="24"/>
                <w:lang w:eastAsia="zh-CN"/>
              </w:rPr>
              <w:t>《</w:t>
            </w:r>
            <w:r>
              <w:rPr>
                <w:rFonts w:hint="eastAsia" w:cs="Times New Roman"/>
                <w:color w:val="auto"/>
                <w:sz w:val="24"/>
                <w:szCs w:val="24"/>
                <w:lang w:val="en-US" w:eastAsia="zh-CN"/>
              </w:rPr>
              <w:t>陇县</w:t>
            </w:r>
            <w:r>
              <w:rPr>
                <w:rFonts w:hint="eastAsia" w:ascii="Times New Roman" w:hAnsi="Times New Roman" w:eastAsia="宋体" w:cs="Times New Roman"/>
                <w:color w:val="auto"/>
                <w:sz w:val="24"/>
                <w:szCs w:val="24"/>
                <w:lang w:eastAsia="zh-CN"/>
              </w:rPr>
              <w:t>大气污染治理专项行动方案》（</w:t>
            </w:r>
            <w:r>
              <w:rPr>
                <w:rFonts w:hint="eastAsia" w:ascii="Times New Roman" w:hAnsi="Times New Roman" w:eastAsia="宋体" w:cs="Times New Roman"/>
                <w:color w:val="auto"/>
                <w:sz w:val="24"/>
                <w:szCs w:val="24"/>
                <w:lang w:val="en-US" w:eastAsia="zh-CN"/>
              </w:rPr>
              <w:t>2023</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2027</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中</w:t>
            </w:r>
            <w:r>
              <w:rPr>
                <w:rFonts w:hint="eastAsia" w:ascii="Times New Roman" w:hAnsi="Times New Roman" w:eastAsia="宋体" w:cs="Times New Roman"/>
                <w:color w:val="auto"/>
                <w:sz w:val="24"/>
                <w:szCs w:val="24"/>
                <w:lang w:eastAsia="zh-CN"/>
              </w:rPr>
              <w:t>相关要求，本次评价提出以下</w:t>
            </w:r>
            <w:r>
              <w:rPr>
                <w:rFonts w:hint="default" w:ascii="Times New Roman" w:hAnsi="Times New Roman" w:eastAsia="宋体" w:cs="Times New Roman"/>
                <w:color w:val="auto"/>
                <w:sz w:val="24"/>
                <w:szCs w:val="24"/>
              </w:rPr>
              <w:t>扬尘污染防治措施</w:t>
            </w:r>
            <w:r>
              <w:rPr>
                <w:rFonts w:hint="eastAsia" w:ascii="Times New Roman" w:hAnsi="Times New Roman" w:eastAsia="宋体" w:cs="Times New Roman"/>
                <w:color w:val="auto"/>
                <w:sz w:val="24"/>
                <w:szCs w:val="24"/>
                <w:lang w:val="en-US" w:eastAsia="zh-CN"/>
              </w:rPr>
              <w:t>要求</w:t>
            </w:r>
            <w:r>
              <w:rPr>
                <w:rFonts w:hint="eastAsia" w:ascii="Times New Roman" w:hAnsi="Times New Roman" w:eastAsia="宋体" w:cs="Times New Roman"/>
                <w:color w:val="auto"/>
                <w:sz w:val="24"/>
                <w:szCs w:val="24"/>
                <w:lang w:eastAsia="zh-CN"/>
              </w:rPr>
              <w:t>：</w:t>
            </w:r>
          </w:p>
          <w:p w14:paraId="6F8831B1">
            <w:pPr>
              <w:spacing w:line="360" w:lineRule="auto"/>
              <w:ind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rPr>
              <w:t>①严格落实施工工地扬尘管控责任，建立施工工地动态管理清单，在工地公示具体防治措施及负责人信息</w:t>
            </w:r>
            <w:r>
              <w:rPr>
                <w:rFonts w:hint="eastAsia" w:cs="Times New Roman"/>
                <w:color w:val="auto"/>
                <w:sz w:val="24"/>
                <w:szCs w:val="24"/>
                <w:lang w:eastAsia="zh-CN"/>
              </w:rPr>
              <w:t>，将</w:t>
            </w:r>
            <w:r>
              <w:rPr>
                <w:rFonts w:hint="eastAsia" w:ascii="Times New Roman" w:hAnsi="Times New Roman" w:eastAsia="宋体" w:cs="Times New Roman"/>
                <w:color w:val="auto"/>
                <w:sz w:val="24"/>
                <w:szCs w:val="24"/>
              </w:rPr>
              <w:t>防治扬尘污染费用纳入工程造价</w:t>
            </w:r>
            <w:r>
              <w:rPr>
                <w:rFonts w:hint="eastAsia" w:ascii="Times New Roman" w:hAnsi="Times New Roman" w:eastAsia="宋体" w:cs="Times New Roman"/>
                <w:color w:val="auto"/>
                <w:sz w:val="24"/>
                <w:szCs w:val="24"/>
                <w:lang w:eastAsia="zh-CN"/>
              </w:rPr>
              <w:t>；</w:t>
            </w:r>
          </w:p>
          <w:p w14:paraId="4D9A3F80">
            <w:pPr>
              <w:spacing w:line="360" w:lineRule="auto"/>
              <w:ind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rPr>
              <w:t>②工程项目部必须制定空气重污染应急预案，政府发布重污染预警时，立即启动应急响应。施工工地工程概况标志牌必须公布扬尘投诉举报电话，举报电话应包括施工企业电话和主管部门电话</w:t>
            </w:r>
            <w:r>
              <w:rPr>
                <w:rFonts w:hint="eastAsia" w:cs="Times New Roman"/>
                <w:color w:val="auto"/>
                <w:sz w:val="24"/>
                <w:szCs w:val="24"/>
                <w:lang w:eastAsia="zh-CN"/>
              </w:rPr>
              <w:t>；</w:t>
            </w:r>
          </w:p>
          <w:p w14:paraId="4768025B">
            <w:pPr>
              <w:spacing w:line="360" w:lineRule="auto"/>
              <w:ind w:firstLine="480" w:firstLineChars="200"/>
              <w:rPr>
                <w:rFonts w:hint="eastAsia" w:ascii="Times New Roman" w:hAnsi="Times New Roman" w:eastAsia="宋体" w:cs="Times New Roman"/>
                <w:color w:val="auto"/>
                <w:sz w:val="24"/>
                <w:szCs w:val="24"/>
                <w:lang w:eastAsia="zh-CN"/>
              </w:rPr>
            </w:pPr>
            <w:r>
              <w:rPr>
                <w:rFonts w:hint="eastAsia" w:ascii="宋体" w:hAnsi="宋体" w:eastAsia="宋体" w:cs="宋体"/>
                <w:color w:val="auto"/>
                <w:sz w:val="24"/>
                <w:szCs w:val="24"/>
              </w:rPr>
              <w:t>③施工现场应设置围挡墙，严禁敞开式作业</w:t>
            </w:r>
            <w:r>
              <w:rPr>
                <w:rFonts w:hint="eastAsia" w:ascii="宋体" w:hAnsi="宋体" w:cs="宋体"/>
                <w:color w:val="auto"/>
                <w:sz w:val="24"/>
                <w:szCs w:val="24"/>
                <w:lang w:eastAsia="zh-CN"/>
              </w:rPr>
              <w:t>；</w:t>
            </w:r>
            <w:r>
              <w:rPr>
                <w:rFonts w:hint="default" w:ascii="Times New Roman" w:hAnsi="Times New Roman" w:cs="Times New Roman"/>
                <w:color w:val="auto"/>
                <w:sz w:val="24"/>
                <w:szCs w:val="24"/>
              </w:rPr>
              <w:t>集中堆放的</w:t>
            </w:r>
            <w:r>
              <w:rPr>
                <w:rFonts w:hint="eastAsia" w:ascii="Times New Roman" w:hAnsi="Times New Roman" w:cs="Times New Roman"/>
                <w:color w:val="auto"/>
                <w:sz w:val="24"/>
                <w:szCs w:val="24"/>
                <w:lang w:eastAsia="zh-CN"/>
              </w:rPr>
              <w:t>剥离表土、</w:t>
            </w:r>
            <w:r>
              <w:rPr>
                <w:rFonts w:hint="default" w:ascii="Times New Roman" w:hAnsi="Times New Roman" w:cs="Times New Roman"/>
                <w:color w:val="auto"/>
                <w:sz w:val="24"/>
                <w:szCs w:val="24"/>
              </w:rPr>
              <w:t>土方</w:t>
            </w:r>
            <w:r>
              <w:rPr>
                <w:rFonts w:hint="eastAsia" w:cs="Times New Roman"/>
                <w:color w:val="auto"/>
                <w:sz w:val="24"/>
                <w:szCs w:val="24"/>
                <w:lang w:val="en-US" w:eastAsia="zh-CN"/>
              </w:rPr>
              <w:t>以及建筑材料</w:t>
            </w:r>
            <w:r>
              <w:rPr>
                <w:rFonts w:hint="default" w:ascii="Times New Roman" w:hAnsi="Times New Roman" w:cs="Times New Roman"/>
                <w:color w:val="auto"/>
                <w:sz w:val="24"/>
                <w:szCs w:val="24"/>
              </w:rPr>
              <w:t>必须覆盖，严禁裸露</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施工现场</w:t>
            </w:r>
            <w:r>
              <w:rPr>
                <w:rFonts w:hint="eastAsia" w:ascii="Times New Roman" w:hAnsi="Times New Roman" w:cs="Times New Roman"/>
                <w:color w:val="auto"/>
                <w:sz w:val="24"/>
                <w:szCs w:val="24"/>
                <w:lang w:eastAsia="zh-CN"/>
              </w:rPr>
              <w:t>运输物料车辆</w:t>
            </w:r>
            <w:r>
              <w:rPr>
                <w:rFonts w:hint="default" w:ascii="Times New Roman" w:hAnsi="Times New Roman" w:cs="Times New Roman"/>
                <w:color w:val="auto"/>
                <w:sz w:val="24"/>
                <w:szCs w:val="24"/>
              </w:rPr>
              <w:t>必须封闭或遮盖，严禁沿路遗漏或抛撒</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施工现场配备洒水车辆，建立洒水清扫制度或雾化降尘措施，并有专人负责</w:t>
            </w:r>
            <w:r>
              <w:rPr>
                <w:rFonts w:hint="eastAsia" w:ascii="Times New Roman" w:hAnsi="Times New Roman" w:cs="Times New Roman"/>
                <w:color w:val="auto"/>
                <w:sz w:val="24"/>
                <w:szCs w:val="24"/>
                <w:lang w:eastAsia="zh-CN"/>
              </w:rPr>
              <w:t>；</w:t>
            </w:r>
          </w:p>
          <w:p w14:paraId="455BD39E">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default" w:ascii="Times New Roman" w:hAnsi="Times New Roman" w:eastAsia="宋体" w:cs="Times New Roman"/>
                <w:bCs/>
                <w:color w:val="auto"/>
                <w:sz w:val="24"/>
                <w:szCs w:val="24"/>
                <w:highlight w:val="none"/>
              </w:rPr>
            </w:pPr>
            <w:r>
              <w:rPr>
                <w:rFonts w:hint="eastAsia" w:ascii="宋体" w:hAnsi="宋体" w:eastAsia="宋体" w:cs="宋体"/>
                <w:color w:val="auto"/>
                <w:sz w:val="24"/>
                <w:szCs w:val="24"/>
              </w:rPr>
              <w:t>④</w:t>
            </w:r>
            <w:r>
              <w:rPr>
                <w:rFonts w:hint="default" w:ascii="Times New Roman" w:hAnsi="Times New Roman" w:eastAsia="宋体" w:cs="Times New Roman"/>
                <w:bCs/>
                <w:color w:val="auto"/>
                <w:sz w:val="24"/>
                <w:szCs w:val="24"/>
                <w:highlight w:val="none"/>
              </w:rPr>
              <w:t>土石方工程作业时应当分</w:t>
            </w:r>
            <w:r>
              <w:rPr>
                <w:rFonts w:hint="eastAsia" w:ascii="Times New Roman" w:hAnsi="Times New Roman" w:cs="Times New Roman"/>
                <w:bCs/>
                <w:color w:val="auto"/>
                <w:sz w:val="24"/>
                <w:szCs w:val="24"/>
                <w:highlight w:val="none"/>
                <w:lang w:val="en-US" w:eastAsia="zh-CN"/>
              </w:rPr>
              <w:t>区</w:t>
            </w:r>
            <w:r>
              <w:rPr>
                <w:rFonts w:hint="default" w:ascii="Times New Roman" w:hAnsi="Times New Roman" w:eastAsia="宋体" w:cs="Times New Roman"/>
                <w:bCs/>
                <w:color w:val="auto"/>
                <w:sz w:val="24"/>
                <w:szCs w:val="24"/>
                <w:highlight w:val="none"/>
              </w:rPr>
              <w:t>作业，采取洒水抑尘措施，缩短起尘操作时间；气象预报风速达到四级以上或者出现重污染天气状况时，应当停止土石方作业以及其他可能产生扬尘污染的施工；</w:t>
            </w:r>
          </w:p>
          <w:p w14:paraId="4087F540">
            <w:pPr>
              <w:spacing w:line="360" w:lineRule="auto"/>
              <w:ind w:firstLine="480" w:firstLineChars="200"/>
              <w:rPr>
                <w:rFonts w:hint="eastAsia" w:ascii="Times New Roman" w:hAnsi="Times New Roman" w:eastAsia="宋体" w:cs="Times New Roman"/>
                <w:color w:val="auto"/>
                <w:sz w:val="24"/>
                <w:szCs w:val="24"/>
                <w:lang w:eastAsia="zh-CN"/>
              </w:rPr>
            </w:pPr>
            <w:r>
              <w:rPr>
                <w:rFonts w:hint="eastAsia" w:ascii="宋体" w:hAnsi="宋体" w:eastAsia="宋体" w:cs="宋体"/>
                <w:color w:val="auto"/>
                <w:sz w:val="24"/>
                <w:szCs w:val="24"/>
              </w:rPr>
              <w:t>⑤</w:t>
            </w:r>
            <w:r>
              <w:rPr>
                <w:rFonts w:hint="default" w:ascii="Times New Roman" w:hAnsi="Times New Roman" w:cs="Times New Roman"/>
                <w:color w:val="auto"/>
                <w:sz w:val="24"/>
                <w:szCs w:val="24"/>
              </w:rPr>
              <w:t>施工期应视天气及作业强度对施工场地、运输路面定期洒水抑尘，保持路面清洁度</w:t>
            </w:r>
            <w:r>
              <w:rPr>
                <w:rFonts w:hint="eastAsia" w:ascii="Times New Roman" w:hAnsi="Times New Roman" w:cs="Times New Roman"/>
                <w:color w:val="auto"/>
                <w:sz w:val="24"/>
                <w:szCs w:val="24"/>
                <w:lang w:eastAsia="zh-CN"/>
              </w:rPr>
              <w:t>；</w:t>
            </w:r>
          </w:p>
          <w:p w14:paraId="7AA0156B">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highlight w:val="none"/>
                <w:lang w:val="en-US" w:eastAsia="zh-CN"/>
              </w:rPr>
              <w:t>经</w:t>
            </w:r>
            <w:r>
              <w:rPr>
                <w:rFonts w:hint="default" w:ascii="Times New Roman" w:hAnsi="Times New Roman" w:cs="Times New Roman"/>
                <w:color w:val="auto"/>
                <w:sz w:val="24"/>
                <w:szCs w:val="24"/>
                <w:highlight w:val="none"/>
              </w:rPr>
              <w:t>采取以上措施，施工扬尘</w:t>
            </w:r>
            <w:r>
              <w:rPr>
                <w:rFonts w:hint="eastAsia" w:ascii="Times New Roman" w:hAnsi="Times New Roman" w:cs="Times New Roman"/>
                <w:color w:val="auto"/>
                <w:sz w:val="24"/>
                <w:szCs w:val="24"/>
                <w:highlight w:val="none"/>
                <w:lang w:val="en-US" w:eastAsia="zh-CN"/>
              </w:rPr>
              <w:t>可</w:t>
            </w:r>
            <w:r>
              <w:rPr>
                <w:rFonts w:hint="default" w:ascii="Times New Roman" w:hAnsi="Times New Roman" w:cs="Times New Roman"/>
                <w:color w:val="auto"/>
                <w:sz w:val="24"/>
                <w:szCs w:val="24"/>
                <w:highlight w:val="none"/>
              </w:rPr>
              <w:t>满足《施工场界扬尘排放限值》（DB61/1078-2017）要求</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且</w:t>
            </w:r>
            <w:r>
              <w:rPr>
                <w:rFonts w:hint="default" w:ascii="Times New Roman" w:hAnsi="Times New Roman" w:cs="Times New Roman"/>
                <w:color w:val="auto"/>
                <w:sz w:val="24"/>
                <w:szCs w:val="24"/>
                <w:highlight w:val="none"/>
              </w:rPr>
              <w:t>施工期造成的扬尘污染是</w:t>
            </w:r>
            <w:r>
              <w:rPr>
                <w:rFonts w:hint="default" w:ascii="Times New Roman" w:hAnsi="Times New Roman" w:cs="Times New Roman"/>
                <w:color w:val="auto"/>
                <w:sz w:val="24"/>
                <w:highlight w:val="none"/>
              </w:rPr>
              <w:t>短期的、局部的影响，工程竣工后即可消失</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szCs w:val="24"/>
                <w:highlight w:val="none"/>
              </w:rPr>
              <w:t>对周围</w:t>
            </w:r>
            <w:r>
              <w:rPr>
                <w:rFonts w:hint="default" w:ascii="Times New Roman" w:hAnsi="Times New Roman" w:cs="Times New Roman"/>
                <w:color w:val="auto"/>
                <w:sz w:val="24"/>
                <w:szCs w:val="24"/>
                <w:highlight w:val="none"/>
                <w:lang w:val="en-US" w:eastAsia="zh-CN"/>
              </w:rPr>
              <w:t>大气</w:t>
            </w:r>
            <w:r>
              <w:rPr>
                <w:rFonts w:hint="default" w:ascii="Times New Roman" w:hAnsi="Times New Roman" w:cs="Times New Roman"/>
                <w:color w:val="auto"/>
                <w:sz w:val="24"/>
                <w:szCs w:val="24"/>
                <w:highlight w:val="none"/>
              </w:rPr>
              <w:t>环境影响较小。</w:t>
            </w:r>
          </w:p>
          <w:p w14:paraId="793551B8">
            <w:pPr>
              <w:pStyle w:val="3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cs="Times New Roman"/>
                <w:color w:val="auto"/>
                <w:sz w:val="24"/>
                <w:szCs w:val="24"/>
                <w:highlight w:val="none"/>
              </w:rPr>
              <w:t>施工机械及车辆废气</w:t>
            </w:r>
            <w:r>
              <w:rPr>
                <w:rFonts w:hint="eastAsia" w:ascii="Times New Roman" w:hAnsi="Times New Roman" w:cs="Times New Roman"/>
                <w:color w:val="auto"/>
                <w:sz w:val="24"/>
                <w:szCs w:val="24"/>
                <w:highlight w:val="none"/>
                <w:lang w:eastAsia="zh-CN"/>
              </w:rPr>
              <w:t>防治措施</w:t>
            </w:r>
          </w:p>
          <w:p w14:paraId="6A065767">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施工机械燃油废气、各种物料运输车辆汽车尾气的主要污染物</w:t>
            </w:r>
            <w:r>
              <w:rPr>
                <w:rFonts w:hint="default" w:ascii="Times New Roman" w:hAnsi="Times New Roman" w:eastAsia="宋体" w:cs="Times New Roman"/>
                <w:color w:val="auto"/>
                <w:kern w:val="0"/>
                <w:sz w:val="24"/>
                <w:szCs w:val="24"/>
                <w:highlight w:val="none"/>
                <w:lang w:val="en-US" w:eastAsia="zh-CN" w:bidi="ar"/>
              </w:rPr>
              <w:t>为CO、NO</w:t>
            </w:r>
            <w:r>
              <w:rPr>
                <w:rFonts w:hint="eastAsia" w:ascii="Times New Roman" w:hAnsi="Times New Roman" w:eastAsia="宋体" w:cs="Times New Roman"/>
                <w:color w:val="auto"/>
                <w:kern w:val="0"/>
                <w:sz w:val="24"/>
                <w:szCs w:val="24"/>
                <w:highlight w:val="none"/>
                <w:lang w:val="en-US" w:eastAsia="zh-CN" w:bidi="ar"/>
              </w:rPr>
              <w:t>x</w:t>
            </w:r>
            <w:r>
              <w:rPr>
                <w:rFonts w:hint="default" w:ascii="Times New Roman" w:hAnsi="Times New Roman" w:eastAsia="宋体" w:cs="Times New Roman"/>
                <w:color w:val="auto"/>
                <w:kern w:val="0"/>
                <w:sz w:val="24"/>
                <w:szCs w:val="24"/>
                <w:highlight w:val="none"/>
                <w:lang w:val="en-US" w:eastAsia="zh-CN" w:bidi="ar"/>
              </w:rPr>
              <w:t>及THC等，会对施工作业点附近的大气环境造成一定程度的污染。施</w:t>
            </w:r>
            <w:r>
              <w:rPr>
                <w:rFonts w:hint="eastAsia" w:ascii="宋体" w:hAnsi="宋体" w:eastAsia="宋体" w:cs="宋体"/>
                <w:color w:val="auto"/>
                <w:kern w:val="0"/>
                <w:sz w:val="24"/>
                <w:szCs w:val="24"/>
                <w:highlight w:val="none"/>
                <w:lang w:val="en-US" w:eastAsia="zh-CN" w:bidi="ar"/>
              </w:rPr>
              <w:t>工期应尽可能使用气动和电动设备及机械，或使用优质燃油</w:t>
            </w:r>
            <w:r>
              <w:rPr>
                <w:rFonts w:hint="eastAsia" w:ascii="宋体" w:hAnsi="宋体" w:cs="宋体"/>
                <w:color w:val="auto"/>
                <w:kern w:val="0"/>
                <w:sz w:val="24"/>
                <w:szCs w:val="24"/>
                <w:highlight w:val="none"/>
                <w:lang w:val="en-US" w:eastAsia="zh-CN" w:bidi="ar"/>
              </w:rPr>
              <w:t>，同时适当提高新能源运输车辆在工程施工过程中的占比</w:t>
            </w:r>
            <w:r>
              <w:rPr>
                <w:rFonts w:hint="eastAsia" w:ascii="宋体" w:hAnsi="宋体" w:eastAsia="宋体" w:cs="宋体"/>
                <w:color w:val="auto"/>
                <w:kern w:val="0"/>
                <w:sz w:val="24"/>
                <w:szCs w:val="24"/>
                <w:highlight w:val="none"/>
                <w:lang w:val="en-US" w:eastAsia="zh-CN" w:bidi="ar"/>
              </w:rPr>
              <w:t>；加强施工车辆运行管理与维护保养以减轻燃油废气及汽车尾气排放对施工区域环境空气质量的影响。</w:t>
            </w:r>
          </w:p>
          <w:p w14:paraId="04D5DBCD">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综上，</w:t>
            </w:r>
            <w:r>
              <w:rPr>
                <w:rFonts w:hint="eastAsia" w:ascii="宋体" w:hAnsi="宋体" w:cs="宋体"/>
                <w:color w:val="auto"/>
                <w:kern w:val="0"/>
                <w:sz w:val="24"/>
                <w:szCs w:val="24"/>
                <w:highlight w:val="none"/>
                <w:lang w:val="en-US" w:eastAsia="zh-CN" w:bidi="ar"/>
              </w:rPr>
              <w:t>工程</w:t>
            </w:r>
            <w:r>
              <w:rPr>
                <w:rFonts w:hint="eastAsia" w:ascii="宋体" w:hAnsi="宋体" w:eastAsia="宋体" w:cs="宋体"/>
                <w:color w:val="auto"/>
                <w:kern w:val="0"/>
                <w:sz w:val="24"/>
                <w:szCs w:val="24"/>
                <w:highlight w:val="none"/>
                <w:lang w:val="en-US" w:eastAsia="zh-CN" w:bidi="ar"/>
              </w:rPr>
              <w:t>施工期采取的大气污染防治措施可行。</w:t>
            </w:r>
          </w:p>
          <w:p w14:paraId="1C6A5BDD">
            <w:pPr>
              <w:pStyle w:val="20"/>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baseline"/>
              <w:rPr>
                <w:rFonts w:hint="default" w:ascii="Times New Roman" w:hAnsi="Times New Roman" w:eastAsia="宋体" w:cs="Times New Roman"/>
                <w:b/>
                <w:bCs w:val="0"/>
                <w:color w:val="auto"/>
                <w:spacing w:val="0"/>
                <w:sz w:val="24"/>
                <w:szCs w:val="21"/>
                <w:lang w:val="en-US" w:eastAsia="zh-CN"/>
              </w:rPr>
            </w:pPr>
            <w:r>
              <w:rPr>
                <w:rFonts w:hint="eastAsia" w:ascii="Times New Roman" w:hAnsi="Times New Roman" w:eastAsia="宋体" w:cs="Times New Roman"/>
                <w:b/>
                <w:bCs w:val="0"/>
                <w:color w:val="auto"/>
                <w:spacing w:val="0"/>
                <w:sz w:val="24"/>
                <w:szCs w:val="21"/>
                <w:lang w:val="en-US" w:eastAsia="zh-CN"/>
              </w:rPr>
              <w:t>3、</w:t>
            </w:r>
            <w:r>
              <w:rPr>
                <w:rFonts w:hint="default" w:ascii="Times New Roman" w:hAnsi="Times New Roman" w:eastAsia="宋体" w:cs="Times New Roman"/>
                <w:b/>
                <w:bCs w:val="0"/>
                <w:color w:val="auto"/>
                <w:spacing w:val="0"/>
                <w:sz w:val="24"/>
                <w:szCs w:val="21"/>
                <w:lang w:val="en-US" w:eastAsia="zh-CN"/>
              </w:rPr>
              <w:t>施工期废水污染防治措施</w:t>
            </w:r>
          </w:p>
          <w:p w14:paraId="5E2DE9D1">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（1）施工废水</w:t>
            </w:r>
            <w:r>
              <w:rPr>
                <w:rFonts w:hint="eastAsia" w:ascii="Times New Roman" w:hAnsi="Times New Roman" w:cs="Times New Roman"/>
                <w:color w:val="auto"/>
                <w:kern w:val="0"/>
                <w:sz w:val="24"/>
                <w:szCs w:val="24"/>
                <w:highlight w:val="none"/>
                <w:lang w:val="en-US" w:eastAsia="zh-CN" w:bidi="ar"/>
              </w:rPr>
              <w:t>防治措施</w:t>
            </w:r>
          </w:p>
          <w:p w14:paraId="0D541E64">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施工废水</w:t>
            </w:r>
            <w:r>
              <w:rPr>
                <w:rFonts w:hint="eastAsia" w:ascii="Times New Roman" w:hAnsi="Times New Roman" w:cs="Times New Roman"/>
                <w:color w:val="auto"/>
                <w:kern w:val="0"/>
                <w:sz w:val="24"/>
                <w:szCs w:val="24"/>
                <w:highlight w:val="none"/>
                <w:lang w:val="en-US" w:eastAsia="zh-CN" w:bidi="ar"/>
              </w:rPr>
              <w:t>为</w:t>
            </w:r>
            <w:r>
              <w:rPr>
                <w:rFonts w:hint="eastAsia" w:ascii="宋体" w:hAnsi="宋体" w:eastAsia="宋体" w:cs="宋体"/>
                <w:color w:val="auto"/>
                <w:kern w:val="0"/>
                <w:sz w:val="24"/>
                <w:szCs w:val="24"/>
                <w:highlight w:val="none"/>
                <w:lang w:val="en-US" w:eastAsia="zh-CN" w:bidi="ar"/>
              </w:rPr>
              <w:t>施工</w:t>
            </w:r>
            <w:r>
              <w:rPr>
                <w:rFonts w:hint="default" w:ascii="宋体" w:hAnsi="宋体" w:eastAsia="宋体" w:cs="宋体"/>
                <w:color w:val="auto"/>
                <w:kern w:val="0"/>
                <w:sz w:val="24"/>
                <w:szCs w:val="24"/>
                <w:highlight w:val="none"/>
                <w:lang w:val="en-US" w:eastAsia="zh-CN" w:bidi="ar"/>
              </w:rPr>
              <w:t>机械</w:t>
            </w:r>
            <w:r>
              <w:rPr>
                <w:rFonts w:hint="eastAsia" w:ascii="宋体" w:hAnsi="宋体" w:cs="宋体"/>
                <w:color w:val="auto"/>
                <w:kern w:val="0"/>
                <w:sz w:val="24"/>
                <w:szCs w:val="24"/>
                <w:highlight w:val="none"/>
                <w:lang w:val="en-US" w:eastAsia="zh-CN" w:bidi="ar"/>
              </w:rPr>
              <w:t>设备冲洗</w:t>
            </w:r>
            <w:r>
              <w:rPr>
                <w:rFonts w:hint="default" w:ascii="宋体" w:hAnsi="宋体" w:eastAsia="宋体" w:cs="宋体"/>
                <w:color w:val="auto"/>
                <w:kern w:val="0"/>
                <w:sz w:val="24"/>
                <w:szCs w:val="24"/>
                <w:highlight w:val="none"/>
                <w:lang w:val="en-US" w:eastAsia="zh-CN" w:bidi="ar"/>
              </w:rPr>
              <w:t>废水，</w:t>
            </w:r>
            <w:r>
              <w:rPr>
                <w:rFonts w:hint="default" w:ascii="Times New Roman" w:hAnsi="Times New Roman" w:eastAsia="宋体" w:cs="Times New Roman"/>
                <w:color w:val="auto"/>
                <w:sz w:val="24"/>
                <w:szCs w:val="24"/>
                <w:lang w:val="en-US" w:eastAsia="zh-CN"/>
              </w:rPr>
              <w:t>评价要求建设单位在施工场地设置临时沉淀池，</w:t>
            </w:r>
            <w:r>
              <w:rPr>
                <w:rFonts w:hint="eastAsia" w:ascii="Times New Roman" w:hAnsi="Times New Roman" w:eastAsia="宋体" w:cs="Times New Roman"/>
                <w:color w:val="auto"/>
                <w:sz w:val="24"/>
                <w:szCs w:val="24"/>
                <w:lang w:val="en-US" w:eastAsia="zh-CN"/>
              </w:rPr>
              <w:t>经</w:t>
            </w:r>
            <w:r>
              <w:rPr>
                <w:rFonts w:hint="default" w:ascii="Times New Roman" w:hAnsi="Times New Roman" w:eastAsia="宋体" w:cs="Times New Roman"/>
                <w:color w:val="auto"/>
                <w:sz w:val="24"/>
                <w:szCs w:val="24"/>
                <w:lang w:val="en-US" w:eastAsia="zh-CN"/>
              </w:rPr>
              <w:t>沉淀池处理后回用于施工场地洒水抑尘，不外排</w:t>
            </w:r>
            <w:r>
              <w:rPr>
                <w:rFonts w:hint="default" w:ascii="宋体" w:hAnsi="宋体" w:eastAsia="宋体" w:cs="宋体"/>
                <w:color w:val="auto"/>
                <w:kern w:val="0"/>
                <w:sz w:val="24"/>
                <w:szCs w:val="24"/>
                <w:highlight w:val="none"/>
                <w:lang w:val="en-US" w:eastAsia="zh-CN" w:bidi="ar"/>
              </w:rPr>
              <w:t>。</w:t>
            </w:r>
          </w:p>
          <w:p w14:paraId="5800F454">
            <w:pPr>
              <w:pStyle w:val="13"/>
              <w:keepNext w:val="0"/>
              <w:keepLines w:val="0"/>
              <w:pageBreakBefore w:val="0"/>
              <w:widowControl w:val="0"/>
              <w:kinsoku/>
              <w:wordWrap/>
              <w:overflowPunct/>
              <w:topLinePunct w:val="0"/>
              <w:autoSpaceDE/>
              <w:autoSpaceDN/>
              <w:bidi w:val="0"/>
              <w:adjustRightInd/>
              <w:snapToGrid/>
              <w:spacing w:after="0" w:line="360" w:lineRule="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rPr>
              <w:t>生活污水</w:t>
            </w:r>
            <w:r>
              <w:rPr>
                <w:rFonts w:hint="eastAsia" w:cs="Times New Roman"/>
                <w:color w:val="auto"/>
                <w:sz w:val="24"/>
                <w:lang w:val="en-US" w:eastAsia="zh-CN"/>
              </w:rPr>
              <w:t>防治措施</w:t>
            </w:r>
          </w:p>
          <w:p w14:paraId="728FBFF7">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eastAsia="zh-CN"/>
              </w:rPr>
              <w:t>施工人员</w:t>
            </w:r>
            <w:r>
              <w:rPr>
                <w:rFonts w:hint="eastAsia" w:cs="Times New Roman"/>
                <w:color w:val="auto"/>
                <w:kern w:val="0"/>
                <w:sz w:val="24"/>
                <w:szCs w:val="24"/>
                <w:lang w:val="en-US" w:eastAsia="zh-CN"/>
              </w:rPr>
              <w:t>食宿均依托工程附近村民设施，</w:t>
            </w:r>
            <w:r>
              <w:rPr>
                <w:rFonts w:hint="default" w:ascii="Times New Roman" w:hAnsi="Times New Roman" w:eastAsia="宋体" w:cs="Times New Roman"/>
                <w:color w:val="auto"/>
                <w:kern w:val="0"/>
                <w:sz w:val="24"/>
                <w:szCs w:val="24"/>
                <w:lang w:eastAsia="zh-CN"/>
              </w:rPr>
              <w:t>生活污水产生量为</w:t>
            </w:r>
            <w:r>
              <w:rPr>
                <w:rFonts w:hint="eastAsia" w:cs="Times New Roman"/>
                <w:color w:val="auto"/>
                <w:kern w:val="0"/>
                <w:sz w:val="24"/>
                <w:szCs w:val="24"/>
                <w:lang w:val="en-US" w:eastAsia="zh-CN"/>
              </w:rPr>
              <w:t>0.8</w:t>
            </w:r>
            <w:r>
              <w:rPr>
                <w:rFonts w:hint="default" w:ascii="Times New Roman" w:hAnsi="Times New Roman" w:eastAsia="宋体" w:cs="Times New Roman"/>
                <w:color w:val="auto"/>
                <w:kern w:val="0"/>
                <w:sz w:val="24"/>
                <w:szCs w:val="24"/>
                <w:lang w:eastAsia="zh-CN"/>
              </w:rPr>
              <w:t>m</w:t>
            </w:r>
            <w:r>
              <w:rPr>
                <w:rFonts w:hint="default" w:ascii="Times New Roman" w:hAnsi="Times New Roman" w:eastAsia="宋体" w:cs="Times New Roman"/>
                <w:color w:val="auto"/>
                <w:kern w:val="0"/>
                <w:sz w:val="24"/>
                <w:szCs w:val="24"/>
                <w:vertAlign w:val="superscript"/>
                <w:lang w:eastAsia="zh-CN"/>
              </w:rPr>
              <w:t>3</w:t>
            </w:r>
            <w:r>
              <w:rPr>
                <w:rFonts w:hint="default" w:ascii="Times New Roman" w:hAnsi="Times New Roman" w:eastAsia="宋体" w:cs="Times New Roman"/>
                <w:color w:val="auto"/>
                <w:kern w:val="0"/>
                <w:sz w:val="24"/>
                <w:szCs w:val="24"/>
                <w:lang w:eastAsia="zh-CN"/>
              </w:rPr>
              <w:t>/d（</w:t>
            </w:r>
            <w:r>
              <w:rPr>
                <w:rFonts w:hint="default" w:ascii="Times New Roman" w:hAnsi="Times New Roman" w:eastAsia="宋体" w:cs="Times New Roman"/>
                <w:color w:val="auto"/>
                <w:kern w:val="0"/>
                <w:sz w:val="24"/>
                <w:szCs w:val="24"/>
                <w:lang w:val="en-US" w:eastAsia="zh-CN"/>
              </w:rPr>
              <w:t>即</w:t>
            </w:r>
            <w:r>
              <w:rPr>
                <w:rFonts w:hint="eastAsia" w:cs="Times New Roman"/>
                <w:color w:val="auto"/>
                <w:kern w:val="0"/>
                <w:sz w:val="24"/>
                <w:szCs w:val="24"/>
                <w:lang w:val="en-US" w:eastAsia="zh-CN"/>
              </w:rPr>
              <w:t>240</w:t>
            </w:r>
            <w:r>
              <w:rPr>
                <w:rFonts w:hint="default" w:ascii="Times New Roman" w:hAnsi="Times New Roman" w:eastAsia="宋体" w:cs="Times New Roman"/>
                <w:color w:val="auto"/>
                <w:kern w:val="0"/>
                <w:sz w:val="24"/>
                <w:szCs w:val="24"/>
                <w:lang w:eastAsia="zh-CN"/>
              </w:rPr>
              <w:t>m</w:t>
            </w:r>
            <w:r>
              <w:rPr>
                <w:rFonts w:hint="default" w:ascii="Times New Roman" w:hAnsi="Times New Roman" w:eastAsia="宋体" w:cs="Times New Roman"/>
                <w:color w:val="auto"/>
                <w:kern w:val="0"/>
                <w:sz w:val="24"/>
                <w:szCs w:val="24"/>
                <w:vertAlign w:val="superscript"/>
                <w:lang w:eastAsia="zh-CN"/>
              </w:rPr>
              <w:t>3</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施工期</w:t>
            </w:r>
            <w:r>
              <w:rPr>
                <w:rFonts w:hint="default" w:ascii="Times New Roman" w:hAnsi="Times New Roman" w:eastAsia="宋体" w:cs="Times New Roman"/>
                <w:color w:val="auto"/>
                <w:kern w:val="0"/>
                <w:sz w:val="24"/>
                <w:szCs w:val="24"/>
                <w:lang w:eastAsia="zh-CN"/>
              </w:rPr>
              <w:t>），</w:t>
            </w:r>
            <w:r>
              <w:rPr>
                <w:rFonts w:hint="eastAsia" w:cs="Times New Roman"/>
                <w:color w:val="auto"/>
                <w:kern w:val="0"/>
                <w:sz w:val="24"/>
                <w:szCs w:val="24"/>
                <w:lang w:val="en-US" w:eastAsia="zh-CN"/>
              </w:rPr>
              <w:t>根据调查，工程位于城区，村民生活污水排放管道已接入市政污水管网，因此工程生活污水</w:t>
            </w:r>
            <w:r>
              <w:rPr>
                <w:rFonts w:hint="eastAsia" w:ascii="Times New Roman" w:hAnsi="Times New Roman" w:eastAsia="宋体" w:cs="Times New Roman"/>
                <w:color w:val="auto"/>
                <w:kern w:val="0"/>
                <w:sz w:val="24"/>
                <w:szCs w:val="24"/>
                <w:lang w:val="en-US" w:eastAsia="zh-CN"/>
              </w:rPr>
              <w:t>依托</w:t>
            </w:r>
            <w:r>
              <w:rPr>
                <w:rFonts w:hint="eastAsia" w:cs="Times New Roman"/>
                <w:color w:val="auto"/>
                <w:kern w:val="0"/>
                <w:sz w:val="24"/>
                <w:szCs w:val="24"/>
                <w:lang w:val="en-US" w:eastAsia="zh-CN"/>
              </w:rPr>
              <w:t>周边</w:t>
            </w:r>
            <w:r>
              <w:rPr>
                <w:rFonts w:hint="eastAsia" w:ascii="Times New Roman" w:hAnsi="Times New Roman" w:eastAsia="宋体" w:cs="Times New Roman"/>
                <w:color w:val="auto"/>
                <w:kern w:val="0"/>
                <w:sz w:val="24"/>
                <w:szCs w:val="24"/>
                <w:lang w:val="en-US" w:eastAsia="zh-CN"/>
              </w:rPr>
              <w:t>村民自建化粪池处理后，</w:t>
            </w:r>
            <w:r>
              <w:rPr>
                <w:rFonts w:hint="eastAsia" w:cs="Times New Roman"/>
                <w:color w:val="auto"/>
                <w:kern w:val="0"/>
                <w:sz w:val="24"/>
                <w:szCs w:val="24"/>
                <w:lang w:val="en-US" w:eastAsia="zh-CN"/>
              </w:rPr>
              <w:t>排入市政污水管网可行</w:t>
            </w:r>
            <w:r>
              <w:rPr>
                <w:rFonts w:hint="eastAsia" w:ascii="Times New Roman" w:hAnsi="Times New Roman" w:eastAsia="宋体" w:cs="Times New Roman"/>
                <w:color w:val="auto"/>
                <w:kern w:val="0"/>
                <w:sz w:val="24"/>
                <w:szCs w:val="24"/>
                <w:lang w:val="en-US" w:eastAsia="zh-CN"/>
              </w:rPr>
              <w:t>。</w:t>
            </w:r>
          </w:p>
          <w:p w14:paraId="4012C36A">
            <w:pPr>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eastAsia" w:cs="Times New Roman"/>
                <w:color w:val="auto"/>
                <w:kern w:val="0"/>
                <w:sz w:val="24"/>
                <w:szCs w:val="24"/>
                <w:lang w:val="en-US" w:eastAsia="zh-CN"/>
              </w:rPr>
              <w:t>（3）基坑排水过程污染防治措施</w:t>
            </w:r>
          </w:p>
          <w:p w14:paraId="2EA6151B">
            <w:pPr>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本工程距离河道较近，人工湿地开挖等产生基坑水，</w:t>
            </w:r>
            <w:r>
              <w:rPr>
                <w:rFonts w:hint="eastAsia" w:ascii="Times New Roman" w:hAnsi="Times New Roman" w:eastAsia="宋体" w:cs="Times New Roman"/>
                <w:color w:val="auto"/>
                <w:sz w:val="24"/>
                <w:szCs w:val="24"/>
                <w:lang w:val="en-US" w:eastAsia="zh-CN"/>
              </w:rPr>
              <w:t>基坑排水应在澄清后抽排上层清水，底层含有大量泥沙的水应抽出经沉淀处理后方可排放，禁止直接排入河道</w:t>
            </w:r>
            <w:r>
              <w:rPr>
                <w:rFonts w:hint="eastAsia" w:cs="Times New Roman"/>
                <w:color w:val="auto"/>
                <w:sz w:val="24"/>
                <w:szCs w:val="24"/>
                <w:lang w:val="en-US" w:eastAsia="zh-CN"/>
              </w:rPr>
              <w:t>。</w:t>
            </w:r>
          </w:p>
          <w:p w14:paraId="581654B5">
            <w:pPr>
              <w:spacing w:line="360" w:lineRule="auto"/>
              <w:ind w:firstLine="480" w:firstLineChars="200"/>
              <w:rPr>
                <w:rFonts w:hint="eastAsia" w:ascii="Times New Roman" w:hAnsi="Times New Roman" w:eastAsia="宋体" w:cs="Times New Roman"/>
                <w:color w:val="auto"/>
                <w:kern w:val="0"/>
                <w:sz w:val="24"/>
                <w:szCs w:val="24"/>
                <w:lang w:val="en-US" w:eastAsia="zh-CN"/>
              </w:rPr>
            </w:pPr>
            <w:r>
              <w:rPr>
                <w:rFonts w:hint="eastAsia" w:cs="Times New Roman"/>
                <w:color w:val="auto"/>
                <w:kern w:val="0"/>
                <w:sz w:val="24"/>
                <w:szCs w:val="24"/>
                <w:lang w:val="en-US" w:eastAsia="zh-CN"/>
              </w:rPr>
              <w:t>此外，</w:t>
            </w:r>
            <w:r>
              <w:rPr>
                <w:rFonts w:hint="eastAsia" w:ascii="Times New Roman" w:hAnsi="Times New Roman" w:eastAsia="宋体" w:cs="Times New Roman"/>
                <w:color w:val="auto"/>
                <w:kern w:val="0"/>
                <w:sz w:val="24"/>
                <w:szCs w:val="24"/>
                <w:lang w:val="en-US" w:eastAsia="zh-CN"/>
              </w:rPr>
              <w:t>针对工程特点，为防止施工期对地表水环境造成影响，</w:t>
            </w:r>
            <w:r>
              <w:rPr>
                <w:rFonts w:hint="eastAsia" w:cs="Times New Roman"/>
                <w:color w:val="auto"/>
                <w:kern w:val="0"/>
                <w:sz w:val="24"/>
                <w:szCs w:val="24"/>
                <w:lang w:val="en-US" w:eastAsia="zh-CN"/>
              </w:rPr>
              <w:t>本次环评对建设单位</w:t>
            </w:r>
            <w:r>
              <w:rPr>
                <w:rFonts w:hint="eastAsia" w:ascii="Times New Roman" w:hAnsi="Times New Roman" w:eastAsia="宋体" w:cs="Times New Roman"/>
                <w:color w:val="auto"/>
                <w:kern w:val="0"/>
                <w:sz w:val="24"/>
                <w:szCs w:val="24"/>
                <w:lang w:val="en-US" w:eastAsia="zh-CN"/>
              </w:rPr>
              <w:t>提出以下</w:t>
            </w:r>
            <w:r>
              <w:rPr>
                <w:rFonts w:hint="eastAsia" w:cs="Times New Roman"/>
                <w:color w:val="auto"/>
                <w:kern w:val="0"/>
                <w:sz w:val="24"/>
                <w:szCs w:val="24"/>
                <w:lang w:val="en-US" w:eastAsia="zh-CN"/>
              </w:rPr>
              <w:t>要求</w:t>
            </w:r>
            <w:r>
              <w:rPr>
                <w:rFonts w:hint="eastAsia" w:ascii="Times New Roman" w:hAnsi="Times New Roman" w:eastAsia="宋体" w:cs="Times New Roman"/>
                <w:color w:val="auto"/>
                <w:kern w:val="0"/>
                <w:sz w:val="24"/>
                <w:szCs w:val="24"/>
                <w:lang w:val="en-US" w:eastAsia="zh-CN"/>
              </w:rPr>
              <w:t>：</w:t>
            </w:r>
          </w:p>
          <w:p w14:paraId="7CD2CFB6">
            <w:pPr>
              <w:spacing w:line="360" w:lineRule="auto"/>
              <w:ind w:firstLine="480" w:firstLineChars="200"/>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①避免雨天开挖土石方，施工过程中禁止向河流倾倒施工废水、废料、废弃土石方及其他固体废物。</w:t>
            </w:r>
          </w:p>
          <w:p w14:paraId="76D307D2">
            <w:pPr>
              <w:spacing w:line="360" w:lineRule="auto"/>
              <w:ind w:firstLine="480" w:firstLineChars="200"/>
              <w:rPr>
                <w:rFonts w:hint="eastAsia"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②</w:t>
            </w:r>
            <w:r>
              <w:rPr>
                <w:rFonts w:hint="eastAsia" w:ascii="Times New Roman" w:hAnsi="Times New Roman" w:eastAsia="宋体" w:cs="Times New Roman"/>
                <w:color w:val="auto"/>
                <w:kern w:val="0"/>
                <w:sz w:val="24"/>
                <w:szCs w:val="24"/>
                <w:lang w:val="en-US" w:eastAsia="zh-CN"/>
              </w:rPr>
              <w:t>施工过程中禁止在河内清洗装贮油类车辆及包装用具。</w:t>
            </w:r>
          </w:p>
          <w:p w14:paraId="6A44B6FE">
            <w:pPr>
              <w:spacing w:line="360" w:lineRule="auto"/>
              <w:ind w:firstLine="480" w:firstLineChars="200"/>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采取上述措施后，可有效避免施工期对地表水环境产生影响，</w:t>
            </w:r>
            <w:r>
              <w:rPr>
                <w:rFonts w:hint="eastAsia" w:cs="Times New Roman"/>
                <w:color w:val="auto"/>
                <w:kern w:val="0"/>
                <w:sz w:val="24"/>
                <w:szCs w:val="24"/>
                <w:lang w:val="en-US" w:eastAsia="zh-CN"/>
              </w:rPr>
              <w:t>工程</w:t>
            </w:r>
            <w:r>
              <w:rPr>
                <w:rFonts w:hint="eastAsia" w:ascii="Times New Roman" w:hAnsi="Times New Roman" w:eastAsia="宋体" w:cs="Times New Roman"/>
                <w:color w:val="auto"/>
                <w:kern w:val="0"/>
                <w:sz w:val="24"/>
                <w:szCs w:val="24"/>
                <w:lang w:val="en-US" w:eastAsia="zh-CN"/>
              </w:rPr>
              <w:t>施工期采取的水污染防治措施可行。</w:t>
            </w:r>
          </w:p>
          <w:p w14:paraId="47F76E42">
            <w:pPr>
              <w:pStyle w:val="20"/>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baseline"/>
              <w:rPr>
                <w:rFonts w:hint="default" w:ascii="Times New Roman" w:hAnsi="Times New Roman" w:eastAsia="宋体" w:cs="Times New Roman"/>
                <w:b/>
                <w:bCs w:val="0"/>
                <w:color w:val="auto"/>
                <w:spacing w:val="0"/>
                <w:sz w:val="24"/>
                <w:szCs w:val="21"/>
                <w:lang w:val="en-US" w:eastAsia="zh-CN"/>
              </w:rPr>
            </w:pPr>
            <w:r>
              <w:rPr>
                <w:rFonts w:hint="eastAsia" w:ascii="Times New Roman" w:hAnsi="Times New Roman" w:eastAsia="宋体" w:cs="Times New Roman"/>
                <w:b/>
                <w:bCs w:val="0"/>
                <w:color w:val="auto"/>
                <w:spacing w:val="0"/>
                <w:sz w:val="24"/>
                <w:szCs w:val="21"/>
                <w:lang w:val="en-US" w:eastAsia="zh-CN"/>
              </w:rPr>
              <w:t>4、</w:t>
            </w:r>
            <w:r>
              <w:rPr>
                <w:rFonts w:hint="default" w:ascii="Times New Roman" w:hAnsi="Times New Roman" w:eastAsia="宋体" w:cs="Times New Roman"/>
                <w:b/>
                <w:bCs w:val="0"/>
                <w:color w:val="auto"/>
                <w:spacing w:val="0"/>
                <w:sz w:val="24"/>
                <w:szCs w:val="21"/>
                <w:lang w:val="en-US" w:eastAsia="zh-CN"/>
              </w:rPr>
              <w:t>施工期噪声污染防治措施</w:t>
            </w:r>
          </w:p>
          <w:p w14:paraId="5A6EDF36">
            <w:pPr>
              <w:spacing w:line="360" w:lineRule="auto"/>
              <w:ind w:firstLine="480" w:firstLineChars="200"/>
              <w:rPr>
                <w:rFonts w:hint="eastAsia" w:ascii="Times New Roman" w:hAnsi="Times New Roman" w:cs="Times New Roman"/>
                <w:color w:val="auto"/>
                <w:kern w:val="0"/>
                <w:sz w:val="24"/>
                <w:szCs w:val="24"/>
                <w:lang w:eastAsia="zh-CN"/>
              </w:rPr>
            </w:pPr>
            <w:r>
              <w:rPr>
                <w:rFonts w:hint="eastAsia" w:ascii="Times New Roman" w:hAnsi="Times New Roman" w:cs="Times New Roman"/>
                <w:color w:val="auto"/>
                <w:kern w:val="0"/>
                <w:sz w:val="24"/>
                <w:szCs w:val="24"/>
                <w:lang w:val="en-US" w:eastAsia="zh-CN"/>
              </w:rPr>
              <w:t>根据现场调查，施工</w:t>
            </w:r>
            <w:r>
              <w:rPr>
                <w:rFonts w:hint="eastAsia" w:cs="Times New Roman"/>
                <w:color w:val="auto"/>
                <w:kern w:val="0"/>
                <w:sz w:val="24"/>
                <w:szCs w:val="24"/>
                <w:lang w:val="en-US" w:eastAsia="zh-CN"/>
              </w:rPr>
              <w:t>区</w:t>
            </w:r>
            <w:r>
              <w:rPr>
                <w:rFonts w:hint="eastAsia" w:cs="Times New Roman"/>
                <w:color w:val="auto"/>
                <w:sz w:val="24"/>
                <w:szCs w:val="24"/>
                <w:lang w:val="en-US" w:eastAsia="zh-CN"/>
              </w:rPr>
              <w:t>周边</w:t>
            </w:r>
            <w:r>
              <w:rPr>
                <w:rFonts w:hint="eastAsia" w:ascii="Times New Roman" w:hAnsi="Times New Roman" w:cs="Times New Roman"/>
                <w:color w:val="auto"/>
                <w:sz w:val="24"/>
                <w:szCs w:val="24"/>
                <w:lang w:eastAsia="zh-CN"/>
              </w:rPr>
              <w:t>敏感目标主要为周边住户</w:t>
            </w:r>
            <w:r>
              <w:rPr>
                <w:rFonts w:hint="eastAsia" w:ascii="Times New Roman" w:hAnsi="Times New Roman" w:cs="Times New Roman"/>
                <w:bCs/>
                <w:color w:val="auto"/>
                <w:sz w:val="24"/>
                <w:lang w:eastAsia="zh-CN"/>
              </w:rPr>
              <w:t>，为最大限度降低施工噪声</w:t>
            </w:r>
            <w:r>
              <w:rPr>
                <w:rFonts w:hint="default" w:ascii="Times New Roman" w:hAnsi="Times New Roman" w:cs="Times New Roman"/>
                <w:color w:val="auto"/>
                <w:kern w:val="0"/>
                <w:sz w:val="24"/>
                <w:szCs w:val="24"/>
              </w:rPr>
              <w:t>对</w:t>
            </w:r>
            <w:r>
              <w:rPr>
                <w:rFonts w:hint="eastAsia" w:cs="Times New Roman"/>
                <w:color w:val="auto"/>
                <w:kern w:val="0"/>
                <w:sz w:val="24"/>
                <w:szCs w:val="24"/>
                <w:lang w:val="en-US" w:eastAsia="zh-CN"/>
              </w:rPr>
              <w:t>周边住户</w:t>
            </w:r>
            <w:r>
              <w:rPr>
                <w:rFonts w:hint="default" w:ascii="Times New Roman" w:hAnsi="Times New Roman" w:cs="Times New Roman"/>
                <w:color w:val="auto"/>
                <w:kern w:val="0"/>
                <w:sz w:val="24"/>
                <w:szCs w:val="24"/>
              </w:rPr>
              <w:t>日常生活的影响</w:t>
            </w:r>
            <w:r>
              <w:rPr>
                <w:rFonts w:hint="eastAsia" w:ascii="Times New Roman" w:hAnsi="Times New Roman" w:cs="Times New Roman"/>
                <w:color w:val="auto"/>
                <w:kern w:val="0"/>
                <w:sz w:val="24"/>
                <w:szCs w:val="24"/>
                <w:lang w:eastAsia="zh-CN"/>
              </w:rPr>
              <w:t>，环评要求</w:t>
            </w:r>
            <w:r>
              <w:rPr>
                <w:rFonts w:hint="eastAsia" w:cs="Times New Roman"/>
                <w:color w:val="auto"/>
                <w:kern w:val="0"/>
                <w:sz w:val="24"/>
                <w:szCs w:val="24"/>
                <w:lang w:val="en-US" w:eastAsia="zh-CN"/>
              </w:rPr>
              <w:t>建设单位</w:t>
            </w:r>
            <w:r>
              <w:rPr>
                <w:rFonts w:hint="eastAsia" w:ascii="Times New Roman" w:hAnsi="Times New Roman" w:cs="Times New Roman"/>
                <w:color w:val="auto"/>
                <w:kern w:val="0"/>
                <w:sz w:val="24"/>
                <w:szCs w:val="24"/>
                <w:lang w:eastAsia="zh-CN"/>
              </w:rPr>
              <w:t>应做到：</w:t>
            </w:r>
          </w:p>
          <w:p w14:paraId="41807A18">
            <w:pPr>
              <w:spacing w:line="360" w:lineRule="auto"/>
              <w:ind w:firstLine="480" w:firstLineChars="200"/>
              <w:rPr>
                <w:rFonts w:hint="eastAsia" w:ascii="Times New Roman" w:hAnsi="Times New Roman" w:cs="Times New Roman"/>
                <w:color w:val="auto"/>
                <w:kern w:val="0"/>
                <w:sz w:val="24"/>
                <w:szCs w:val="24"/>
                <w:lang w:eastAsia="zh-CN"/>
              </w:rPr>
            </w:pPr>
            <w:r>
              <w:rPr>
                <w:rFonts w:hint="eastAsia" w:ascii="Times New Roman" w:hAnsi="Times New Roman" w:cs="Times New Roman"/>
                <w:color w:val="auto"/>
                <w:kern w:val="0"/>
                <w:sz w:val="24"/>
                <w:szCs w:val="24"/>
                <w:lang w:eastAsia="zh-CN"/>
              </w:rPr>
              <w:t>（1）合理使用施工设备，科学布置施工场所，尽量远离声环境保护目标。选用设备时优先选择噪声较低的设备，禁止噪声超标的机械进场，高噪声设备尽量分散分时使用。</w:t>
            </w:r>
          </w:p>
          <w:p w14:paraId="2D8DB7B4">
            <w:pPr>
              <w:spacing w:line="360" w:lineRule="auto"/>
              <w:ind w:firstLine="480" w:firstLineChars="200"/>
              <w:rPr>
                <w:rFonts w:hint="eastAsia" w:ascii="Times New Roman" w:hAnsi="Times New Roman" w:cs="Times New Roman"/>
                <w:color w:val="auto"/>
                <w:kern w:val="0"/>
                <w:sz w:val="24"/>
                <w:szCs w:val="24"/>
                <w:lang w:eastAsia="zh-CN"/>
              </w:rPr>
            </w:pPr>
            <w:r>
              <w:rPr>
                <w:rFonts w:hint="eastAsia" w:ascii="Times New Roman" w:hAnsi="Times New Roman" w:cs="Times New Roman"/>
                <w:color w:val="auto"/>
                <w:kern w:val="0"/>
                <w:sz w:val="24"/>
                <w:szCs w:val="24"/>
                <w:lang w:eastAsia="zh-CN"/>
              </w:rPr>
              <w:t>（2）加强设备的维护和保养，保持机械润滑，减少运行噪声；振动大的机械设备使用减振机座降低噪声，确保设备处于良好的运转状态，杜绝因设备不正常运转而产生的高噪声现象。</w:t>
            </w:r>
          </w:p>
          <w:p w14:paraId="574D68A0">
            <w:pPr>
              <w:spacing w:line="360" w:lineRule="auto"/>
              <w:ind w:firstLine="480" w:firstLineChars="200"/>
              <w:rPr>
                <w:rFonts w:hint="eastAsia" w:ascii="Times New Roman" w:hAnsi="Times New Roman" w:cs="Times New Roman"/>
                <w:color w:val="auto"/>
                <w:kern w:val="0"/>
                <w:sz w:val="24"/>
                <w:szCs w:val="24"/>
                <w:lang w:eastAsia="zh-CN"/>
              </w:rPr>
            </w:pPr>
            <w:r>
              <w:rPr>
                <w:rFonts w:hint="eastAsia" w:ascii="Times New Roman" w:hAnsi="Times New Roman" w:cs="Times New Roman"/>
                <w:color w:val="auto"/>
                <w:kern w:val="0"/>
                <w:sz w:val="24"/>
                <w:szCs w:val="24"/>
                <w:lang w:eastAsia="zh-CN"/>
              </w:rPr>
              <w:t>（3）合理安排施工时间，禁止夜间施工（22∶00～06∶00）。</w:t>
            </w:r>
          </w:p>
          <w:p w14:paraId="20EC826C">
            <w:pPr>
              <w:spacing w:line="360" w:lineRule="auto"/>
              <w:ind w:firstLine="480" w:firstLineChars="200"/>
              <w:rPr>
                <w:rFonts w:hint="eastAsia" w:ascii="Times New Roman" w:hAnsi="Times New Roman" w:cs="Times New Roman"/>
                <w:color w:val="auto"/>
                <w:kern w:val="0"/>
                <w:sz w:val="24"/>
                <w:szCs w:val="24"/>
                <w:lang w:eastAsia="zh-CN"/>
              </w:rPr>
            </w:pPr>
            <w:r>
              <w:rPr>
                <w:rFonts w:hint="eastAsia" w:ascii="Times New Roman" w:hAnsi="Times New Roman" w:cs="Times New Roman"/>
                <w:color w:val="auto"/>
                <w:kern w:val="0"/>
                <w:sz w:val="24"/>
                <w:szCs w:val="24"/>
                <w:lang w:eastAsia="zh-CN"/>
              </w:rPr>
              <w:t>（4）为减少施工期间的材料运输、敲击、人的喊叫等施工活动声源，要求施工单位通过文明施工、加强有效管理加以缓解。</w:t>
            </w:r>
          </w:p>
          <w:p w14:paraId="5B4F55DC">
            <w:pPr>
              <w:spacing w:line="360" w:lineRule="auto"/>
              <w:ind w:firstLine="480" w:firstLineChars="200"/>
              <w:rPr>
                <w:rFonts w:hint="eastAsia" w:ascii="Times New Roman" w:hAnsi="Times New Roman" w:cs="Times New Roman"/>
                <w:color w:val="auto"/>
                <w:kern w:val="0"/>
                <w:sz w:val="24"/>
                <w:szCs w:val="24"/>
                <w:lang w:eastAsia="zh-CN"/>
              </w:rPr>
            </w:pPr>
            <w:r>
              <w:rPr>
                <w:rFonts w:hint="eastAsia" w:ascii="Times New Roman" w:hAnsi="Times New Roman" w:cs="Times New Roman"/>
                <w:color w:val="auto"/>
                <w:kern w:val="0"/>
                <w:sz w:val="24"/>
                <w:szCs w:val="24"/>
                <w:lang w:eastAsia="zh-CN"/>
              </w:rPr>
              <w:t>（5）加强对施工运输车辆的管理，通过居民区路段时控制车速、禁止鸣笛，减少对运输路线沿线声环境敏感点的影响。</w:t>
            </w:r>
          </w:p>
          <w:p w14:paraId="431BC555">
            <w:pPr>
              <w:spacing w:line="360" w:lineRule="auto"/>
              <w:ind w:firstLine="480" w:firstLineChars="200"/>
              <w:rPr>
                <w:rFonts w:hint="eastAsia"/>
                <w:color w:val="auto"/>
                <w:lang w:eastAsia="zh-CN"/>
              </w:rPr>
            </w:pPr>
            <w:r>
              <w:rPr>
                <w:rFonts w:hint="eastAsia" w:ascii="Times New Roman" w:hAnsi="Times New Roman" w:eastAsia="宋体" w:cs="Times New Roman"/>
                <w:color w:val="auto"/>
                <w:kern w:val="0"/>
                <w:sz w:val="24"/>
                <w:szCs w:val="24"/>
                <w:lang w:eastAsia="zh-CN"/>
              </w:rPr>
              <w:t>为了有效地控制施工噪声影响，除落实有关的控制措施外，还必须加强施工环境管理，由生态环境部门实施统一的监督管理，建设单位与施工单位在工程承包时，应将环境保护内容列入承包合同，落实各项施工噪声的控制措施和有关主管部门的要求</w:t>
            </w:r>
            <w:r>
              <w:rPr>
                <w:rFonts w:hint="eastAsia"/>
                <w:color w:val="auto"/>
                <w:lang w:eastAsia="zh-CN"/>
              </w:rPr>
              <w:t>。</w:t>
            </w:r>
          </w:p>
          <w:p w14:paraId="32056F84">
            <w:pPr>
              <w:pStyle w:val="20"/>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baseline"/>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采取上述措施后，可有效降低施工期噪声对周围声环境的影响，</w:t>
            </w:r>
            <w:r>
              <w:rPr>
                <w:rFonts w:hint="eastAsia" w:cs="Times New Roman"/>
                <w:color w:val="auto"/>
                <w:kern w:val="0"/>
                <w:sz w:val="24"/>
                <w:szCs w:val="24"/>
                <w:lang w:val="en-US" w:eastAsia="zh-CN"/>
              </w:rPr>
              <w:t>工程</w:t>
            </w:r>
            <w:r>
              <w:rPr>
                <w:rFonts w:hint="eastAsia" w:ascii="Times New Roman" w:hAnsi="Times New Roman" w:eastAsia="宋体" w:cs="Times New Roman"/>
                <w:color w:val="auto"/>
                <w:kern w:val="0"/>
                <w:sz w:val="24"/>
                <w:szCs w:val="24"/>
                <w:lang w:val="en-US" w:eastAsia="zh-CN"/>
              </w:rPr>
              <w:t>施工期采取的噪声污染防治措施可行。</w:t>
            </w:r>
          </w:p>
          <w:p w14:paraId="14EF7BF8">
            <w:pPr>
              <w:pStyle w:val="20"/>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baseline"/>
              <w:rPr>
                <w:rFonts w:hint="default" w:ascii="Times New Roman" w:hAnsi="Times New Roman" w:eastAsia="宋体" w:cs="Times New Roman"/>
                <w:b/>
                <w:bCs w:val="0"/>
                <w:color w:val="auto"/>
                <w:spacing w:val="0"/>
                <w:sz w:val="24"/>
                <w:szCs w:val="21"/>
                <w:lang w:val="en-US" w:eastAsia="zh-CN"/>
              </w:rPr>
            </w:pPr>
            <w:r>
              <w:rPr>
                <w:rFonts w:hint="eastAsia" w:ascii="Times New Roman" w:hAnsi="Times New Roman" w:eastAsia="宋体" w:cs="Times New Roman"/>
                <w:b/>
                <w:bCs w:val="0"/>
                <w:color w:val="auto"/>
                <w:spacing w:val="0"/>
                <w:sz w:val="24"/>
                <w:szCs w:val="21"/>
                <w:lang w:val="en-US" w:eastAsia="zh-CN"/>
              </w:rPr>
              <w:t>5、</w:t>
            </w:r>
            <w:r>
              <w:rPr>
                <w:rFonts w:hint="default" w:ascii="Times New Roman" w:hAnsi="Times New Roman" w:eastAsia="宋体" w:cs="Times New Roman"/>
                <w:b/>
                <w:bCs w:val="0"/>
                <w:color w:val="auto"/>
                <w:spacing w:val="0"/>
                <w:sz w:val="24"/>
                <w:szCs w:val="21"/>
                <w:lang w:val="en-US" w:eastAsia="zh-CN"/>
              </w:rPr>
              <w:t>施工期固体废物</w:t>
            </w:r>
            <w:r>
              <w:rPr>
                <w:rFonts w:hint="eastAsia" w:ascii="Times New Roman" w:hAnsi="Times New Roman" w:eastAsia="宋体" w:cs="Times New Roman"/>
                <w:b/>
                <w:bCs w:val="0"/>
                <w:color w:val="auto"/>
                <w:spacing w:val="0"/>
                <w:sz w:val="24"/>
                <w:szCs w:val="21"/>
                <w:lang w:val="en-US" w:eastAsia="zh-CN"/>
              </w:rPr>
              <w:t>防治</w:t>
            </w:r>
            <w:r>
              <w:rPr>
                <w:rFonts w:hint="default" w:ascii="Times New Roman" w:hAnsi="Times New Roman" w:eastAsia="宋体" w:cs="Times New Roman"/>
                <w:b/>
                <w:bCs w:val="0"/>
                <w:color w:val="auto"/>
                <w:spacing w:val="0"/>
                <w:sz w:val="24"/>
                <w:szCs w:val="21"/>
                <w:lang w:val="en-US" w:eastAsia="zh-CN"/>
              </w:rPr>
              <w:t>措施</w:t>
            </w:r>
          </w:p>
          <w:p w14:paraId="6D7C3EE3">
            <w:pPr>
              <w:spacing w:line="360" w:lineRule="auto"/>
              <w:ind w:firstLine="480" w:firstLineChars="200"/>
              <w:rPr>
                <w:rFonts w:hint="eastAsia"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eastAsia="zh-CN"/>
              </w:rPr>
              <w:t>为减少固体废弃物堆积对周边环境的影响，</w:t>
            </w:r>
            <w:r>
              <w:rPr>
                <w:rFonts w:hint="eastAsia" w:cs="Times New Roman"/>
                <w:color w:val="auto"/>
                <w:kern w:val="0"/>
                <w:sz w:val="24"/>
                <w:szCs w:val="24"/>
                <w:lang w:val="en-US" w:eastAsia="zh-CN"/>
              </w:rPr>
              <w:t>提出</w:t>
            </w:r>
            <w:r>
              <w:rPr>
                <w:rFonts w:hint="default" w:ascii="Times New Roman" w:hAnsi="Times New Roman" w:eastAsia="宋体" w:cs="Times New Roman"/>
                <w:color w:val="auto"/>
                <w:kern w:val="0"/>
                <w:sz w:val="24"/>
                <w:szCs w:val="24"/>
                <w:lang w:eastAsia="zh-CN"/>
              </w:rPr>
              <w:t>以下污染防治</w:t>
            </w:r>
            <w:r>
              <w:rPr>
                <w:rFonts w:hint="eastAsia" w:cs="Times New Roman"/>
                <w:color w:val="auto"/>
                <w:kern w:val="0"/>
                <w:sz w:val="24"/>
                <w:szCs w:val="24"/>
                <w:lang w:val="en-US" w:eastAsia="zh-CN"/>
              </w:rPr>
              <w:t>措施</w:t>
            </w:r>
            <w:r>
              <w:rPr>
                <w:rFonts w:hint="eastAsia" w:ascii="Times New Roman" w:hAnsi="Times New Roman" w:eastAsia="宋体" w:cs="Times New Roman"/>
                <w:color w:val="auto"/>
                <w:kern w:val="0"/>
                <w:sz w:val="24"/>
                <w:szCs w:val="24"/>
                <w:lang w:eastAsia="zh-CN"/>
              </w:rPr>
              <w:t>：</w:t>
            </w:r>
          </w:p>
          <w:p w14:paraId="71133FEF">
            <w:pPr>
              <w:spacing w:line="360" w:lineRule="auto"/>
              <w:ind w:firstLine="480" w:firstLineChars="200"/>
              <w:rPr>
                <w:rFonts w:hint="default" w:ascii="Times New Roman" w:hAnsi="Times New Roman" w:eastAsia="宋体" w:cs="Times New Roman"/>
                <w:color w:val="auto"/>
                <w:kern w:val="0"/>
                <w:sz w:val="24"/>
                <w:szCs w:val="24"/>
                <w:lang w:eastAsia="zh-CN"/>
              </w:rPr>
            </w:pPr>
            <w:r>
              <w:rPr>
                <w:rFonts w:hint="eastAsia" w:cs="Times New Roman"/>
                <w:color w:val="auto"/>
                <w:kern w:val="0"/>
                <w:sz w:val="24"/>
                <w:szCs w:val="24"/>
                <w:lang w:eastAsia="zh-CN"/>
              </w:rPr>
              <w:t>（</w:t>
            </w:r>
            <w:r>
              <w:rPr>
                <w:rFonts w:hint="eastAsia" w:cs="Times New Roman"/>
                <w:color w:val="auto"/>
                <w:kern w:val="0"/>
                <w:sz w:val="24"/>
                <w:szCs w:val="24"/>
                <w:lang w:val="en-US" w:eastAsia="zh-CN"/>
              </w:rPr>
              <w:t>1</w:t>
            </w:r>
            <w:r>
              <w:rPr>
                <w:rFonts w:hint="eastAsia" w:cs="Times New Roman"/>
                <w:color w:val="auto"/>
                <w:kern w:val="0"/>
                <w:sz w:val="24"/>
                <w:szCs w:val="24"/>
                <w:lang w:eastAsia="zh-CN"/>
              </w:rPr>
              <w:t>）</w:t>
            </w:r>
            <w:r>
              <w:rPr>
                <w:rFonts w:hint="eastAsia" w:cs="Times New Roman"/>
                <w:color w:val="auto"/>
                <w:sz w:val="24"/>
                <w:szCs w:val="24"/>
                <w:highlight w:val="none"/>
                <w:lang w:val="en-US" w:eastAsia="zh-CN"/>
              </w:rPr>
              <w:t>开挖土方优先用于回填和植被种植</w:t>
            </w:r>
            <w:r>
              <w:rPr>
                <w:rFonts w:hint="eastAsia" w:ascii="Times New Roman" w:hAnsi="Times New Roman" w:eastAsia="宋体" w:cs="Times New Roman"/>
                <w:color w:val="auto"/>
                <w:sz w:val="24"/>
                <w:szCs w:val="24"/>
                <w:highlight w:val="none"/>
                <w:lang w:val="en-US" w:eastAsia="zh-CN"/>
              </w:rPr>
              <w:t>，多余弃方</w:t>
            </w:r>
            <w:r>
              <w:rPr>
                <w:rFonts w:hint="default" w:cs="Times New Roman"/>
                <w:color w:val="auto"/>
                <w:kern w:val="0"/>
                <w:sz w:val="24"/>
                <w:szCs w:val="24"/>
                <w:highlight w:val="none"/>
                <w:vertAlign w:val="baseline"/>
                <w:lang w:val="en-US" w:eastAsia="zh-CN" w:bidi="ar"/>
              </w:rPr>
              <w:t>外运至</w:t>
            </w:r>
            <w:r>
              <w:rPr>
                <w:rFonts w:hint="eastAsia" w:cs="Times New Roman"/>
                <w:color w:val="auto"/>
                <w:kern w:val="0"/>
                <w:sz w:val="24"/>
                <w:szCs w:val="24"/>
                <w:highlight w:val="none"/>
                <w:vertAlign w:val="baseline"/>
                <w:lang w:val="en-US" w:eastAsia="zh-CN" w:bidi="ar"/>
              </w:rPr>
              <w:t>陇县国有化标准砂石厂综合利用</w:t>
            </w:r>
            <w:r>
              <w:rPr>
                <w:rFonts w:hint="default" w:ascii="Times New Roman" w:hAnsi="Times New Roman" w:eastAsia="宋体" w:cs="Times New Roman"/>
                <w:color w:val="auto"/>
                <w:kern w:val="0"/>
                <w:sz w:val="24"/>
                <w:szCs w:val="24"/>
                <w:lang w:eastAsia="zh-CN"/>
              </w:rPr>
              <w:t>。</w:t>
            </w:r>
          </w:p>
          <w:p w14:paraId="24457CC3">
            <w:pPr>
              <w:spacing w:line="360" w:lineRule="auto"/>
              <w:ind w:firstLine="480" w:firstLineChars="200"/>
              <w:rPr>
                <w:rFonts w:hint="eastAsia" w:ascii="Times New Roman" w:hAnsi="Times New Roman" w:eastAsia="宋体" w:cs="Times New Roman"/>
                <w:color w:val="auto"/>
                <w:kern w:val="0"/>
                <w:sz w:val="24"/>
                <w:szCs w:val="24"/>
                <w:lang w:eastAsia="zh-CN"/>
              </w:rPr>
            </w:pPr>
            <w:r>
              <w:rPr>
                <w:rFonts w:hint="eastAsia" w:cs="Times New Roman"/>
                <w:color w:val="auto"/>
                <w:kern w:val="0"/>
                <w:sz w:val="24"/>
                <w:szCs w:val="24"/>
                <w:lang w:eastAsia="zh-CN"/>
              </w:rPr>
              <w:t>（</w:t>
            </w:r>
            <w:r>
              <w:rPr>
                <w:rFonts w:hint="eastAsia" w:cs="Times New Roman"/>
                <w:color w:val="auto"/>
                <w:kern w:val="0"/>
                <w:sz w:val="24"/>
                <w:szCs w:val="24"/>
                <w:lang w:val="en-US" w:eastAsia="zh-CN"/>
              </w:rPr>
              <w:t>2</w:t>
            </w:r>
            <w:r>
              <w:rPr>
                <w:rFonts w:hint="eastAsia" w:cs="Times New Roman"/>
                <w:color w:val="auto"/>
                <w:kern w:val="0"/>
                <w:sz w:val="24"/>
                <w:szCs w:val="24"/>
                <w:lang w:eastAsia="zh-CN"/>
              </w:rPr>
              <w:t>）</w:t>
            </w:r>
            <w:r>
              <w:rPr>
                <w:rFonts w:hint="eastAsia" w:ascii="Times New Roman" w:hAnsi="Times New Roman" w:eastAsia="宋体" w:cs="Times New Roman"/>
                <w:color w:val="auto"/>
                <w:kern w:val="0"/>
                <w:sz w:val="24"/>
                <w:szCs w:val="24"/>
                <w:lang w:eastAsia="zh-CN"/>
              </w:rPr>
              <w:t>生活垃圾存放设施远离</w:t>
            </w:r>
            <w:r>
              <w:rPr>
                <w:rFonts w:hint="eastAsia" w:cs="Times New Roman"/>
                <w:color w:val="auto"/>
                <w:kern w:val="0"/>
                <w:sz w:val="24"/>
                <w:szCs w:val="24"/>
                <w:lang w:val="en-US" w:eastAsia="zh-CN"/>
              </w:rPr>
              <w:t>河道</w:t>
            </w:r>
            <w:r>
              <w:rPr>
                <w:rFonts w:hint="eastAsia" w:ascii="Times New Roman" w:hAnsi="Times New Roman" w:eastAsia="宋体" w:cs="Times New Roman"/>
                <w:color w:val="auto"/>
                <w:kern w:val="0"/>
                <w:sz w:val="24"/>
                <w:szCs w:val="24"/>
                <w:lang w:eastAsia="zh-CN"/>
              </w:rPr>
              <w:t>，并且分类收集，及时送往垃圾收集站点处置，以免滋生蚊蝇；</w:t>
            </w:r>
            <w:r>
              <w:rPr>
                <w:rFonts w:hint="eastAsia" w:cs="Times New Roman"/>
                <w:color w:val="auto"/>
                <w:kern w:val="0"/>
                <w:sz w:val="24"/>
                <w:szCs w:val="24"/>
                <w:lang w:val="en-US" w:eastAsia="zh-CN"/>
              </w:rPr>
              <w:t>地表剥离的表土单独堆存，施工结束后用于植被恢复</w:t>
            </w:r>
            <w:r>
              <w:rPr>
                <w:rFonts w:hint="default" w:ascii="Times New Roman" w:hAnsi="Times New Roman" w:eastAsia="宋体" w:cs="Times New Roman"/>
                <w:color w:val="auto"/>
                <w:sz w:val="24"/>
                <w:szCs w:val="24"/>
                <w:highlight w:val="none"/>
                <w:lang w:val="en-US" w:eastAsia="zh-CN"/>
              </w:rPr>
              <w:t>。</w:t>
            </w:r>
          </w:p>
          <w:p w14:paraId="65DFEB93">
            <w:pPr>
              <w:spacing w:line="360" w:lineRule="auto"/>
              <w:ind w:firstLine="480" w:firstLineChars="200"/>
              <w:rPr>
                <w:rFonts w:hint="eastAsia" w:ascii="Times New Roman" w:hAnsi="Times New Roman" w:eastAsia="宋体" w:cs="Times New Roman"/>
                <w:color w:val="auto"/>
                <w:kern w:val="0"/>
                <w:sz w:val="24"/>
                <w:szCs w:val="24"/>
                <w:lang w:eastAsia="zh-CN"/>
              </w:rPr>
            </w:pPr>
            <w:r>
              <w:rPr>
                <w:rFonts w:hint="eastAsia" w:cs="Times New Roman"/>
                <w:color w:val="auto"/>
                <w:kern w:val="0"/>
                <w:sz w:val="24"/>
                <w:szCs w:val="24"/>
                <w:lang w:eastAsia="zh-CN"/>
              </w:rPr>
              <w:t>（</w:t>
            </w:r>
            <w:r>
              <w:rPr>
                <w:rFonts w:hint="eastAsia" w:cs="Times New Roman"/>
                <w:color w:val="auto"/>
                <w:kern w:val="0"/>
                <w:sz w:val="24"/>
                <w:szCs w:val="24"/>
                <w:lang w:val="en-US" w:eastAsia="zh-CN"/>
              </w:rPr>
              <w:t>3</w:t>
            </w:r>
            <w:r>
              <w:rPr>
                <w:rFonts w:hint="eastAsia" w:cs="Times New Roman"/>
                <w:color w:val="auto"/>
                <w:kern w:val="0"/>
                <w:sz w:val="24"/>
                <w:szCs w:val="24"/>
                <w:lang w:eastAsia="zh-CN"/>
              </w:rPr>
              <w:t>）</w:t>
            </w:r>
            <w:r>
              <w:rPr>
                <w:rFonts w:hint="eastAsia" w:cs="Times New Roman"/>
                <w:color w:val="auto"/>
                <w:kern w:val="0"/>
                <w:sz w:val="24"/>
                <w:szCs w:val="24"/>
                <w:lang w:val="en-US" w:eastAsia="zh-CN"/>
              </w:rPr>
              <w:t>建筑</w:t>
            </w:r>
            <w:r>
              <w:rPr>
                <w:rFonts w:hint="eastAsia" w:cs="Times New Roman"/>
                <w:color w:val="auto"/>
                <w:kern w:val="0"/>
                <w:sz w:val="24"/>
                <w:szCs w:val="24"/>
                <w:lang w:eastAsia="zh-CN"/>
              </w:rPr>
              <w:t>垃圾</w:t>
            </w:r>
          </w:p>
          <w:p w14:paraId="542B6608">
            <w:pPr>
              <w:spacing w:line="360" w:lineRule="auto"/>
              <w:ind w:firstLine="480" w:firstLineChars="200"/>
              <w:rPr>
                <w:rFonts w:hint="eastAsia" w:ascii="Times New Roman" w:hAnsi="Times New Roman" w:eastAsia="宋体" w:cs="宋体"/>
                <w:color w:val="auto"/>
                <w:kern w:val="0"/>
                <w:sz w:val="24"/>
                <w:szCs w:val="24"/>
                <w:lang w:eastAsia="zh-CN" w:bidi="ar"/>
              </w:rPr>
            </w:pPr>
            <w:r>
              <w:rPr>
                <w:rFonts w:hint="eastAsia" w:cs="宋体"/>
                <w:color w:val="auto"/>
                <w:kern w:val="0"/>
                <w:sz w:val="24"/>
                <w:szCs w:val="24"/>
                <w:lang w:eastAsia="zh-CN" w:bidi="ar"/>
              </w:rPr>
              <w:t>建筑垃圾及时清运至建筑垃圾场处置。</w:t>
            </w:r>
          </w:p>
          <w:p w14:paraId="685A2D92">
            <w:pPr>
              <w:spacing w:line="360" w:lineRule="auto"/>
              <w:ind w:firstLine="480" w:firstLineChars="200"/>
              <w:rPr>
                <w:rFonts w:hint="eastAsia" w:ascii="Times New Roman" w:hAnsi="Times New Roman" w:eastAsia="宋体" w:cs="Times New Roman"/>
                <w:color w:val="auto"/>
                <w:kern w:val="0"/>
                <w:sz w:val="24"/>
                <w:szCs w:val="24"/>
                <w:lang w:eastAsia="zh-CN"/>
              </w:rPr>
            </w:pPr>
            <w:r>
              <w:rPr>
                <w:rFonts w:hint="eastAsia" w:cs="宋体"/>
                <w:color w:val="auto"/>
                <w:kern w:val="0"/>
                <w:sz w:val="24"/>
                <w:szCs w:val="24"/>
                <w:lang w:eastAsia="zh-CN" w:bidi="ar"/>
              </w:rPr>
              <w:t>（</w:t>
            </w:r>
            <w:r>
              <w:rPr>
                <w:rFonts w:hint="eastAsia" w:cs="宋体"/>
                <w:color w:val="auto"/>
                <w:kern w:val="0"/>
                <w:sz w:val="24"/>
                <w:szCs w:val="24"/>
                <w:lang w:val="en-US" w:eastAsia="zh-CN" w:bidi="ar"/>
              </w:rPr>
              <w:t>4</w:t>
            </w:r>
            <w:r>
              <w:rPr>
                <w:rFonts w:hint="eastAsia" w:cs="宋体"/>
                <w:color w:val="auto"/>
                <w:kern w:val="0"/>
                <w:sz w:val="24"/>
                <w:szCs w:val="24"/>
                <w:lang w:eastAsia="zh-CN" w:bidi="ar"/>
              </w:rPr>
              <w:t>）</w:t>
            </w:r>
            <w:r>
              <w:rPr>
                <w:rFonts w:hint="eastAsia" w:ascii="Times New Roman" w:hAnsi="Times New Roman" w:eastAsia="宋体" w:cs="Times New Roman"/>
                <w:color w:val="auto"/>
                <w:kern w:val="0"/>
                <w:sz w:val="24"/>
                <w:szCs w:val="24"/>
                <w:lang w:eastAsia="zh-CN"/>
              </w:rPr>
              <w:t>河道内严禁堆放任何</w:t>
            </w:r>
            <w:r>
              <w:rPr>
                <w:rFonts w:hint="eastAsia" w:cs="Times New Roman"/>
                <w:color w:val="auto"/>
                <w:kern w:val="0"/>
                <w:sz w:val="24"/>
                <w:szCs w:val="24"/>
                <w:lang w:val="en-US" w:eastAsia="zh-CN"/>
              </w:rPr>
              <w:t>固体废物</w:t>
            </w:r>
            <w:r>
              <w:rPr>
                <w:rFonts w:hint="eastAsia" w:cs="Times New Roman"/>
                <w:color w:val="auto"/>
                <w:kern w:val="0"/>
                <w:sz w:val="24"/>
                <w:szCs w:val="24"/>
                <w:lang w:eastAsia="zh-CN"/>
              </w:rPr>
              <w:t>。</w:t>
            </w:r>
          </w:p>
          <w:p w14:paraId="35F5565A">
            <w:pPr>
              <w:spacing w:line="360" w:lineRule="auto"/>
              <w:ind w:firstLine="480" w:firstLineChars="200"/>
              <w:rPr>
                <w:rFonts w:hint="eastAsia"/>
                <w:color w:val="auto"/>
                <w:lang w:val="en-US" w:eastAsia="zh-CN"/>
              </w:rPr>
            </w:pPr>
            <w:r>
              <w:rPr>
                <w:rFonts w:hint="eastAsia" w:ascii="Times New Roman" w:hAnsi="Times New Roman" w:eastAsia="宋体" w:cs="Times New Roman"/>
                <w:color w:val="auto"/>
                <w:kern w:val="0"/>
                <w:sz w:val="24"/>
                <w:szCs w:val="24"/>
                <w:lang w:eastAsia="zh-CN"/>
              </w:rPr>
              <w:t>建设单位</w:t>
            </w:r>
            <w:r>
              <w:rPr>
                <w:rFonts w:hint="eastAsia" w:cs="Times New Roman"/>
                <w:color w:val="auto"/>
                <w:kern w:val="0"/>
                <w:sz w:val="24"/>
                <w:szCs w:val="24"/>
                <w:lang w:val="en-US" w:eastAsia="zh-CN"/>
              </w:rPr>
              <w:t>对</w:t>
            </w:r>
            <w:r>
              <w:rPr>
                <w:rFonts w:hint="eastAsia" w:ascii="Times New Roman" w:hAnsi="Times New Roman" w:eastAsia="宋体" w:cs="Times New Roman"/>
                <w:color w:val="auto"/>
                <w:kern w:val="0"/>
                <w:sz w:val="24"/>
                <w:szCs w:val="24"/>
                <w:lang w:eastAsia="zh-CN"/>
              </w:rPr>
              <w:t>施工期</w:t>
            </w:r>
            <w:r>
              <w:rPr>
                <w:rFonts w:hint="eastAsia" w:cs="Times New Roman"/>
                <w:color w:val="auto"/>
                <w:kern w:val="0"/>
                <w:sz w:val="24"/>
                <w:szCs w:val="24"/>
                <w:lang w:val="en-US" w:eastAsia="zh-CN"/>
              </w:rPr>
              <w:t>固体废物采取以上措施</w:t>
            </w:r>
            <w:r>
              <w:rPr>
                <w:rFonts w:hint="eastAsia" w:ascii="Times New Roman" w:hAnsi="Times New Roman" w:eastAsia="宋体" w:cs="Times New Roman"/>
                <w:color w:val="auto"/>
                <w:kern w:val="0"/>
                <w:sz w:val="24"/>
                <w:szCs w:val="24"/>
                <w:lang w:eastAsia="zh-CN"/>
              </w:rPr>
              <w:t>处理</w:t>
            </w:r>
            <w:r>
              <w:rPr>
                <w:rFonts w:hint="eastAsia" w:cs="Times New Roman"/>
                <w:color w:val="auto"/>
                <w:kern w:val="0"/>
                <w:sz w:val="24"/>
                <w:szCs w:val="24"/>
                <w:lang w:val="en-US" w:eastAsia="zh-CN"/>
              </w:rPr>
              <w:t>处置</w:t>
            </w:r>
            <w:r>
              <w:rPr>
                <w:rFonts w:hint="eastAsia" w:ascii="Times New Roman" w:hAnsi="Times New Roman" w:eastAsia="宋体" w:cs="Times New Roman"/>
                <w:color w:val="auto"/>
                <w:kern w:val="0"/>
                <w:sz w:val="24"/>
                <w:szCs w:val="24"/>
                <w:lang w:eastAsia="zh-CN"/>
              </w:rPr>
              <w:t>后，可将环境不利影响降至最低</w:t>
            </w:r>
            <w:r>
              <w:rPr>
                <w:rFonts w:hint="eastAsia" w:cs="Times New Roman"/>
                <w:color w:val="auto"/>
                <w:kern w:val="0"/>
                <w:sz w:val="24"/>
                <w:szCs w:val="24"/>
                <w:lang w:eastAsia="zh-CN"/>
              </w:rPr>
              <w:t>，</w:t>
            </w:r>
            <w:r>
              <w:rPr>
                <w:rFonts w:hint="eastAsia" w:cs="Times New Roman"/>
                <w:color w:val="auto"/>
                <w:kern w:val="0"/>
                <w:sz w:val="24"/>
                <w:szCs w:val="24"/>
                <w:lang w:val="en-US" w:eastAsia="zh-CN"/>
              </w:rPr>
              <w:t>固体废物</w:t>
            </w:r>
            <w:r>
              <w:rPr>
                <w:rFonts w:hint="eastAsia" w:ascii="Times New Roman" w:hAnsi="Times New Roman" w:eastAsia="宋体" w:cs="Times New Roman"/>
                <w:color w:val="auto"/>
                <w:kern w:val="0"/>
                <w:sz w:val="24"/>
                <w:szCs w:val="24"/>
                <w:lang w:val="en-US" w:eastAsia="zh-CN" w:bidi="ar"/>
              </w:rPr>
              <w:t>得到妥善处置。</w:t>
            </w:r>
          </w:p>
        </w:tc>
      </w:tr>
      <w:tr w14:paraId="036DA7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93" w:hRule="atLeast"/>
          <w:jc w:val="center"/>
        </w:trPr>
        <w:tc>
          <w:tcPr>
            <w:tcW w:w="891" w:type="dxa"/>
            <w:noWrap w:val="0"/>
            <w:tcMar>
              <w:left w:w="28" w:type="dxa"/>
              <w:right w:w="28" w:type="dxa"/>
            </w:tcMar>
            <w:vAlign w:val="center"/>
          </w:tcPr>
          <w:p w14:paraId="5704B9CB">
            <w:pPr>
              <w:pStyle w:val="15"/>
              <w:adjustRightInd w:val="0"/>
              <w:snapToGrid w:val="0"/>
              <w:spacing w:before="0" w:beforeAutospacing="0" w:after="0" w:afterAutospacing="0"/>
              <w:jc w:val="center"/>
              <w:rPr>
                <w:rFonts w:hint="eastAsia" w:cs="宋体"/>
                <w:color w:val="auto"/>
                <w:kern w:val="2"/>
                <w:sz w:val="24"/>
                <w:szCs w:val="24"/>
                <w:lang w:val="en-US" w:eastAsia="zh-CN"/>
              </w:rPr>
            </w:pPr>
            <w:r>
              <w:rPr>
                <w:rFonts w:hint="eastAsia" w:ascii="宋体" w:hAnsi="宋体" w:eastAsia="宋体" w:cs="宋体"/>
                <w:color w:val="auto"/>
                <w:kern w:val="2"/>
                <w:sz w:val="24"/>
                <w:szCs w:val="24"/>
                <w:lang w:val="en-US" w:eastAsia="zh-CN"/>
              </w:rPr>
              <w:t>运营期</w:t>
            </w:r>
            <w:r>
              <w:rPr>
                <w:rFonts w:hint="eastAsia" w:cs="宋体"/>
                <w:color w:val="auto"/>
                <w:kern w:val="2"/>
                <w:sz w:val="24"/>
                <w:szCs w:val="24"/>
                <w:lang w:val="en-US" w:eastAsia="zh-CN"/>
              </w:rPr>
              <w:t>生态环境保护措施</w:t>
            </w:r>
          </w:p>
        </w:tc>
        <w:tc>
          <w:tcPr>
            <w:tcW w:w="8090" w:type="dxa"/>
            <w:noWrap w:val="0"/>
            <w:vAlign w:val="center"/>
          </w:tcPr>
          <w:p w14:paraId="25C88361">
            <w:pPr>
              <w:spacing w:line="360" w:lineRule="auto"/>
              <w:ind w:firstLine="480" w:firstLineChars="200"/>
              <w:jc w:val="both"/>
              <w:rPr>
                <w:rFonts w:hint="default" w:cs="Times New Roman"/>
                <w:b/>
                <w:bCs/>
                <w:color w:val="auto"/>
                <w:kern w:val="0"/>
                <w:sz w:val="21"/>
                <w:szCs w:val="21"/>
                <w:lang w:val="en-US" w:eastAsia="zh-CN" w:bidi="ar"/>
              </w:rPr>
            </w:pPr>
            <w:r>
              <w:rPr>
                <w:rFonts w:hint="eastAsia" w:cs="Times New Roman"/>
                <w:color w:val="auto"/>
                <w:kern w:val="0"/>
                <w:sz w:val="24"/>
                <w:szCs w:val="24"/>
                <w:lang w:val="en-US" w:eastAsia="zh-CN" w:bidi="ar"/>
              </w:rPr>
              <w:t>本项目运营期为发挥环境效益的时期，除运营维护过程中产生少量杂草、垃圾和清淤废物外，不排放其他污染物，清理的杂草、垃圾和清淤废物交环卫部门处置，不会对环境产生不利影响。项目运营后，通过加强湿地运营管理，定期杂草清理和清淤，项目区的环境将得到较大的改善，主要体现为改善了千河流域的水体环境，为农村居民提供了良好的生活环境，有效地保护了千河水资源，水环境质量改善，使生态系统中的物种种类和数量增加，从而增加了生物多样性，提高了生态系统稳定性。所以，项目完成后对城市人居环境和生态环境的影响是正面的。</w:t>
            </w:r>
          </w:p>
        </w:tc>
      </w:tr>
      <w:tr w14:paraId="5A3CDF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0" w:hRule="atLeast"/>
          <w:jc w:val="center"/>
        </w:trPr>
        <w:tc>
          <w:tcPr>
            <w:tcW w:w="891" w:type="dxa"/>
            <w:noWrap w:val="0"/>
            <w:tcMar>
              <w:left w:w="28" w:type="dxa"/>
              <w:right w:w="28" w:type="dxa"/>
            </w:tcMar>
            <w:vAlign w:val="center"/>
          </w:tcPr>
          <w:p w14:paraId="4ED83A8D">
            <w:pPr>
              <w:spacing w:line="360" w:lineRule="auto"/>
              <w:jc w:val="both"/>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其他</w:t>
            </w:r>
          </w:p>
        </w:tc>
        <w:tc>
          <w:tcPr>
            <w:tcW w:w="8090" w:type="dxa"/>
            <w:noWrap w:val="0"/>
            <w:vAlign w:val="center"/>
          </w:tcPr>
          <w:p w14:paraId="70EFF9D6">
            <w:pPr>
              <w:numPr>
                <w:ilvl w:val="0"/>
                <w:numId w:val="0"/>
              </w:numPr>
              <w:spacing w:line="360" w:lineRule="auto"/>
              <w:ind w:leftChars="200"/>
              <w:jc w:val="both"/>
              <w:rPr>
                <w:rFonts w:hint="default" w:cs="Times New Roman"/>
                <w:color w:val="auto"/>
                <w:kern w:val="0"/>
                <w:sz w:val="24"/>
                <w:szCs w:val="24"/>
                <w:lang w:val="en-US" w:eastAsia="zh-CN" w:bidi="ar"/>
              </w:rPr>
            </w:pPr>
            <w:r>
              <w:rPr>
                <w:rFonts w:hint="eastAsia" w:cs="Times New Roman"/>
                <w:color w:val="auto"/>
                <w:kern w:val="0"/>
                <w:sz w:val="24"/>
                <w:szCs w:val="24"/>
                <w:lang w:val="en-US" w:eastAsia="zh-CN" w:bidi="ar"/>
              </w:rPr>
              <w:t>无</w:t>
            </w:r>
          </w:p>
        </w:tc>
      </w:tr>
      <w:tr w14:paraId="602463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891" w:type="dxa"/>
            <w:noWrap w:val="0"/>
            <w:tcMar>
              <w:left w:w="28" w:type="dxa"/>
              <w:right w:w="28" w:type="dxa"/>
            </w:tcMar>
            <w:vAlign w:val="center"/>
          </w:tcPr>
          <w:p w14:paraId="77A5F8F9">
            <w:pPr>
              <w:pStyle w:val="15"/>
              <w:adjustRightInd w:val="0"/>
              <w:snapToGrid w:val="0"/>
              <w:spacing w:before="0" w:beforeAutospacing="0" w:after="0" w:afterAutospacing="0"/>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环保</w:t>
            </w:r>
          </w:p>
          <w:p w14:paraId="73D2EB0E">
            <w:pPr>
              <w:pStyle w:val="15"/>
              <w:adjustRightInd w:val="0"/>
              <w:snapToGrid w:val="0"/>
              <w:spacing w:before="0" w:beforeAutospacing="0" w:after="0" w:afterAutospacing="0"/>
              <w:jc w:val="center"/>
              <w:rPr>
                <w:rFonts w:hint="default"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投资</w:t>
            </w:r>
          </w:p>
        </w:tc>
        <w:tc>
          <w:tcPr>
            <w:tcW w:w="8090" w:type="dxa"/>
            <w:noWrap w:val="0"/>
            <w:vAlign w:val="center"/>
          </w:tcPr>
          <w:p w14:paraId="2800AFD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color w:val="auto"/>
                <w:szCs w:val="21"/>
              </w:rPr>
            </w:pPr>
            <w:r>
              <w:rPr>
                <w:rFonts w:hint="default" w:ascii="Times New Roman" w:hAnsi="Times New Roman" w:cs="Times New Roman"/>
                <w:color w:val="auto"/>
                <w:sz w:val="24"/>
              </w:rPr>
              <w:t>本</w:t>
            </w:r>
            <w:r>
              <w:rPr>
                <w:rFonts w:hint="eastAsia" w:ascii="Times New Roman" w:hAnsi="Times New Roman" w:cs="Times New Roman"/>
                <w:color w:val="auto"/>
                <w:sz w:val="24"/>
                <w:lang w:eastAsia="zh-CN"/>
              </w:rPr>
              <w:t>工程</w:t>
            </w:r>
            <w:r>
              <w:rPr>
                <w:rFonts w:hint="default" w:ascii="Times New Roman" w:hAnsi="Times New Roman" w:cs="Times New Roman"/>
                <w:color w:val="auto"/>
                <w:sz w:val="24"/>
                <w:lang w:val="en-US" w:eastAsia="zh-CN"/>
              </w:rPr>
              <w:t>总投资</w:t>
            </w:r>
            <w:r>
              <w:rPr>
                <w:rFonts w:hint="eastAsia" w:cs="Times New Roman"/>
                <w:color w:val="auto"/>
                <w:sz w:val="24"/>
                <w:lang w:val="en-US" w:eastAsia="zh-CN"/>
              </w:rPr>
              <w:t>3652</w:t>
            </w:r>
            <w:r>
              <w:rPr>
                <w:rFonts w:hint="default" w:ascii="Times New Roman" w:hAnsi="Times New Roman" w:cs="Times New Roman"/>
                <w:color w:val="auto"/>
                <w:sz w:val="24"/>
                <w:lang w:val="en-US" w:eastAsia="zh-CN"/>
              </w:rPr>
              <w:t>万元，其中</w:t>
            </w:r>
            <w:r>
              <w:rPr>
                <w:rFonts w:hint="default" w:ascii="Times New Roman" w:hAnsi="Times New Roman" w:cs="Times New Roman"/>
                <w:color w:val="auto"/>
                <w:kern w:val="0"/>
                <w:sz w:val="24"/>
              </w:rPr>
              <w:t>环保投资</w:t>
            </w:r>
            <w:r>
              <w:rPr>
                <w:rFonts w:hint="eastAsia" w:cs="Times New Roman"/>
                <w:color w:val="auto"/>
                <w:kern w:val="0"/>
                <w:sz w:val="24"/>
                <w:lang w:val="en-US" w:eastAsia="zh-CN"/>
              </w:rPr>
              <w:t>36.5</w:t>
            </w:r>
            <w:r>
              <w:rPr>
                <w:rFonts w:hint="default" w:ascii="Times New Roman" w:hAnsi="Times New Roman" w:cs="Times New Roman"/>
                <w:color w:val="auto"/>
                <w:sz w:val="24"/>
              </w:rPr>
              <w:t>万元，占工程总投资的</w:t>
            </w:r>
            <w:r>
              <w:rPr>
                <w:rFonts w:hint="eastAsia" w:cs="Times New Roman"/>
                <w:color w:val="auto"/>
                <w:sz w:val="24"/>
                <w:lang w:val="en-US" w:eastAsia="zh-CN"/>
              </w:rPr>
              <w:t>1</w:t>
            </w:r>
            <w:r>
              <w:rPr>
                <w:rFonts w:hint="default" w:ascii="Times New Roman" w:hAnsi="Times New Roman" w:cs="Times New Roman"/>
                <w:color w:val="auto"/>
                <w:sz w:val="24"/>
              </w:rPr>
              <w:t>%，主要用于</w:t>
            </w:r>
            <w:r>
              <w:rPr>
                <w:rFonts w:hint="default" w:ascii="Times New Roman" w:hAnsi="Times New Roman" w:cs="Times New Roman"/>
                <w:color w:val="auto"/>
                <w:sz w:val="24"/>
                <w:lang w:val="en-US" w:eastAsia="zh-CN"/>
              </w:rPr>
              <w:t>施工扬尘、</w:t>
            </w:r>
            <w:r>
              <w:rPr>
                <w:rFonts w:hint="eastAsia" w:ascii="Times New Roman" w:hAnsi="Times New Roman" w:cs="Times New Roman"/>
                <w:color w:val="auto"/>
                <w:sz w:val="24"/>
                <w:lang w:val="en-US" w:eastAsia="zh-CN"/>
              </w:rPr>
              <w:t>施工废水、</w:t>
            </w:r>
            <w:r>
              <w:rPr>
                <w:rFonts w:hint="default" w:ascii="Times New Roman" w:hAnsi="Times New Roman" w:cs="Times New Roman"/>
                <w:color w:val="auto"/>
                <w:sz w:val="24"/>
                <w:lang w:val="en-US" w:eastAsia="zh-CN"/>
              </w:rPr>
              <w:t>噪声</w:t>
            </w: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lang w:val="en-US" w:eastAsia="zh-CN"/>
              </w:rPr>
              <w:t>固体废物</w:t>
            </w:r>
            <w:r>
              <w:rPr>
                <w:rFonts w:hint="eastAsia" w:ascii="Times New Roman" w:hAnsi="Times New Roman" w:cs="Times New Roman"/>
                <w:color w:val="auto"/>
                <w:sz w:val="24"/>
                <w:lang w:eastAsia="zh-CN"/>
              </w:rPr>
              <w:t>和生态环境治理</w:t>
            </w: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工程</w:t>
            </w:r>
            <w:r>
              <w:rPr>
                <w:rFonts w:hint="default" w:ascii="Times New Roman" w:hAnsi="Times New Roman" w:cs="Times New Roman"/>
                <w:color w:val="auto"/>
                <w:sz w:val="24"/>
              </w:rPr>
              <w:t>环保投资估算一览表详见表</w:t>
            </w:r>
            <w:r>
              <w:rPr>
                <w:rFonts w:hint="eastAsia" w:ascii="Times New Roman" w:hAnsi="Times New Roman" w:cs="Times New Roman"/>
                <w:color w:val="auto"/>
                <w:sz w:val="24"/>
                <w:lang w:val="en-US" w:eastAsia="zh-CN"/>
              </w:rPr>
              <w:t>5-1</w:t>
            </w:r>
            <w:r>
              <w:rPr>
                <w:rFonts w:hint="default" w:ascii="Times New Roman" w:hAnsi="Times New Roman" w:cs="Times New Roman"/>
                <w:color w:val="auto"/>
                <w:sz w:val="24"/>
              </w:rPr>
              <w:t>。</w:t>
            </w:r>
          </w:p>
          <w:p w14:paraId="4C65FE1A">
            <w:pPr>
              <w:pStyle w:val="28"/>
              <w:rPr>
                <w:rFonts w:hint="default" w:ascii="Times New Roman" w:hAnsi="Times New Roman" w:cs="Times New Roman"/>
                <w:color w:val="auto"/>
                <w:sz w:val="21"/>
                <w:szCs w:val="21"/>
              </w:rPr>
            </w:pPr>
          </w:p>
          <w:p w14:paraId="4A250D43">
            <w:pPr>
              <w:pStyle w:val="28"/>
              <w:rPr>
                <w:rFonts w:hint="default" w:ascii="Times New Roman" w:hAnsi="Times New Roman" w:cs="Times New Roman"/>
                <w:color w:val="auto"/>
                <w:sz w:val="21"/>
                <w:szCs w:val="21"/>
              </w:rPr>
            </w:pPr>
          </w:p>
          <w:p w14:paraId="74B53C40">
            <w:pPr>
              <w:pStyle w:val="28"/>
              <w:rPr>
                <w:rFonts w:hint="default" w:ascii="Times New Roman" w:hAnsi="Times New Roman" w:cs="Times New Roman"/>
                <w:color w:val="auto"/>
                <w:sz w:val="21"/>
                <w:szCs w:val="21"/>
              </w:rPr>
            </w:pPr>
          </w:p>
          <w:p w14:paraId="254D364D">
            <w:pPr>
              <w:pStyle w:val="28"/>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表</w:t>
            </w:r>
            <w:r>
              <w:rPr>
                <w:rFonts w:hint="eastAsia" w:ascii="Times New Roman" w:hAnsi="Times New Roman" w:cs="Times New Roman"/>
                <w:color w:val="auto"/>
                <w:sz w:val="21"/>
                <w:szCs w:val="21"/>
                <w:lang w:val="en-US" w:eastAsia="zh-CN"/>
              </w:rPr>
              <w:t>5-1</w:t>
            </w:r>
            <w:r>
              <w:rPr>
                <w:rFonts w:hint="default" w:ascii="Times New Roman" w:hAnsi="Times New Roman" w:cs="Times New Roman"/>
                <w:color w:val="auto"/>
                <w:sz w:val="21"/>
                <w:szCs w:val="21"/>
              </w:rPr>
              <w:t xml:space="preserve">  本</w:t>
            </w:r>
            <w:r>
              <w:rPr>
                <w:rFonts w:hint="eastAsia" w:ascii="Times New Roman" w:hAnsi="Times New Roman" w:cs="Times New Roman"/>
                <w:color w:val="auto"/>
                <w:sz w:val="21"/>
                <w:szCs w:val="21"/>
                <w:lang w:eastAsia="zh-CN"/>
              </w:rPr>
              <w:t>工程</w:t>
            </w:r>
            <w:r>
              <w:rPr>
                <w:rFonts w:hint="default" w:ascii="Times New Roman" w:hAnsi="Times New Roman" w:cs="Times New Roman"/>
                <w:color w:val="auto"/>
                <w:sz w:val="21"/>
                <w:szCs w:val="21"/>
              </w:rPr>
              <w:t>环保投资估算一览表</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8"/>
              <w:gridCol w:w="4992"/>
              <w:gridCol w:w="1104"/>
            </w:tblGrid>
            <w:tr w14:paraId="490C5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7" w:hRule="atLeast"/>
                <w:jc w:val="center"/>
              </w:trPr>
              <w:tc>
                <w:tcPr>
                  <w:tcW w:w="1768" w:type="dxa"/>
                  <w:noWrap w:val="0"/>
                  <w:vAlign w:val="center"/>
                </w:tcPr>
                <w:p w14:paraId="5DECDCD2">
                  <w:pPr>
                    <w:keepNext w:val="0"/>
                    <w:keepLines w:val="0"/>
                    <w:pageBreakBefore w:val="0"/>
                    <w:widowControl w:val="0"/>
                    <w:kinsoku/>
                    <w:wordWrap w:val="0"/>
                    <w:overflowPunct w:val="0"/>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项目</w:t>
                  </w:r>
                </w:p>
              </w:tc>
              <w:tc>
                <w:tcPr>
                  <w:tcW w:w="4992" w:type="dxa"/>
                  <w:noWrap w:val="0"/>
                  <w:vAlign w:val="center"/>
                </w:tcPr>
                <w:p w14:paraId="6CB8B1DA">
                  <w:pPr>
                    <w:keepNext w:val="0"/>
                    <w:keepLines w:val="0"/>
                    <w:pageBreakBefore w:val="0"/>
                    <w:widowControl w:val="0"/>
                    <w:kinsoku/>
                    <w:wordWrap w:val="0"/>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rPr>
                    <w:t>环保</w:t>
                  </w:r>
                  <w:r>
                    <w:rPr>
                      <w:rFonts w:hint="default" w:ascii="Times New Roman" w:hAnsi="Times New Roman" w:cs="Times New Roman"/>
                      <w:b/>
                      <w:bCs/>
                      <w:color w:val="auto"/>
                      <w:sz w:val="21"/>
                      <w:szCs w:val="21"/>
                      <w:lang w:val="en-US" w:eastAsia="zh-CN"/>
                    </w:rPr>
                    <w:t>设施</w:t>
                  </w:r>
                </w:p>
              </w:tc>
              <w:tc>
                <w:tcPr>
                  <w:tcW w:w="1104" w:type="dxa"/>
                  <w:noWrap w:val="0"/>
                  <w:vAlign w:val="center"/>
                </w:tcPr>
                <w:p w14:paraId="67475E14">
                  <w:pPr>
                    <w:keepNext w:val="0"/>
                    <w:keepLines w:val="0"/>
                    <w:pageBreakBefore w:val="0"/>
                    <w:widowControl w:val="0"/>
                    <w:kinsoku/>
                    <w:wordWrap w:val="0"/>
                    <w:overflowPunct w:val="0"/>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环保投资</w:t>
                  </w:r>
                </w:p>
                <w:p w14:paraId="587893D4">
                  <w:pPr>
                    <w:keepNext w:val="0"/>
                    <w:keepLines w:val="0"/>
                    <w:pageBreakBefore w:val="0"/>
                    <w:widowControl w:val="0"/>
                    <w:kinsoku/>
                    <w:wordWrap w:val="0"/>
                    <w:overflowPunct w:val="0"/>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（万元）</w:t>
                  </w:r>
                </w:p>
              </w:tc>
            </w:tr>
            <w:tr w14:paraId="2E521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8" w:type="dxa"/>
                  <w:noWrap w:val="0"/>
                  <w:vAlign w:val="center"/>
                </w:tcPr>
                <w:p w14:paraId="63D4E8C2">
                  <w:pPr>
                    <w:keepNext w:val="0"/>
                    <w:keepLines w:val="0"/>
                    <w:pageBreakBefore w:val="0"/>
                    <w:widowControl w:val="0"/>
                    <w:kinsoku/>
                    <w:wordWrap w:val="0"/>
                    <w:overflowPunct w:val="0"/>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施工扬尘</w:t>
                  </w:r>
                </w:p>
              </w:tc>
              <w:tc>
                <w:tcPr>
                  <w:tcW w:w="4992" w:type="dxa"/>
                  <w:noWrap w:val="0"/>
                  <w:vAlign w:val="center"/>
                </w:tcPr>
                <w:p w14:paraId="15E85532">
                  <w:pPr>
                    <w:keepNext w:val="0"/>
                    <w:keepLines w:val="0"/>
                    <w:pageBreakBefore w:val="0"/>
                    <w:widowControl w:val="0"/>
                    <w:kinsoku/>
                    <w:wordWrap w:val="0"/>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highlight w:val="none"/>
                    </w:rPr>
                    <w:t>运输车辆</w:t>
                  </w:r>
                  <w:r>
                    <w:rPr>
                      <w:rFonts w:hint="eastAsia" w:ascii="Times New Roman" w:hAnsi="Times New Roman" w:cs="Times New Roman"/>
                      <w:color w:val="auto"/>
                      <w:sz w:val="21"/>
                      <w:szCs w:val="21"/>
                      <w:highlight w:val="none"/>
                      <w:lang w:val="en-US" w:eastAsia="zh-CN"/>
                    </w:rPr>
                    <w:t>篷布</w:t>
                  </w:r>
                  <w:r>
                    <w:rPr>
                      <w:rFonts w:hint="default" w:ascii="Times New Roman" w:hAnsi="Times New Roman" w:cs="Times New Roman"/>
                      <w:color w:val="auto"/>
                      <w:sz w:val="21"/>
                      <w:szCs w:val="21"/>
                      <w:highlight w:val="none"/>
                    </w:rPr>
                    <w:t>遮盖、</w:t>
                  </w:r>
                  <w:r>
                    <w:rPr>
                      <w:rFonts w:hint="eastAsia" w:cs="Times New Roman"/>
                      <w:color w:val="auto"/>
                      <w:sz w:val="21"/>
                      <w:szCs w:val="21"/>
                      <w:highlight w:val="none"/>
                      <w:lang w:val="en-US" w:eastAsia="zh-CN"/>
                    </w:rPr>
                    <w:t>临时占地物料、土石方</w:t>
                  </w:r>
                  <w:r>
                    <w:rPr>
                      <w:rFonts w:hint="default" w:ascii="Times New Roman" w:hAnsi="Times New Roman" w:cs="Times New Roman"/>
                      <w:color w:val="auto"/>
                      <w:sz w:val="21"/>
                      <w:szCs w:val="21"/>
                      <w:highlight w:val="none"/>
                    </w:rPr>
                    <w:t>覆盖防尘网，并配备</w:t>
                  </w:r>
                  <w:r>
                    <w:rPr>
                      <w:rFonts w:hint="eastAsia" w:ascii="Times New Roman" w:hAnsi="Times New Roman" w:cs="Times New Roman"/>
                      <w:color w:val="auto"/>
                      <w:sz w:val="21"/>
                      <w:szCs w:val="21"/>
                      <w:highlight w:val="none"/>
                      <w:lang w:eastAsia="zh-CN"/>
                    </w:rPr>
                    <w:t>洒水</w:t>
                  </w:r>
                  <w:r>
                    <w:rPr>
                      <w:rFonts w:hint="default" w:ascii="Times New Roman" w:hAnsi="Times New Roman" w:cs="Times New Roman"/>
                      <w:color w:val="auto"/>
                      <w:sz w:val="21"/>
                      <w:szCs w:val="21"/>
                      <w:highlight w:val="none"/>
                    </w:rPr>
                    <w:t>设施</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定期对堆场表面洒水抑尘</w:t>
                  </w:r>
                  <w:r>
                    <w:rPr>
                      <w:rFonts w:hint="eastAsia" w:cs="Times New Roman"/>
                      <w:color w:val="auto"/>
                      <w:sz w:val="21"/>
                      <w:szCs w:val="21"/>
                      <w:highlight w:val="none"/>
                      <w:lang w:eastAsia="zh-CN"/>
                    </w:rPr>
                    <w:t>。</w:t>
                  </w:r>
                </w:p>
              </w:tc>
              <w:tc>
                <w:tcPr>
                  <w:tcW w:w="1104" w:type="dxa"/>
                  <w:noWrap w:val="0"/>
                  <w:vAlign w:val="center"/>
                </w:tcPr>
                <w:p w14:paraId="3B7CB7E4">
                  <w:pPr>
                    <w:keepNext w:val="0"/>
                    <w:keepLines w:val="0"/>
                    <w:pageBreakBefore w:val="0"/>
                    <w:widowControl w:val="0"/>
                    <w:kinsoku/>
                    <w:wordWrap w:val="0"/>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6.5</w:t>
                  </w:r>
                </w:p>
              </w:tc>
            </w:tr>
            <w:tr w14:paraId="0E7B1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768" w:type="dxa"/>
                  <w:noWrap w:val="0"/>
                  <w:vAlign w:val="center"/>
                </w:tcPr>
                <w:p w14:paraId="39E7C8F4">
                  <w:pPr>
                    <w:keepNext w:val="0"/>
                    <w:keepLines w:val="0"/>
                    <w:pageBreakBefore w:val="0"/>
                    <w:widowControl w:val="0"/>
                    <w:kinsoku/>
                    <w:wordWrap w:val="0"/>
                    <w:overflowPunct w:val="0"/>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施工期</w:t>
                  </w:r>
                  <w:r>
                    <w:rPr>
                      <w:rFonts w:hint="default" w:ascii="Times New Roman" w:hAnsi="Times New Roman" w:cs="Times New Roman"/>
                      <w:color w:val="auto"/>
                      <w:sz w:val="21"/>
                      <w:szCs w:val="21"/>
                      <w:lang w:val="en-US" w:eastAsia="zh-CN"/>
                    </w:rPr>
                    <w:t>噪声</w:t>
                  </w:r>
                </w:p>
              </w:tc>
              <w:tc>
                <w:tcPr>
                  <w:tcW w:w="4992" w:type="dxa"/>
                  <w:noWrap w:val="0"/>
                  <w:vAlign w:val="center"/>
                </w:tcPr>
                <w:p w14:paraId="7223F759">
                  <w:pPr>
                    <w:keepNext w:val="0"/>
                    <w:keepLines w:val="0"/>
                    <w:pageBreakBefore w:val="0"/>
                    <w:widowControl w:val="0"/>
                    <w:kinsoku/>
                    <w:wordWrap w:val="0"/>
                    <w:overflowPunct w:val="0"/>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eastAsia="zh-CN"/>
                    </w:rPr>
                  </w:pPr>
                  <w:r>
                    <w:rPr>
                      <w:rFonts w:hint="eastAsia"/>
                      <w:color w:val="auto"/>
                      <w:sz w:val="21"/>
                      <w:szCs w:val="21"/>
                      <w:lang w:val="en-US" w:eastAsia="zh-CN"/>
                    </w:rPr>
                    <w:t>合理安排施工进度和时间、严禁</w:t>
                  </w:r>
                  <w:r>
                    <w:rPr>
                      <w:rFonts w:hint="default"/>
                      <w:color w:val="auto"/>
                      <w:sz w:val="21"/>
                      <w:szCs w:val="21"/>
                    </w:rPr>
                    <w:t>夜间施工</w:t>
                  </w:r>
                  <w:r>
                    <w:rPr>
                      <w:rFonts w:hint="eastAsia"/>
                      <w:color w:val="auto"/>
                      <w:sz w:val="21"/>
                      <w:szCs w:val="21"/>
                      <w:lang w:eastAsia="zh-CN"/>
                    </w:rPr>
                    <w:t>，</w:t>
                  </w:r>
                  <w:r>
                    <w:rPr>
                      <w:rFonts w:hint="default"/>
                      <w:color w:val="auto"/>
                      <w:sz w:val="21"/>
                      <w:szCs w:val="21"/>
                      <w:lang w:val="en-US" w:eastAsia="zh-CN"/>
                    </w:rPr>
                    <w:t>选用低噪声</w:t>
                  </w:r>
                  <w:r>
                    <w:rPr>
                      <w:rFonts w:hint="eastAsia"/>
                      <w:color w:val="auto"/>
                      <w:sz w:val="21"/>
                      <w:szCs w:val="21"/>
                      <w:lang w:val="en-US" w:eastAsia="zh-CN"/>
                    </w:rPr>
                    <w:t>施工</w:t>
                  </w:r>
                  <w:r>
                    <w:rPr>
                      <w:rFonts w:hint="default"/>
                      <w:color w:val="auto"/>
                      <w:sz w:val="21"/>
                      <w:szCs w:val="21"/>
                      <w:lang w:val="en-US" w:eastAsia="zh-CN"/>
                    </w:rPr>
                    <w:t>设备</w:t>
                  </w:r>
                  <w:r>
                    <w:rPr>
                      <w:rFonts w:hint="eastAsia"/>
                      <w:color w:val="auto"/>
                      <w:sz w:val="21"/>
                      <w:szCs w:val="21"/>
                      <w:lang w:val="en-US" w:eastAsia="zh-CN"/>
                    </w:rPr>
                    <w:t>，加强施工机械维护保养、控制车速</w:t>
                  </w:r>
                </w:p>
              </w:tc>
              <w:tc>
                <w:tcPr>
                  <w:tcW w:w="1104" w:type="dxa"/>
                  <w:noWrap w:val="0"/>
                  <w:vAlign w:val="center"/>
                </w:tcPr>
                <w:p w14:paraId="1D51D809">
                  <w:pPr>
                    <w:keepNext w:val="0"/>
                    <w:keepLines w:val="0"/>
                    <w:pageBreakBefore w:val="0"/>
                    <w:widowControl w:val="0"/>
                    <w:kinsoku/>
                    <w:wordWrap w:val="0"/>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r>
                    <w:rPr>
                      <w:rFonts w:hint="eastAsia" w:ascii="Times New Roman" w:hAnsi="Times New Roman" w:cs="Times New Roman"/>
                      <w:color w:val="auto"/>
                      <w:sz w:val="21"/>
                      <w:szCs w:val="21"/>
                      <w:lang w:val="en-US" w:eastAsia="zh-CN"/>
                    </w:rPr>
                    <w:t>.5</w:t>
                  </w:r>
                </w:p>
              </w:tc>
            </w:tr>
            <w:tr w14:paraId="5F21E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8" w:type="dxa"/>
                  <w:noWrap w:val="0"/>
                  <w:vAlign w:val="center"/>
                </w:tcPr>
                <w:p w14:paraId="78F09493">
                  <w:pPr>
                    <w:keepNext w:val="0"/>
                    <w:keepLines w:val="0"/>
                    <w:pageBreakBefore w:val="0"/>
                    <w:widowControl w:val="0"/>
                    <w:kinsoku/>
                    <w:wordWrap w:val="0"/>
                    <w:overflowPunct w:val="0"/>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施工废水</w:t>
                  </w:r>
                </w:p>
              </w:tc>
              <w:tc>
                <w:tcPr>
                  <w:tcW w:w="4992" w:type="dxa"/>
                  <w:noWrap w:val="0"/>
                  <w:vAlign w:val="center"/>
                </w:tcPr>
                <w:p w14:paraId="5D89C10F">
                  <w:pPr>
                    <w:keepNext w:val="0"/>
                    <w:keepLines w:val="0"/>
                    <w:pageBreakBefore w:val="0"/>
                    <w:widowControl w:val="0"/>
                    <w:kinsoku/>
                    <w:wordWrap w:val="0"/>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宋体"/>
                      <w:color w:val="auto"/>
                      <w:spacing w:val="-1"/>
                      <w:sz w:val="21"/>
                      <w:szCs w:val="21"/>
                      <w:lang w:val="en-US" w:eastAsia="zh-CN"/>
                    </w:rPr>
                    <w:t>设临时沉淀池</w:t>
                  </w:r>
                  <w:r>
                    <w:rPr>
                      <w:rFonts w:hint="eastAsia" w:cs="宋体"/>
                      <w:color w:val="auto"/>
                      <w:spacing w:val="-1"/>
                      <w:sz w:val="21"/>
                      <w:szCs w:val="21"/>
                      <w:lang w:val="en-US" w:eastAsia="zh-CN"/>
                    </w:rPr>
                    <w:t>、基坑水集水池等；施工期废水经沉淀池处理后回用，不外排，下层基坑水经沉淀处理后方可排放河道，禁止直接排入河道。临时沉淀池在施工结束后全部拆除。</w:t>
                  </w:r>
                </w:p>
              </w:tc>
              <w:tc>
                <w:tcPr>
                  <w:tcW w:w="1104" w:type="dxa"/>
                  <w:noWrap w:val="0"/>
                  <w:vAlign w:val="center"/>
                </w:tcPr>
                <w:p w14:paraId="1D760B6F">
                  <w:pPr>
                    <w:keepNext w:val="0"/>
                    <w:keepLines w:val="0"/>
                    <w:pageBreakBefore w:val="0"/>
                    <w:widowControl w:val="0"/>
                    <w:kinsoku/>
                    <w:wordWrap w:val="0"/>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p>
              </w:tc>
            </w:tr>
            <w:tr w14:paraId="08F71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768" w:type="dxa"/>
                  <w:vMerge w:val="restart"/>
                  <w:noWrap w:val="0"/>
                  <w:vAlign w:val="center"/>
                </w:tcPr>
                <w:p w14:paraId="13038A84">
                  <w:pPr>
                    <w:keepNext w:val="0"/>
                    <w:keepLines w:val="0"/>
                    <w:pageBreakBefore w:val="0"/>
                    <w:widowControl w:val="0"/>
                    <w:kinsoku/>
                    <w:wordWrap w:val="0"/>
                    <w:overflowPunct w:val="0"/>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施工期</w:t>
                  </w:r>
                  <w:r>
                    <w:rPr>
                      <w:rFonts w:hint="default" w:ascii="Times New Roman" w:hAnsi="Times New Roman" w:cs="Times New Roman"/>
                      <w:color w:val="auto"/>
                      <w:sz w:val="21"/>
                      <w:szCs w:val="21"/>
                    </w:rPr>
                    <w:t>固体废物</w:t>
                  </w:r>
                </w:p>
              </w:tc>
              <w:tc>
                <w:tcPr>
                  <w:tcW w:w="4992" w:type="dxa"/>
                  <w:noWrap w:val="0"/>
                  <w:vAlign w:val="center"/>
                </w:tcPr>
                <w:p w14:paraId="253B3789">
                  <w:pPr>
                    <w:keepNext w:val="0"/>
                    <w:keepLines w:val="0"/>
                    <w:pageBreakBefore w:val="0"/>
                    <w:widowControl w:val="0"/>
                    <w:kinsoku/>
                    <w:wordWrap w:val="0"/>
                    <w:overflowPunct w:val="0"/>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eastAsia="zh-CN"/>
                    </w:rPr>
                  </w:pPr>
                  <w:r>
                    <w:rPr>
                      <w:rFonts w:hint="eastAsia" w:cs="宋体"/>
                      <w:color w:val="auto"/>
                      <w:spacing w:val="-1"/>
                      <w:sz w:val="21"/>
                      <w:szCs w:val="21"/>
                      <w:lang w:val="en-US" w:eastAsia="zh-CN"/>
                    </w:rPr>
                    <w:t>多余弃方</w:t>
                  </w:r>
                  <w:r>
                    <w:rPr>
                      <w:rFonts w:hint="default" w:cs="宋体"/>
                      <w:color w:val="auto"/>
                      <w:spacing w:val="-1"/>
                      <w:sz w:val="21"/>
                      <w:szCs w:val="21"/>
                      <w:lang w:val="en-US" w:eastAsia="zh-CN"/>
                    </w:rPr>
                    <w:t>外运至</w:t>
                  </w:r>
                  <w:r>
                    <w:rPr>
                      <w:rFonts w:hint="eastAsia" w:cs="宋体"/>
                      <w:color w:val="auto"/>
                      <w:spacing w:val="-1"/>
                      <w:sz w:val="21"/>
                      <w:szCs w:val="21"/>
                      <w:lang w:val="en-US" w:eastAsia="zh-CN"/>
                    </w:rPr>
                    <w:t>陇县国有化标准砂石厂综合利用。</w:t>
                  </w:r>
                </w:p>
              </w:tc>
              <w:tc>
                <w:tcPr>
                  <w:tcW w:w="1104" w:type="dxa"/>
                  <w:vMerge w:val="restart"/>
                  <w:noWrap w:val="0"/>
                  <w:vAlign w:val="center"/>
                </w:tcPr>
                <w:p w14:paraId="3D2660F0">
                  <w:pPr>
                    <w:keepNext w:val="0"/>
                    <w:keepLines w:val="0"/>
                    <w:pageBreakBefore w:val="0"/>
                    <w:widowControl w:val="0"/>
                    <w:kinsoku/>
                    <w:wordWrap w:val="0"/>
                    <w:overflowPunct w:val="0"/>
                    <w:topLinePunct w:val="0"/>
                    <w:autoSpaceDE/>
                    <w:autoSpaceDN/>
                    <w:bidi w:val="0"/>
                    <w:adjustRightInd/>
                    <w:snapToGrid/>
                    <w:spacing w:line="240" w:lineRule="auto"/>
                    <w:jc w:val="center"/>
                    <w:textAlignment w:val="auto"/>
                    <w:rPr>
                      <w:rFonts w:hint="default"/>
                      <w:color w:val="auto"/>
                      <w:sz w:val="21"/>
                      <w:szCs w:val="21"/>
                      <w:lang w:val="en-US" w:eastAsia="zh-CN"/>
                    </w:rPr>
                  </w:pPr>
                  <w:r>
                    <w:rPr>
                      <w:rFonts w:hint="eastAsia" w:cs="宋体"/>
                      <w:color w:val="auto"/>
                      <w:spacing w:val="-1"/>
                      <w:sz w:val="21"/>
                      <w:szCs w:val="21"/>
                      <w:lang w:val="en-US" w:eastAsia="zh-CN"/>
                    </w:rPr>
                    <w:t>10</w:t>
                  </w:r>
                </w:p>
              </w:tc>
            </w:tr>
            <w:tr w14:paraId="49EFE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768" w:type="dxa"/>
                  <w:vMerge w:val="continue"/>
                  <w:noWrap w:val="0"/>
                  <w:vAlign w:val="center"/>
                </w:tcPr>
                <w:p w14:paraId="6485F205">
                  <w:pPr>
                    <w:keepNext w:val="0"/>
                    <w:keepLines w:val="0"/>
                    <w:pageBreakBefore w:val="0"/>
                    <w:widowControl w:val="0"/>
                    <w:kinsoku/>
                    <w:wordWrap w:val="0"/>
                    <w:overflowPunct w:val="0"/>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p>
              </w:tc>
              <w:tc>
                <w:tcPr>
                  <w:tcW w:w="4992" w:type="dxa"/>
                  <w:noWrap w:val="0"/>
                  <w:vAlign w:val="center"/>
                </w:tcPr>
                <w:p w14:paraId="718D2191">
                  <w:pPr>
                    <w:numPr>
                      <w:ilvl w:val="0"/>
                      <w:numId w:val="0"/>
                    </w:numPr>
                    <w:ind w:left="0" w:leftChars="0" w:firstLine="0" w:firstLineChars="0"/>
                    <w:jc w:val="center"/>
                    <w:rPr>
                      <w:rFonts w:hint="eastAsia" w:cs="Times New Roman"/>
                      <w:bCs/>
                      <w:color w:val="auto"/>
                      <w:spacing w:val="0"/>
                      <w:sz w:val="21"/>
                      <w:szCs w:val="21"/>
                      <w:lang w:val="en-US" w:eastAsia="zh-CN"/>
                    </w:rPr>
                  </w:pPr>
                  <w:r>
                    <w:rPr>
                      <w:rFonts w:hint="eastAsia" w:ascii="Times New Roman" w:hAnsi="Times New Roman" w:eastAsia="宋体"/>
                      <w:color w:val="auto"/>
                      <w:sz w:val="21"/>
                      <w:szCs w:val="21"/>
                      <w:vertAlign w:val="baseline"/>
                      <w:lang w:val="en-US" w:eastAsia="zh-CN"/>
                    </w:rPr>
                    <w:t>施工产生的建筑废料及时外运</w:t>
                  </w:r>
                  <w:r>
                    <w:rPr>
                      <w:rFonts w:hint="eastAsia"/>
                      <w:color w:val="auto"/>
                      <w:sz w:val="21"/>
                      <w:szCs w:val="21"/>
                      <w:vertAlign w:val="baseline"/>
                      <w:lang w:val="en-US" w:eastAsia="zh-CN"/>
                    </w:rPr>
                    <w:t>至当地建筑垃圾填埋场</w:t>
                  </w:r>
                  <w:r>
                    <w:rPr>
                      <w:rFonts w:hint="eastAsia" w:ascii="Times New Roman" w:hAnsi="Times New Roman" w:eastAsia="宋体"/>
                      <w:color w:val="auto"/>
                      <w:sz w:val="21"/>
                      <w:szCs w:val="21"/>
                      <w:vertAlign w:val="baseline"/>
                      <w:lang w:val="en-US" w:eastAsia="zh-CN"/>
                    </w:rPr>
                    <w:t>，施工结束后要清理施工现场，严禁建筑废料就地堆弃。</w:t>
                  </w:r>
                </w:p>
              </w:tc>
              <w:tc>
                <w:tcPr>
                  <w:tcW w:w="1104" w:type="dxa"/>
                  <w:vMerge w:val="continue"/>
                  <w:noWrap w:val="0"/>
                  <w:vAlign w:val="center"/>
                </w:tcPr>
                <w:p w14:paraId="66F8F93D">
                  <w:pPr>
                    <w:pStyle w:val="20"/>
                    <w:rPr>
                      <w:rFonts w:hint="default"/>
                      <w:color w:val="auto"/>
                      <w:sz w:val="21"/>
                      <w:szCs w:val="21"/>
                      <w:lang w:val="en-US" w:eastAsia="zh-CN"/>
                    </w:rPr>
                  </w:pPr>
                </w:p>
              </w:tc>
            </w:tr>
            <w:tr w14:paraId="6D1E9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768" w:type="dxa"/>
                  <w:vMerge w:val="continue"/>
                  <w:noWrap w:val="0"/>
                  <w:vAlign w:val="center"/>
                </w:tcPr>
                <w:p w14:paraId="5CB114C1">
                  <w:pPr>
                    <w:keepNext w:val="0"/>
                    <w:keepLines w:val="0"/>
                    <w:pageBreakBefore w:val="0"/>
                    <w:widowControl w:val="0"/>
                    <w:kinsoku/>
                    <w:wordWrap w:val="0"/>
                    <w:overflowPunct w:val="0"/>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p>
              </w:tc>
              <w:tc>
                <w:tcPr>
                  <w:tcW w:w="4992" w:type="dxa"/>
                  <w:noWrap w:val="0"/>
                  <w:vAlign w:val="center"/>
                </w:tcPr>
                <w:p w14:paraId="43E04265">
                  <w:pPr>
                    <w:numPr>
                      <w:ilvl w:val="0"/>
                      <w:numId w:val="0"/>
                    </w:numPr>
                    <w:ind w:left="0" w:leftChars="0" w:firstLine="0" w:firstLineChars="0"/>
                    <w:jc w:val="center"/>
                    <w:rPr>
                      <w:rFonts w:hint="eastAsia" w:cs="Times New Roman"/>
                      <w:bCs/>
                      <w:color w:val="auto"/>
                      <w:spacing w:val="0"/>
                      <w:sz w:val="21"/>
                      <w:szCs w:val="21"/>
                      <w:lang w:val="en-US" w:eastAsia="zh-CN"/>
                    </w:rPr>
                  </w:pPr>
                  <w:r>
                    <w:rPr>
                      <w:rFonts w:hint="default" w:ascii="Times New Roman" w:hAnsi="Times New Roman" w:eastAsia="宋体"/>
                      <w:color w:val="auto"/>
                      <w:sz w:val="21"/>
                      <w:szCs w:val="21"/>
                      <w:vertAlign w:val="baseline"/>
                      <w:lang w:val="en-US" w:eastAsia="zh-CN"/>
                    </w:rPr>
                    <w:t>生活垃圾设置垃圾桶，收集后交由环卫部门统一处置</w:t>
                  </w:r>
                  <w:r>
                    <w:rPr>
                      <w:rFonts w:hint="eastAsia"/>
                      <w:color w:val="auto"/>
                      <w:sz w:val="21"/>
                      <w:szCs w:val="21"/>
                      <w:vertAlign w:val="baseline"/>
                      <w:lang w:val="en-US" w:eastAsia="zh-CN"/>
                    </w:rPr>
                    <w:t>。</w:t>
                  </w:r>
                </w:p>
              </w:tc>
              <w:tc>
                <w:tcPr>
                  <w:tcW w:w="1104" w:type="dxa"/>
                  <w:vMerge w:val="continue"/>
                  <w:noWrap w:val="0"/>
                  <w:vAlign w:val="center"/>
                </w:tcPr>
                <w:p w14:paraId="639715FC">
                  <w:pPr>
                    <w:keepNext w:val="0"/>
                    <w:keepLines w:val="0"/>
                    <w:pageBreakBefore w:val="0"/>
                    <w:widowControl w:val="0"/>
                    <w:kinsoku/>
                    <w:wordWrap w:val="0"/>
                    <w:overflowPunct w:val="0"/>
                    <w:topLinePunct w:val="0"/>
                    <w:autoSpaceDE/>
                    <w:autoSpaceDN/>
                    <w:bidi w:val="0"/>
                    <w:adjustRightInd/>
                    <w:snapToGrid/>
                    <w:spacing w:line="240" w:lineRule="auto"/>
                    <w:jc w:val="center"/>
                    <w:textAlignment w:val="auto"/>
                    <w:rPr>
                      <w:rFonts w:hint="eastAsia" w:cs="Times New Roman"/>
                      <w:color w:val="auto"/>
                      <w:sz w:val="21"/>
                      <w:szCs w:val="21"/>
                      <w:lang w:val="en-US" w:eastAsia="zh-CN"/>
                    </w:rPr>
                  </w:pPr>
                </w:p>
              </w:tc>
            </w:tr>
            <w:tr w14:paraId="36ED7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768" w:type="dxa"/>
                  <w:noWrap w:val="0"/>
                  <w:vAlign w:val="center"/>
                </w:tcPr>
                <w:p w14:paraId="2022D8A1">
                  <w:pPr>
                    <w:keepNext w:val="0"/>
                    <w:keepLines w:val="0"/>
                    <w:pageBreakBefore w:val="0"/>
                    <w:widowControl w:val="0"/>
                    <w:kinsoku/>
                    <w:wordWrap w:val="0"/>
                    <w:overflowPunct w:val="0"/>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生态环境</w:t>
                  </w:r>
                </w:p>
              </w:tc>
              <w:tc>
                <w:tcPr>
                  <w:tcW w:w="4992" w:type="dxa"/>
                  <w:noWrap w:val="0"/>
                  <w:vAlign w:val="center"/>
                </w:tcPr>
                <w:p w14:paraId="6F376B1C">
                  <w:pPr>
                    <w:keepNext w:val="0"/>
                    <w:keepLines w:val="0"/>
                    <w:pageBreakBefore w:val="0"/>
                    <w:widowControl w:val="0"/>
                    <w:kinsoku/>
                    <w:wordWrap w:val="0"/>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sz w:val="21"/>
                      <w:szCs w:val="21"/>
                      <w:vertAlign w:val="baseline"/>
                      <w:lang w:val="en-US" w:eastAsia="zh-CN"/>
                    </w:rPr>
                    <w:t>严格控制施工范围，加强施工管理，尽量减少临时占地，细化施工组织设计；加强施工人员宣传教育，严禁破坏环境；临时占地采取水土保持措施，施工结束后按照相关规定对临时占地进行恢复</w:t>
                  </w:r>
                  <w:r>
                    <w:rPr>
                      <w:rFonts w:hint="eastAsia"/>
                      <w:color w:val="auto"/>
                      <w:sz w:val="21"/>
                      <w:szCs w:val="21"/>
                      <w:vertAlign w:val="baseline"/>
                      <w:lang w:val="en-US" w:eastAsia="zh-CN"/>
                    </w:rPr>
                    <w:t>，湿地管理。</w:t>
                  </w:r>
                </w:p>
              </w:tc>
              <w:tc>
                <w:tcPr>
                  <w:tcW w:w="1104" w:type="dxa"/>
                  <w:noWrap w:val="0"/>
                  <w:vAlign w:val="center"/>
                </w:tcPr>
                <w:p w14:paraId="5C8C6FFC">
                  <w:pPr>
                    <w:keepNext w:val="0"/>
                    <w:keepLines w:val="0"/>
                    <w:pageBreakBefore w:val="0"/>
                    <w:widowControl w:val="0"/>
                    <w:kinsoku/>
                    <w:wordWrap w:val="0"/>
                    <w:overflowPunct w:val="0"/>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12.5</w:t>
                  </w:r>
                </w:p>
              </w:tc>
            </w:tr>
            <w:tr w14:paraId="2119F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760" w:type="dxa"/>
                  <w:gridSpan w:val="2"/>
                  <w:noWrap w:val="0"/>
                  <w:vAlign w:val="center"/>
                </w:tcPr>
                <w:p w14:paraId="4E0DD9F7">
                  <w:pPr>
                    <w:keepNext w:val="0"/>
                    <w:keepLines w:val="0"/>
                    <w:pageBreakBefore w:val="0"/>
                    <w:widowControl w:val="0"/>
                    <w:kinsoku/>
                    <w:wordWrap w:val="0"/>
                    <w:overflowPunct w:val="0"/>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合计</w:t>
                  </w:r>
                </w:p>
              </w:tc>
              <w:tc>
                <w:tcPr>
                  <w:tcW w:w="1104" w:type="dxa"/>
                  <w:noWrap w:val="0"/>
                  <w:vAlign w:val="center"/>
                </w:tcPr>
                <w:p w14:paraId="160225A7">
                  <w:pPr>
                    <w:keepNext w:val="0"/>
                    <w:keepLines w:val="0"/>
                    <w:pageBreakBefore w:val="0"/>
                    <w:widowControl w:val="0"/>
                    <w:kinsoku/>
                    <w:wordWrap w:val="0"/>
                    <w:overflowPunct w:val="0"/>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fldChar w:fldCharType="begin"/>
                  </w:r>
                  <w:r>
                    <w:rPr>
                      <w:rFonts w:hint="default" w:ascii="Times New Roman" w:hAnsi="Times New Roman" w:cs="Times New Roman"/>
                      <w:color w:val="auto"/>
                      <w:sz w:val="21"/>
                      <w:szCs w:val="21"/>
                      <w:lang w:val="en-US" w:eastAsia="zh-CN"/>
                    </w:rPr>
                    <w:instrText xml:space="preserve"> = sum(C2:C8) \* MERGEFORMAT </w:instrText>
                  </w:r>
                  <w:r>
                    <w:rPr>
                      <w:rFonts w:hint="default" w:ascii="Times New Roman" w:hAnsi="Times New Roman" w:cs="Times New Roman"/>
                      <w:color w:val="auto"/>
                      <w:sz w:val="21"/>
                      <w:szCs w:val="21"/>
                      <w:lang w:val="en-US" w:eastAsia="zh-CN"/>
                    </w:rPr>
                    <w:fldChar w:fldCharType="separate"/>
                  </w:r>
                  <w:r>
                    <w:rPr>
                      <w:rFonts w:hint="default" w:ascii="Times New Roman" w:hAnsi="Times New Roman" w:cs="Times New Roman"/>
                      <w:color w:val="auto"/>
                      <w:sz w:val="21"/>
                      <w:szCs w:val="21"/>
                      <w:lang w:val="en-US" w:eastAsia="zh-CN"/>
                    </w:rPr>
                    <w:t>36.5</w:t>
                  </w:r>
                  <w:r>
                    <w:rPr>
                      <w:rFonts w:hint="default" w:ascii="Times New Roman" w:hAnsi="Times New Roman" w:cs="Times New Roman"/>
                      <w:color w:val="auto"/>
                      <w:sz w:val="21"/>
                      <w:szCs w:val="21"/>
                      <w:lang w:val="en-US" w:eastAsia="zh-CN"/>
                    </w:rPr>
                    <w:fldChar w:fldCharType="end"/>
                  </w:r>
                </w:p>
              </w:tc>
            </w:tr>
          </w:tbl>
          <w:p w14:paraId="42BA389A">
            <w:pPr>
              <w:pStyle w:val="28"/>
              <w:rPr>
                <w:rFonts w:hint="default" w:ascii="Times New Roman" w:hAnsi="Times New Roman" w:cs="Times New Roman"/>
                <w:color w:val="auto"/>
                <w:sz w:val="24"/>
                <w:szCs w:val="24"/>
              </w:rPr>
            </w:pPr>
          </w:p>
          <w:p w14:paraId="4D5A99F4">
            <w:pPr>
              <w:pStyle w:val="28"/>
              <w:rPr>
                <w:rFonts w:hint="default" w:ascii="Times New Roman" w:hAnsi="Times New Roman" w:cs="Times New Roman"/>
                <w:color w:val="auto"/>
                <w:sz w:val="24"/>
                <w:szCs w:val="24"/>
              </w:rPr>
            </w:pPr>
          </w:p>
          <w:p w14:paraId="625B7068">
            <w:pPr>
              <w:pStyle w:val="28"/>
              <w:rPr>
                <w:rFonts w:hint="default" w:ascii="Times New Roman" w:hAnsi="Times New Roman" w:cs="Times New Roman"/>
                <w:color w:val="auto"/>
                <w:sz w:val="24"/>
                <w:szCs w:val="24"/>
              </w:rPr>
            </w:pPr>
          </w:p>
          <w:p w14:paraId="30D8E7A0">
            <w:pPr>
              <w:pStyle w:val="28"/>
              <w:rPr>
                <w:rFonts w:hint="default" w:ascii="Times New Roman" w:hAnsi="Times New Roman" w:cs="Times New Roman"/>
                <w:color w:val="auto"/>
                <w:sz w:val="24"/>
                <w:szCs w:val="24"/>
              </w:rPr>
            </w:pPr>
          </w:p>
          <w:p w14:paraId="159B2DDB">
            <w:pPr>
              <w:pStyle w:val="28"/>
              <w:rPr>
                <w:rFonts w:hint="default" w:ascii="Times New Roman" w:hAnsi="Times New Roman" w:cs="Times New Roman"/>
                <w:color w:val="auto"/>
                <w:sz w:val="24"/>
                <w:szCs w:val="24"/>
              </w:rPr>
            </w:pPr>
          </w:p>
          <w:p w14:paraId="359F9537">
            <w:pPr>
              <w:pStyle w:val="28"/>
              <w:rPr>
                <w:rFonts w:hint="default" w:ascii="Times New Roman" w:hAnsi="Times New Roman" w:cs="Times New Roman"/>
                <w:color w:val="auto"/>
                <w:sz w:val="24"/>
                <w:szCs w:val="24"/>
              </w:rPr>
            </w:pPr>
          </w:p>
          <w:p w14:paraId="1372942E">
            <w:pPr>
              <w:pStyle w:val="28"/>
              <w:rPr>
                <w:rFonts w:hint="default" w:ascii="Times New Roman" w:hAnsi="Times New Roman" w:cs="Times New Roman"/>
                <w:color w:val="auto"/>
                <w:sz w:val="24"/>
                <w:szCs w:val="24"/>
              </w:rPr>
            </w:pPr>
          </w:p>
          <w:p w14:paraId="2EE371F5">
            <w:pPr>
              <w:pStyle w:val="28"/>
              <w:rPr>
                <w:rFonts w:hint="default" w:ascii="Times New Roman" w:hAnsi="Times New Roman" w:cs="Times New Roman"/>
                <w:color w:val="auto"/>
                <w:sz w:val="24"/>
                <w:szCs w:val="24"/>
              </w:rPr>
            </w:pPr>
          </w:p>
          <w:p w14:paraId="0C7D2190">
            <w:pPr>
              <w:pStyle w:val="28"/>
              <w:rPr>
                <w:rFonts w:hint="default" w:ascii="Times New Roman" w:hAnsi="Times New Roman" w:cs="Times New Roman"/>
                <w:color w:val="auto"/>
                <w:sz w:val="24"/>
                <w:szCs w:val="24"/>
              </w:rPr>
            </w:pPr>
          </w:p>
          <w:p w14:paraId="7C36C6F9">
            <w:pPr>
              <w:pStyle w:val="28"/>
              <w:rPr>
                <w:rFonts w:hint="default" w:ascii="Times New Roman" w:hAnsi="Times New Roman" w:cs="Times New Roman"/>
                <w:color w:val="auto"/>
                <w:sz w:val="24"/>
                <w:szCs w:val="24"/>
              </w:rPr>
            </w:pPr>
          </w:p>
          <w:p w14:paraId="5E7261C6">
            <w:pPr>
              <w:pStyle w:val="28"/>
              <w:rPr>
                <w:rFonts w:hint="default" w:ascii="Times New Roman" w:hAnsi="Times New Roman" w:cs="Times New Roman"/>
                <w:color w:val="auto"/>
                <w:sz w:val="24"/>
                <w:szCs w:val="24"/>
              </w:rPr>
            </w:pPr>
          </w:p>
          <w:p w14:paraId="6102E225">
            <w:pPr>
              <w:pStyle w:val="28"/>
              <w:rPr>
                <w:rFonts w:hint="default" w:ascii="Times New Roman" w:hAnsi="Times New Roman" w:cs="Times New Roman"/>
                <w:color w:val="auto"/>
                <w:sz w:val="24"/>
                <w:szCs w:val="24"/>
              </w:rPr>
            </w:pPr>
          </w:p>
          <w:p w14:paraId="2DFC7934">
            <w:pPr>
              <w:pStyle w:val="28"/>
              <w:rPr>
                <w:rFonts w:hint="default" w:ascii="Times New Roman" w:hAnsi="Times New Roman" w:cs="Times New Roman"/>
                <w:color w:val="auto"/>
                <w:sz w:val="24"/>
                <w:szCs w:val="24"/>
              </w:rPr>
            </w:pPr>
          </w:p>
          <w:p w14:paraId="54F1D88F">
            <w:pPr>
              <w:pStyle w:val="28"/>
              <w:rPr>
                <w:rFonts w:hint="default" w:ascii="Times New Roman" w:hAnsi="Times New Roman" w:cs="Times New Roman"/>
                <w:color w:val="auto"/>
                <w:sz w:val="24"/>
                <w:szCs w:val="24"/>
              </w:rPr>
            </w:pPr>
          </w:p>
          <w:p w14:paraId="5228AB7F">
            <w:pPr>
              <w:pStyle w:val="28"/>
              <w:rPr>
                <w:rFonts w:hint="default" w:ascii="Times New Roman" w:hAnsi="Times New Roman" w:cs="Times New Roman"/>
                <w:color w:val="auto"/>
                <w:sz w:val="24"/>
                <w:szCs w:val="24"/>
              </w:rPr>
            </w:pPr>
          </w:p>
          <w:p w14:paraId="6CF680E8">
            <w:pPr>
              <w:pStyle w:val="28"/>
              <w:rPr>
                <w:rFonts w:hint="default" w:ascii="Times New Roman" w:hAnsi="Times New Roman" w:cs="Times New Roman"/>
                <w:color w:val="auto"/>
                <w:sz w:val="24"/>
                <w:szCs w:val="24"/>
              </w:rPr>
            </w:pPr>
          </w:p>
          <w:p w14:paraId="41B5367E">
            <w:pPr>
              <w:pStyle w:val="28"/>
              <w:rPr>
                <w:rFonts w:hint="default" w:ascii="Times New Roman" w:hAnsi="Times New Roman" w:cs="Times New Roman"/>
                <w:color w:val="auto"/>
                <w:sz w:val="24"/>
                <w:szCs w:val="24"/>
              </w:rPr>
            </w:pPr>
          </w:p>
          <w:p w14:paraId="13FDC2BD">
            <w:pPr>
              <w:pStyle w:val="28"/>
              <w:rPr>
                <w:rFonts w:hint="default" w:ascii="Times New Roman" w:hAnsi="Times New Roman" w:cs="Times New Roman"/>
                <w:color w:val="auto"/>
                <w:sz w:val="24"/>
                <w:szCs w:val="24"/>
              </w:rPr>
            </w:pPr>
          </w:p>
          <w:p w14:paraId="26DEFAF5">
            <w:pPr>
              <w:pStyle w:val="28"/>
              <w:rPr>
                <w:rFonts w:hint="default" w:ascii="Times New Roman" w:hAnsi="Times New Roman" w:cs="Times New Roman"/>
                <w:color w:val="auto"/>
                <w:sz w:val="24"/>
                <w:szCs w:val="24"/>
              </w:rPr>
            </w:pPr>
          </w:p>
          <w:p w14:paraId="71702523">
            <w:pPr>
              <w:pStyle w:val="28"/>
              <w:rPr>
                <w:rFonts w:hint="default" w:ascii="Times New Roman" w:hAnsi="Times New Roman" w:cs="Times New Roman"/>
                <w:color w:val="auto"/>
                <w:sz w:val="24"/>
                <w:szCs w:val="24"/>
              </w:rPr>
            </w:pPr>
          </w:p>
          <w:p w14:paraId="4FCDA713">
            <w:pPr>
              <w:pStyle w:val="28"/>
              <w:jc w:val="both"/>
              <w:rPr>
                <w:rFonts w:hint="default" w:ascii="Times New Roman" w:hAnsi="Times New Roman" w:cs="Times New Roman"/>
                <w:color w:val="auto"/>
                <w:sz w:val="24"/>
                <w:szCs w:val="24"/>
              </w:rPr>
            </w:pPr>
          </w:p>
          <w:p w14:paraId="14A359E2">
            <w:pPr>
              <w:pStyle w:val="20"/>
              <w:rPr>
                <w:rFonts w:hint="default" w:ascii="Times New Roman" w:hAnsi="Times New Roman" w:eastAsia="宋体" w:cs="Times New Roman"/>
                <w:color w:val="auto"/>
                <w:kern w:val="0"/>
                <w:sz w:val="24"/>
                <w:szCs w:val="24"/>
                <w:lang w:val="en-US" w:eastAsia="zh-CN" w:bidi="ar"/>
              </w:rPr>
            </w:pPr>
          </w:p>
        </w:tc>
      </w:tr>
    </w:tbl>
    <w:p w14:paraId="60D5418A">
      <w:pPr>
        <w:pStyle w:val="15"/>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黑体" w:hAnsi="黑体" w:eastAsia="黑体"/>
          <w:snapToGrid w:val="0"/>
          <w:color w:val="auto"/>
          <w:sz w:val="30"/>
          <w:szCs w:val="30"/>
          <w:lang w:val="en-US" w:eastAsia="zh-CN"/>
        </w:rPr>
        <w:sectPr>
          <w:pgSz w:w="11905" w:h="16838"/>
          <w:pgMar w:top="1701" w:right="1531" w:bottom="1701" w:left="1531" w:header="851" w:footer="850" w:gutter="0"/>
          <w:pgBorders>
            <w:top w:val="none" w:sz="0" w:space="0"/>
            <w:left w:val="none" w:sz="0" w:space="0"/>
            <w:bottom w:val="none" w:sz="0" w:space="0"/>
            <w:right w:val="none" w:sz="0" w:space="0"/>
          </w:pgBorders>
          <w:pgNumType w:fmt="decimal"/>
          <w:cols w:space="720" w:num="1"/>
          <w:rtlGutter w:val="0"/>
          <w:docGrid w:linePitch="312" w:charSpace="0"/>
        </w:sectPr>
      </w:pPr>
    </w:p>
    <w:p w14:paraId="085AA691">
      <w:pPr>
        <w:pStyle w:val="15"/>
        <w:keepNext w:val="0"/>
        <w:keepLines w:val="0"/>
        <w:pageBreakBefore w:val="0"/>
        <w:widowControl w:val="0"/>
        <w:kinsoku/>
        <w:wordWrap/>
        <w:overflowPunct/>
        <w:topLinePunct w:val="0"/>
        <w:autoSpaceDE/>
        <w:autoSpaceDN/>
        <w:bidi w:val="0"/>
        <w:adjustRightInd/>
        <w:snapToGrid/>
        <w:jc w:val="center"/>
        <w:textAlignment w:val="auto"/>
        <w:outlineLvl w:val="0"/>
        <w:rPr>
          <w:rFonts w:ascii="黑体" w:hAnsi="黑体" w:eastAsia="黑体"/>
          <w:snapToGrid w:val="0"/>
          <w:color w:val="auto"/>
          <w:sz w:val="30"/>
          <w:szCs w:val="30"/>
        </w:rPr>
      </w:pPr>
      <w:r>
        <w:rPr>
          <w:rFonts w:hint="eastAsia" w:ascii="黑体" w:hAnsi="黑体" w:eastAsia="黑体"/>
          <w:snapToGrid w:val="0"/>
          <w:color w:val="auto"/>
          <w:sz w:val="30"/>
          <w:szCs w:val="30"/>
          <w:lang w:val="en-US" w:eastAsia="zh-CN"/>
        </w:rPr>
        <w:t>六</w:t>
      </w:r>
      <w:r>
        <w:rPr>
          <w:rFonts w:hint="eastAsia" w:ascii="黑体" w:hAnsi="黑体" w:eastAsia="黑体"/>
          <w:snapToGrid w:val="0"/>
          <w:color w:val="auto"/>
          <w:sz w:val="30"/>
          <w:szCs w:val="30"/>
        </w:rPr>
        <w:t>、</w:t>
      </w:r>
      <w:bookmarkStart w:id="10" w:name="_Hlk54167917"/>
      <w:r>
        <w:rPr>
          <w:rFonts w:hint="eastAsia" w:ascii="黑体" w:hAnsi="黑体" w:eastAsia="黑体"/>
          <w:snapToGrid w:val="0"/>
          <w:color w:val="auto"/>
          <w:sz w:val="30"/>
          <w:szCs w:val="30"/>
          <w:lang w:val="en-US" w:eastAsia="zh-CN"/>
        </w:rPr>
        <w:t>生态</w:t>
      </w:r>
      <w:r>
        <w:rPr>
          <w:rFonts w:hint="eastAsia" w:ascii="黑体" w:hAnsi="黑体" w:eastAsia="黑体"/>
          <w:snapToGrid w:val="0"/>
          <w:color w:val="auto"/>
          <w:sz w:val="30"/>
          <w:szCs w:val="30"/>
        </w:rPr>
        <w:t>环境保护措施监督检查清单</w:t>
      </w:r>
      <w:bookmarkEnd w:id="10"/>
    </w:p>
    <w:tbl>
      <w:tblPr>
        <w:tblStyle w:val="16"/>
        <w:tblW w:w="893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3591"/>
        <w:gridCol w:w="1972"/>
        <w:gridCol w:w="1067"/>
        <w:gridCol w:w="829"/>
      </w:tblGrid>
      <w:tr w14:paraId="1D3A15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479" w:type="dxa"/>
            <w:vMerge w:val="restart"/>
            <w:tcBorders>
              <w:tl2br w:val="single" w:color="auto" w:sz="4" w:space="0"/>
            </w:tcBorders>
            <w:noWrap w:val="0"/>
            <w:vAlign w:val="top"/>
          </w:tcPr>
          <w:p w14:paraId="2F7D03CF">
            <w:pPr>
              <w:keepNext w:val="0"/>
              <w:keepLines w:val="0"/>
              <w:pageBreakBefore w:val="0"/>
              <w:widowControl w:val="0"/>
              <w:kinsoku/>
              <w:wordWrap/>
              <w:overflowPunct w:val="0"/>
              <w:topLinePunct/>
              <w:autoSpaceDE/>
              <w:autoSpaceDN/>
              <w:bidi w:val="0"/>
              <w:adjustRightInd/>
              <w:snapToGrid/>
              <w:spacing w:line="500" w:lineRule="exact"/>
              <w:ind w:firstLine="720" w:firstLineChars="300"/>
              <w:textAlignment w:val="auto"/>
              <w:rPr>
                <w:color w:val="auto"/>
                <w:spacing w:val="0"/>
                <w:sz w:val="24"/>
                <w:szCs w:val="24"/>
              </w:rPr>
            </w:pPr>
            <w:r>
              <w:rPr>
                <w:color w:val="auto"/>
                <w:spacing w:val="0"/>
                <w:sz w:val="24"/>
                <w:szCs w:val="24"/>
              </w:rPr>
              <w:t>内容</w:t>
            </w:r>
          </w:p>
          <w:p w14:paraId="7C1271C8">
            <w:pPr>
              <w:keepNext w:val="0"/>
              <w:keepLines w:val="0"/>
              <w:pageBreakBefore w:val="0"/>
              <w:widowControl w:val="0"/>
              <w:kinsoku/>
              <w:wordWrap/>
              <w:overflowPunct w:val="0"/>
              <w:topLinePunct/>
              <w:autoSpaceDE/>
              <w:autoSpaceDN/>
              <w:bidi w:val="0"/>
              <w:adjustRightInd/>
              <w:snapToGrid/>
              <w:spacing w:line="500" w:lineRule="exact"/>
              <w:textAlignment w:val="auto"/>
              <w:rPr>
                <w:color w:val="auto"/>
                <w:spacing w:val="0"/>
                <w:sz w:val="24"/>
                <w:szCs w:val="24"/>
              </w:rPr>
            </w:pPr>
            <w:r>
              <w:rPr>
                <w:color w:val="auto"/>
                <w:spacing w:val="0"/>
                <w:sz w:val="24"/>
                <w:szCs w:val="24"/>
              </w:rPr>
              <w:t>要素</w:t>
            </w:r>
          </w:p>
        </w:tc>
        <w:tc>
          <w:tcPr>
            <w:tcW w:w="5563" w:type="dxa"/>
            <w:gridSpan w:val="2"/>
            <w:noWrap w:val="0"/>
            <w:vAlign w:val="center"/>
          </w:tcPr>
          <w:p w14:paraId="37711D5C">
            <w:pPr>
              <w:keepNext w:val="0"/>
              <w:keepLines w:val="0"/>
              <w:pageBreakBefore w:val="0"/>
              <w:widowControl w:val="0"/>
              <w:kinsoku/>
              <w:wordWrap/>
              <w:overflowPunct w:val="0"/>
              <w:topLinePunct/>
              <w:autoSpaceDE/>
              <w:autoSpaceDN/>
              <w:bidi w:val="0"/>
              <w:adjustRightInd/>
              <w:snapToGrid/>
              <w:spacing w:line="500" w:lineRule="exact"/>
              <w:jc w:val="center"/>
              <w:textAlignment w:val="auto"/>
              <w:rPr>
                <w:rFonts w:hint="eastAsia" w:eastAsia="宋体"/>
                <w:color w:val="auto"/>
                <w:spacing w:val="0"/>
                <w:sz w:val="24"/>
                <w:szCs w:val="24"/>
                <w:lang w:val="en-US" w:eastAsia="zh-CN"/>
              </w:rPr>
            </w:pPr>
            <w:r>
              <w:rPr>
                <w:rFonts w:hint="eastAsia"/>
                <w:color w:val="auto"/>
                <w:spacing w:val="0"/>
                <w:sz w:val="24"/>
                <w:szCs w:val="24"/>
                <w:lang w:val="en-US" w:eastAsia="zh-CN"/>
              </w:rPr>
              <w:t>施工期</w:t>
            </w:r>
          </w:p>
        </w:tc>
        <w:tc>
          <w:tcPr>
            <w:tcW w:w="1896" w:type="dxa"/>
            <w:gridSpan w:val="2"/>
            <w:noWrap w:val="0"/>
            <w:vAlign w:val="center"/>
          </w:tcPr>
          <w:p w14:paraId="1259E859">
            <w:pPr>
              <w:keepNext w:val="0"/>
              <w:keepLines w:val="0"/>
              <w:pageBreakBefore w:val="0"/>
              <w:widowControl w:val="0"/>
              <w:kinsoku/>
              <w:wordWrap/>
              <w:overflowPunct w:val="0"/>
              <w:topLinePunct/>
              <w:autoSpaceDE/>
              <w:autoSpaceDN/>
              <w:bidi w:val="0"/>
              <w:adjustRightInd/>
              <w:snapToGrid/>
              <w:spacing w:line="500" w:lineRule="exact"/>
              <w:jc w:val="center"/>
              <w:textAlignment w:val="auto"/>
              <w:rPr>
                <w:rFonts w:hint="eastAsia" w:eastAsia="宋体"/>
                <w:color w:val="auto"/>
                <w:spacing w:val="0"/>
                <w:sz w:val="24"/>
                <w:szCs w:val="24"/>
                <w:lang w:val="en-US" w:eastAsia="zh-CN"/>
              </w:rPr>
            </w:pPr>
            <w:r>
              <w:rPr>
                <w:rFonts w:hint="eastAsia"/>
                <w:color w:val="auto"/>
                <w:spacing w:val="0"/>
                <w:sz w:val="24"/>
                <w:szCs w:val="24"/>
                <w:lang w:val="en-US" w:eastAsia="zh-CN"/>
              </w:rPr>
              <w:t>运营期</w:t>
            </w:r>
          </w:p>
        </w:tc>
      </w:tr>
      <w:tr w14:paraId="078F8C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1479" w:type="dxa"/>
            <w:vMerge w:val="continue"/>
            <w:noWrap w:val="0"/>
            <w:vAlign w:val="center"/>
          </w:tcPr>
          <w:p w14:paraId="413FD379">
            <w:pPr>
              <w:keepNext w:val="0"/>
              <w:keepLines w:val="0"/>
              <w:pageBreakBefore w:val="0"/>
              <w:widowControl w:val="0"/>
              <w:kinsoku/>
              <w:wordWrap/>
              <w:overflowPunct w:val="0"/>
              <w:topLinePunct/>
              <w:autoSpaceDE/>
              <w:autoSpaceDN/>
              <w:bidi w:val="0"/>
              <w:adjustRightInd/>
              <w:snapToGrid/>
              <w:spacing w:line="500" w:lineRule="exact"/>
              <w:jc w:val="center"/>
              <w:textAlignment w:val="auto"/>
              <w:rPr>
                <w:color w:val="auto"/>
                <w:spacing w:val="0"/>
                <w:sz w:val="24"/>
                <w:szCs w:val="24"/>
              </w:rPr>
            </w:pPr>
          </w:p>
        </w:tc>
        <w:tc>
          <w:tcPr>
            <w:tcW w:w="3591" w:type="dxa"/>
            <w:noWrap w:val="0"/>
            <w:vAlign w:val="center"/>
          </w:tcPr>
          <w:p w14:paraId="2050B42D">
            <w:pPr>
              <w:pStyle w:val="31"/>
              <w:keepNext w:val="0"/>
              <w:keepLines w:val="0"/>
              <w:pageBreakBefore w:val="0"/>
              <w:widowControl w:val="0"/>
              <w:kinsoku/>
              <w:wordWrap/>
              <w:overflowPunct w:val="0"/>
              <w:topLinePunct/>
              <w:autoSpaceDE/>
              <w:autoSpaceDN/>
              <w:bidi w:val="0"/>
              <w:adjustRightInd/>
              <w:snapToGrid/>
              <w:spacing w:before="0" w:after="0" w:line="240" w:lineRule="auto"/>
              <w:ind w:firstLine="0" w:firstLineChars="0"/>
              <w:jc w:val="center"/>
              <w:rPr>
                <w:rFonts w:hint="default" w:ascii="Times New Roman" w:hAnsi="Times New Roman" w:eastAsia="宋体" w:cs="Times New Roman"/>
                <w:b w:val="0"/>
                <w:bCs/>
                <w:color w:val="auto"/>
                <w:spacing w:val="0"/>
                <w:sz w:val="24"/>
                <w:szCs w:val="24"/>
                <w:lang w:val="en-US" w:eastAsia="zh-CN"/>
              </w:rPr>
            </w:pPr>
            <w:r>
              <w:rPr>
                <w:rFonts w:hint="eastAsia" w:ascii="Times New Roman" w:hAnsi="Times New Roman" w:eastAsia="宋体" w:cs="Times New Roman"/>
                <w:b w:val="0"/>
                <w:bCs/>
                <w:color w:val="auto"/>
                <w:spacing w:val="0"/>
                <w:sz w:val="24"/>
                <w:szCs w:val="24"/>
                <w:lang w:val="en-US" w:eastAsia="zh-CN"/>
              </w:rPr>
              <w:t>环境保护措施</w:t>
            </w:r>
          </w:p>
        </w:tc>
        <w:tc>
          <w:tcPr>
            <w:tcW w:w="1972" w:type="dxa"/>
            <w:noWrap w:val="0"/>
            <w:vAlign w:val="center"/>
          </w:tcPr>
          <w:p w14:paraId="6FDCF883">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color w:val="auto"/>
                <w:spacing w:val="0"/>
                <w:kern w:val="2"/>
                <w:sz w:val="24"/>
                <w:szCs w:val="24"/>
                <w:lang w:val="en-US" w:eastAsia="zh-CN" w:bidi="ar-SA"/>
              </w:rPr>
            </w:pPr>
            <w:r>
              <w:rPr>
                <w:rFonts w:hint="eastAsia"/>
                <w:color w:val="auto"/>
                <w:spacing w:val="0"/>
                <w:kern w:val="2"/>
                <w:sz w:val="24"/>
                <w:szCs w:val="24"/>
                <w:lang w:val="en-US" w:eastAsia="zh-CN" w:bidi="ar-SA"/>
              </w:rPr>
              <w:t>验收要求</w:t>
            </w:r>
          </w:p>
        </w:tc>
        <w:tc>
          <w:tcPr>
            <w:tcW w:w="1067" w:type="dxa"/>
            <w:noWrap w:val="0"/>
            <w:vAlign w:val="center"/>
          </w:tcPr>
          <w:p w14:paraId="69687CB4">
            <w:pPr>
              <w:pStyle w:val="31"/>
              <w:keepNext w:val="0"/>
              <w:keepLines w:val="0"/>
              <w:pageBreakBefore w:val="0"/>
              <w:widowControl w:val="0"/>
              <w:kinsoku/>
              <w:wordWrap/>
              <w:overflowPunct w:val="0"/>
              <w:topLinePunct/>
              <w:autoSpaceDE/>
              <w:autoSpaceDN/>
              <w:bidi w:val="0"/>
              <w:adjustRightInd/>
              <w:snapToGrid/>
              <w:spacing w:before="0" w:after="0" w:line="240" w:lineRule="auto"/>
              <w:ind w:firstLine="0" w:firstLineChars="0"/>
              <w:jc w:val="center"/>
              <w:rPr>
                <w:rFonts w:hint="default" w:ascii="Times New Roman" w:hAnsi="Times New Roman" w:eastAsia="宋体" w:cs="Times New Roman"/>
                <w:b w:val="0"/>
                <w:bCs/>
                <w:color w:val="auto"/>
                <w:spacing w:val="0"/>
                <w:kern w:val="0"/>
                <w:sz w:val="24"/>
                <w:szCs w:val="24"/>
                <w:lang w:val="en-US" w:eastAsia="zh-CN" w:bidi="ar-SA"/>
              </w:rPr>
            </w:pPr>
            <w:r>
              <w:rPr>
                <w:rFonts w:hint="eastAsia" w:ascii="Times New Roman" w:hAnsi="Times New Roman" w:eastAsia="宋体" w:cs="Times New Roman"/>
                <w:b w:val="0"/>
                <w:bCs/>
                <w:color w:val="auto"/>
                <w:spacing w:val="0"/>
                <w:sz w:val="24"/>
                <w:szCs w:val="24"/>
                <w:lang w:val="en-US" w:eastAsia="zh-CN"/>
              </w:rPr>
              <w:t>环境保护措施</w:t>
            </w:r>
          </w:p>
        </w:tc>
        <w:tc>
          <w:tcPr>
            <w:tcW w:w="829" w:type="dxa"/>
            <w:noWrap w:val="0"/>
            <w:vAlign w:val="center"/>
          </w:tcPr>
          <w:p w14:paraId="489A8140">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color w:val="auto"/>
                <w:spacing w:val="0"/>
                <w:kern w:val="2"/>
                <w:sz w:val="24"/>
                <w:szCs w:val="24"/>
                <w:lang w:val="en-US" w:eastAsia="zh-CN" w:bidi="ar-SA"/>
              </w:rPr>
            </w:pPr>
            <w:r>
              <w:rPr>
                <w:rFonts w:hint="eastAsia"/>
                <w:color w:val="auto"/>
                <w:spacing w:val="0"/>
                <w:kern w:val="2"/>
                <w:sz w:val="24"/>
                <w:szCs w:val="24"/>
                <w:lang w:val="en-US" w:eastAsia="zh-CN" w:bidi="ar-SA"/>
              </w:rPr>
              <w:t>验收要求</w:t>
            </w:r>
          </w:p>
        </w:tc>
      </w:tr>
      <w:tr w14:paraId="6FAA3B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22" w:hRule="atLeast"/>
          <w:jc w:val="center"/>
        </w:trPr>
        <w:tc>
          <w:tcPr>
            <w:tcW w:w="1479" w:type="dxa"/>
            <w:noWrap w:val="0"/>
            <w:vAlign w:val="center"/>
          </w:tcPr>
          <w:p w14:paraId="2C56B2DE">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eastAsia="宋体"/>
                <w:color w:val="auto"/>
                <w:spacing w:val="0"/>
                <w:sz w:val="24"/>
                <w:szCs w:val="24"/>
                <w:lang w:val="en-US" w:eastAsia="zh-CN"/>
              </w:rPr>
            </w:pPr>
            <w:r>
              <w:rPr>
                <w:rFonts w:hint="eastAsia"/>
                <w:color w:val="auto"/>
                <w:spacing w:val="0"/>
                <w:sz w:val="24"/>
                <w:szCs w:val="24"/>
                <w:lang w:val="en-US" w:eastAsia="zh-CN"/>
              </w:rPr>
              <w:t>陆生生态</w:t>
            </w:r>
          </w:p>
        </w:tc>
        <w:tc>
          <w:tcPr>
            <w:tcW w:w="3591" w:type="dxa"/>
            <w:noWrap w:val="0"/>
            <w:vAlign w:val="center"/>
          </w:tcPr>
          <w:p w14:paraId="0277FB8C">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eastAsia"/>
                <w:color w:val="auto"/>
                <w:spacing w:val="0"/>
                <w:sz w:val="24"/>
                <w:szCs w:val="24"/>
                <w:lang w:val="en-US" w:eastAsia="zh-CN"/>
              </w:rPr>
            </w:pPr>
            <w:r>
              <w:rPr>
                <w:rFonts w:hint="eastAsia"/>
                <w:color w:val="auto"/>
                <w:spacing w:val="0"/>
                <w:sz w:val="24"/>
                <w:szCs w:val="24"/>
                <w:lang w:val="en-US" w:eastAsia="zh-CN"/>
              </w:rPr>
              <w:t>加强施工管理，严格控制施工范围；</w:t>
            </w:r>
            <w:r>
              <w:rPr>
                <w:rFonts w:hint="eastAsia" w:eastAsia="宋体"/>
                <w:color w:val="auto"/>
                <w:spacing w:val="0"/>
                <w:sz w:val="24"/>
                <w:szCs w:val="24"/>
                <w:lang w:val="en-US" w:eastAsia="zh-CN"/>
              </w:rPr>
              <w:t>施工过</w:t>
            </w:r>
            <w:r>
              <w:rPr>
                <w:rFonts w:hint="eastAsia"/>
                <w:color w:val="auto"/>
                <w:spacing w:val="0"/>
                <w:sz w:val="24"/>
                <w:szCs w:val="24"/>
                <w:lang w:val="en-US" w:eastAsia="zh-CN"/>
              </w:rPr>
              <w:t>程中</w:t>
            </w:r>
            <w:r>
              <w:rPr>
                <w:rFonts w:hint="eastAsia" w:eastAsia="宋体"/>
                <w:color w:val="auto"/>
                <w:spacing w:val="0"/>
                <w:sz w:val="24"/>
                <w:szCs w:val="24"/>
                <w:lang w:val="en-US" w:eastAsia="zh-CN"/>
              </w:rPr>
              <w:t>对表土进行剥离，</w:t>
            </w:r>
            <w:r>
              <w:rPr>
                <w:rFonts w:hint="eastAsia"/>
                <w:color w:val="auto"/>
                <w:spacing w:val="0"/>
                <w:sz w:val="24"/>
                <w:szCs w:val="24"/>
                <w:lang w:val="en-US" w:eastAsia="zh-CN"/>
              </w:rPr>
              <w:t>单独</w:t>
            </w:r>
            <w:r>
              <w:rPr>
                <w:rFonts w:hint="eastAsia" w:eastAsia="宋体"/>
                <w:color w:val="auto"/>
                <w:spacing w:val="0"/>
                <w:sz w:val="24"/>
                <w:szCs w:val="24"/>
                <w:lang w:val="en-US" w:eastAsia="zh-CN"/>
              </w:rPr>
              <w:t>堆存，后用于占地的覆土进行植被恢复</w:t>
            </w:r>
            <w:r>
              <w:rPr>
                <w:rFonts w:hint="eastAsia"/>
                <w:color w:val="auto"/>
                <w:spacing w:val="0"/>
                <w:sz w:val="24"/>
                <w:szCs w:val="24"/>
                <w:lang w:val="en-US" w:eastAsia="zh-CN"/>
              </w:rPr>
              <w:t>；施工结束后，及时对施工范围内占地进行清理和生态恢复等措施</w:t>
            </w:r>
          </w:p>
        </w:tc>
        <w:tc>
          <w:tcPr>
            <w:tcW w:w="1972" w:type="dxa"/>
            <w:noWrap w:val="0"/>
            <w:vAlign w:val="center"/>
          </w:tcPr>
          <w:p w14:paraId="6E0D09A7">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eastAsia" w:ascii="Times New Roman" w:hAnsi="Times New Roman" w:eastAsia="宋体" w:cs="Times New Roman"/>
                <w:color w:val="auto"/>
                <w:spacing w:val="0"/>
                <w:sz w:val="24"/>
                <w:szCs w:val="24"/>
                <w:lang w:val="en-US" w:eastAsia="zh-CN"/>
              </w:rPr>
            </w:pPr>
            <w:r>
              <w:rPr>
                <w:rFonts w:hint="eastAsia" w:ascii="Times New Roman" w:hAnsi="Times New Roman" w:eastAsia="宋体" w:cs="Times New Roman"/>
                <w:color w:val="auto"/>
                <w:spacing w:val="0"/>
                <w:sz w:val="24"/>
                <w:szCs w:val="24"/>
                <w:lang w:val="en-US" w:eastAsia="zh-CN"/>
              </w:rPr>
              <w:t>落实环保措施，减少对陆生生态的影响</w:t>
            </w:r>
          </w:p>
        </w:tc>
        <w:tc>
          <w:tcPr>
            <w:tcW w:w="1067" w:type="dxa"/>
            <w:noWrap w:val="0"/>
            <w:vAlign w:val="center"/>
          </w:tcPr>
          <w:p w14:paraId="02200DD9">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eastAsia" w:ascii="Times New Roman" w:hAnsi="Times New Roman" w:eastAsia="宋体" w:cs="Times New Roman"/>
                <w:color w:val="auto"/>
                <w:spacing w:val="0"/>
                <w:sz w:val="24"/>
                <w:szCs w:val="24"/>
                <w:lang w:val="en-US" w:eastAsia="zh-CN"/>
              </w:rPr>
            </w:pPr>
            <w:r>
              <w:rPr>
                <w:rFonts w:hint="eastAsia" w:ascii="Times New Roman" w:hAnsi="Times New Roman" w:eastAsia="宋体" w:cs="Times New Roman"/>
                <w:color w:val="auto"/>
                <w:spacing w:val="0"/>
                <w:sz w:val="24"/>
                <w:szCs w:val="24"/>
                <w:lang w:val="en-US" w:eastAsia="zh-CN"/>
              </w:rPr>
              <w:t>临时占地均恢复原有土地类型、采取植被恢复措施</w:t>
            </w:r>
          </w:p>
        </w:tc>
        <w:tc>
          <w:tcPr>
            <w:tcW w:w="829" w:type="dxa"/>
            <w:noWrap w:val="0"/>
            <w:vAlign w:val="center"/>
          </w:tcPr>
          <w:p w14:paraId="6468B140">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eastAsia" w:ascii="Times New Roman" w:hAnsi="Times New Roman" w:eastAsia="宋体" w:cs="Times New Roman"/>
                <w:color w:val="auto"/>
                <w:spacing w:val="0"/>
                <w:sz w:val="24"/>
                <w:szCs w:val="24"/>
                <w:lang w:val="en-US" w:eastAsia="zh-CN"/>
              </w:rPr>
            </w:pPr>
            <w:r>
              <w:rPr>
                <w:rFonts w:hint="eastAsia" w:ascii="Times New Roman" w:hAnsi="Times New Roman" w:eastAsia="宋体" w:cs="Times New Roman"/>
                <w:color w:val="auto"/>
                <w:spacing w:val="0"/>
                <w:sz w:val="24"/>
                <w:szCs w:val="24"/>
                <w:lang w:val="en-US" w:eastAsia="zh-CN"/>
              </w:rPr>
              <w:t>满足环评要求</w:t>
            </w:r>
          </w:p>
        </w:tc>
      </w:tr>
      <w:tr w14:paraId="2A42D3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17" w:hRule="atLeast"/>
          <w:jc w:val="center"/>
        </w:trPr>
        <w:tc>
          <w:tcPr>
            <w:tcW w:w="1479" w:type="dxa"/>
            <w:noWrap w:val="0"/>
            <w:vAlign w:val="center"/>
          </w:tcPr>
          <w:p w14:paraId="4A267BC5">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eastAsia="宋体"/>
                <w:color w:val="auto"/>
                <w:spacing w:val="0"/>
                <w:sz w:val="24"/>
                <w:szCs w:val="24"/>
                <w:lang w:val="en-US" w:eastAsia="zh-CN"/>
              </w:rPr>
            </w:pPr>
            <w:r>
              <w:rPr>
                <w:rFonts w:hint="eastAsia"/>
                <w:color w:val="auto"/>
                <w:spacing w:val="0"/>
                <w:sz w:val="24"/>
                <w:szCs w:val="24"/>
                <w:lang w:val="en-US" w:eastAsia="zh-CN"/>
              </w:rPr>
              <w:t>水生生态</w:t>
            </w:r>
          </w:p>
        </w:tc>
        <w:tc>
          <w:tcPr>
            <w:tcW w:w="3591" w:type="dxa"/>
            <w:noWrap w:val="0"/>
            <w:vAlign w:val="center"/>
          </w:tcPr>
          <w:p w14:paraId="633D0E92">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4"/>
                <w:szCs w:val="24"/>
                <w:lang w:val="en-US" w:eastAsia="zh-CN"/>
              </w:rPr>
            </w:pPr>
            <w:r>
              <w:rPr>
                <w:rFonts w:hint="eastAsia" w:ascii="Times New Roman" w:hAnsi="Times New Roman" w:eastAsia="宋体" w:cs="Times New Roman"/>
                <w:color w:val="auto"/>
                <w:spacing w:val="0"/>
                <w:sz w:val="24"/>
                <w:szCs w:val="24"/>
                <w:lang w:val="en-US" w:eastAsia="zh-CN"/>
              </w:rPr>
              <w:t>施工中土方堆放采取苫盖措施，施工废水不外排；禁止在河道内存放砂子、水泥等施工材料以及施工机械维修，以免SS等污染物质进入地表水体，影响水生生物生存</w:t>
            </w:r>
          </w:p>
        </w:tc>
        <w:tc>
          <w:tcPr>
            <w:tcW w:w="1972" w:type="dxa"/>
            <w:noWrap w:val="0"/>
            <w:vAlign w:val="center"/>
          </w:tcPr>
          <w:p w14:paraId="1A8243BC">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4"/>
                <w:szCs w:val="24"/>
                <w:lang w:val="en-US" w:eastAsia="zh-CN"/>
              </w:rPr>
            </w:pPr>
            <w:r>
              <w:rPr>
                <w:rFonts w:hint="eastAsia" w:ascii="Times New Roman" w:hAnsi="Times New Roman" w:eastAsia="宋体" w:cs="Times New Roman"/>
                <w:color w:val="auto"/>
                <w:spacing w:val="0"/>
                <w:sz w:val="24"/>
                <w:szCs w:val="24"/>
                <w:lang w:val="en-US" w:eastAsia="zh-CN"/>
              </w:rPr>
              <w:t>落实环保措施，减少对水生生态的影响</w:t>
            </w:r>
          </w:p>
        </w:tc>
        <w:tc>
          <w:tcPr>
            <w:tcW w:w="1067" w:type="dxa"/>
            <w:noWrap w:val="0"/>
            <w:vAlign w:val="center"/>
          </w:tcPr>
          <w:p w14:paraId="51C03373">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color w:val="auto"/>
                <w:spacing w:val="0"/>
                <w:sz w:val="24"/>
                <w:szCs w:val="24"/>
                <w:highlight w:val="none"/>
                <w:lang w:val="en-US" w:eastAsia="zh-CN"/>
              </w:rPr>
            </w:pPr>
            <w:r>
              <w:rPr>
                <w:rFonts w:hint="eastAsia"/>
                <w:color w:val="auto"/>
                <w:spacing w:val="0"/>
                <w:sz w:val="24"/>
                <w:szCs w:val="24"/>
                <w:lang w:val="en-US" w:eastAsia="zh-CN"/>
              </w:rPr>
              <w:t>加强湿地植物的管理</w:t>
            </w:r>
          </w:p>
        </w:tc>
        <w:tc>
          <w:tcPr>
            <w:tcW w:w="829" w:type="dxa"/>
            <w:noWrap w:val="0"/>
            <w:vAlign w:val="center"/>
          </w:tcPr>
          <w:p w14:paraId="0673FCB8">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eastAsia="宋体"/>
                <w:color w:val="auto"/>
                <w:spacing w:val="0"/>
                <w:sz w:val="24"/>
                <w:szCs w:val="24"/>
                <w:highlight w:val="none"/>
                <w:lang w:val="en-US" w:eastAsia="zh-CN"/>
              </w:rPr>
            </w:pPr>
            <w:r>
              <w:rPr>
                <w:rFonts w:hint="eastAsia"/>
                <w:color w:val="auto"/>
                <w:spacing w:val="0"/>
                <w:sz w:val="24"/>
                <w:szCs w:val="24"/>
                <w:lang w:val="en-US" w:eastAsia="zh-CN"/>
              </w:rPr>
              <w:t>/</w:t>
            </w:r>
          </w:p>
        </w:tc>
      </w:tr>
      <w:tr w14:paraId="037A9E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1479" w:type="dxa"/>
            <w:noWrap w:val="0"/>
            <w:vAlign w:val="center"/>
          </w:tcPr>
          <w:p w14:paraId="5132940E">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eastAsia="宋体"/>
                <w:color w:val="auto"/>
                <w:spacing w:val="0"/>
                <w:sz w:val="24"/>
                <w:szCs w:val="24"/>
                <w:lang w:val="en-US" w:eastAsia="zh-CN"/>
              </w:rPr>
            </w:pPr>
            <w:r>
              <w:rPr>
                <w:rFonts w:hint="eastAsia"/>
                <w:color w:val="auto"/>
                <w:spacing w:val="0"/>
                <w:sz w:val="24"/>
                <w:szCs w:val="24"/>
                <w:lang w:val="en-US" w:eastAsia="zh-CN"/>
              </w:rPr>
              <w:t>地表水环境</w:t>
            </w:r>
          </w:p>
        </w:tc>
        <w:tc>
          <w:tcPr>
            <w:tcW w:w="3591" w:type="dxa"/>
            <w:noWrap w:val="0"/>
            <w:vAlign w:val="center"/>
          </w:tcPr>
          <w:p w14:paraId="73A01C4B">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eastAsia" w:ascii="Times New Roman" w:hAnsi="Times New Roman" w:eastAsia="宋体" w:cs="Times New Roman"/>
                <w:color w:val="auto"/>
                <w:spacing w:val="0"/>
                <w:sz w:val="24"/>
                <w:szCs w:val="24"/>
                <w:lang w:val="en-US" w:eastAsia="zh-CN"/>
              </w:rPr>
            </w:pPr>
            <w:r>
              <w:rPr>
                <w:rFonts w:hint="eastAsia" w:ascii="Times New Roman" w:hAnsi="Times New Roman" w:eastAsia="宋体" w:cs="Times New Roman"/>
                <w:color w:val="auto"/>
                <w:spacing w:val="0"/>
                <w:sz w:val="24"/>
                <w:szCs w:val="24"/>
                <w:lang w:val="en-US" w:eastAsia="zh-CN"/>
              </w:rPr>
              <w:t>施工期施工废水采用临时沉淀池处理后</w:t>
            </w:r>
            <w:r>
              <w:rPr>
                <w:rFonts w:hint="eastAsia" w:cs="Times New Roman"/>
                <w:color w:val="auto"/>
                <w:spacing w:val="0"/>
                <w:sz w:val="24"/>
                <w:szCs w:val="24"/>
                <w:lang w:val="en-US" w:eastAsia="zh-CN"/>
              </w:rPr>
              <w:t>回用于洒水等</w:t>
            </w:r>
            <w:r>
              <w:rPr>
                <w:rFonts w:hint="eastAsia" w:ascii="Times New Roman" w:hAnsi="Times New Roman" w:eastAsia="宋体" w:cs="Times New Roman"/>
                <w:color w:val="auto"/>
                <w:spacing w:val="0"/>
                <w:sz w:val="24"/>
                <w:szCs w:val="24"/>
                <w:lang w:val="en-US" w:eastAsia="zh-CN"/>
              </w:rPr>
              <w:t>，不外排；基坑水经</w:t>
            </w:r>
            <w:r>
              <w:rPr>
                <w:rFonts w:hint="eastAsia" w:cs="Times New Roman"/>
                <w:color w:val="auto"/>
                <w:spacing w:val="0"/>
                <w:sz w:val="24"/>
                <w:szCs w:val="24"/>
                <w:lang w:val="en-US" w:eastAsia="zh-CN"/>
              </w:rPr>
              <w:t>沉淀</w:t>
            </w:r>
            <w:r>
              <w:rPr>
                <w:rFonts w:hint="eastAsia" w:ascii="Times New Roman" w:hAnsi="Times New Roman" w:eastAsia="宋体" w:cs="Times New Roman"/>
                <w:color w:val="auto"/>
                <w:spacing w:val="0"/>
                <w:sz w:val="24"/>
                <w:szCs w:val="24"/>
                <w:lang w:val="en-US" w:eastAsia="zh-CN"/>
              </w:rPr>
              <w:t>池澄清后回用于场地洒水；生活区污水依托租住的民舍</w:t>
            </w:r>
            <w:r>
              <w:rPr>
                <w:rFonts w:hint="eastAsia" w:cs="Times New Roman"/>
                <w:color w:val="auto"/>
                <w:spacing w:val="0"/>
                <w:sz w:val="24"/>
                <w:szCs w:val="24"/>
                <w:lang w:val="en-US" w:eastAsia="zh-CN"/>
              </w:rPr>
              <w:t>化粪池</w:t>
            </w:r>
            <w:r>
              <w:rPr>
                <w:rFonts w:hint="eastAsia" w:ascii="Times New Roman" w:hAnsi="Times New Roman" w:eastAsia="宋体" w:cs="Times New Roman"/>
                <w:color w:val="auto"/>
                <w:spacing w:val="0"/>
                <w:sz w:val="24"/>
                <w:szCs w:val="24"/>
                <w:lang w:val="en-US" w:eastAsia="zh-CN"/>
              </w:rPr>
              <w:t>收集，施工现场污水依托沿线居民</w:t>
            </w:r>
            <w:r>
              <w:rPr>
                <w:rFonts w:hint="eastAsia" w:cs="Times New Roman"/>
                <w:color w:val="auto"/>
                <w:spacing w:val="0"/>
                <w:sz w:val="24"/>
                <w:szCs w:val="24"/>
                <w:lang w:val="en-US" w:eastAsia="zh-CN"/>
              </w:rPr>
              <w:t>化粪池</w:t>
            </w:r>
            <w:r>
              <w:rPr>
                <w:rFonts w:hint="eastAsia" w:ascii="Times New Roman" w:hAnsi="Times New Roman" w:eastAsia="宋体" w:cs="Times New Roman"/>
                <w:color w:val="auto"/>
                <w:spacing w:val="0"/>
                <w:sz w:val="24"/>
                <w:szCs w:val="24"/>
                <w:lang w:val="en-US" w:eastAsia="zh-CN"/>
              </w:rPr>
              <w:t>，不外排。</w:t>
            </w:r>
          </w:p>
        </w:tc>
        <w:tc>
          <w:tcPr>
            <w:tcW w:w="1972" w:type="dxa"/>
            <w:noWrap w:val="0"/>
            <w:vAlign w:val="center"/>
          </w:tcPr>
          <w:p w14:paraId="3765552C">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eastAsia" w:ascii="Times New Roman" w:hAnsi="Times New Roman" w:eastAsia="宋体" w:cs="Times New Roman"/>
                <w:color w:val="auto"/>
                <w:spacing w:val="0"/>
                <w:sz w:val="24"/>
                <w:szCs w:val="24"/>
                <w:lang w:val="en-US" w:eastAsia="zh-CN"/>
              </w:rPr>
            </w:pPr>
            <w:r>
              <w:rPr>
                <w:rFonts w:hint="eastAsia" w:ascii="Times New Roman" w:hAnsi="Times New Roman" w:eastAsia="宋体" w:cs="Times New Roman"/>
                <w:color w:val="auto"/>
                <w:spacing w:val="0"/>
                <w:sz w:val="24"/>
                <w:szCs w:val="24"/>
                <w:lang w:val="en-US" w:eastAsia="zh-CN"/>
              </w:rPr>
              <w:t>废水综合利用，不外排</w:t>
            </w:r>
          </w:p>
        </w:tc>
        <w:tc>
          <w:tcPr>
            <w:tcW w:w="1067" w:type="dxa"/>
            <w:noWrap w:val="0"/>
            <w:vAlign w:val="center"/>
          </w:tcPr>
          <w:p w14:paraId="78B6C923">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cs="Times New Roman"/>
                <w:color w:val="auto"/>
                <w:spacing w:val="0"/>
                <w:sz w:val="24"/>
                <w:szCs w:val="24"/>
                <w:highlight w:val="none"/>
                <w:vertAlign w:val="baseline"/>
                <w:lang w:val="en-US" w:eastAsia="zh-CN"/>
              </w:rPr>
            </w:pPr>
            <w:r>
              <w:rPr>
                <w:rFonts w:hint="eastAsia" w:ascii="Times New Roman" w:hAnsi="Times New Roman" w:eastAsia="宋体" w:cs="Times New Roman"/>
                <w:b w:val="0"/>
                <w:bCs w:val="0"/>
                <w:color w:val="auto"/>
                <w:spacing w:val="0"/>
                <w:kern w:val="0"/>
                <w:sz w:val="24"/>
                <w:szCs w:val="24"/>
                <w:lang w:val="en-US" w:eastAsia="zh-CN" w:bidi="ar"/>
              </w:rPr>
              <w:t>/</w:t>
            </w:r>
          </w:p>
        </w:tc>
        <w:tc>
          <w:tcPr>
            <w:tcW w:w="829" w:type="dxa"/>
            <w:noWrap w:val="0"/>
            <w:vAlign w:val="center"/>
          </w:tcPr>
          <w:p w14:paraId="51D03253">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eastAsia="宋体"/>
                <w:color w:val="auto"/>
                <w:spacing w:val="0"/>
                <w:sz w:val="24"/>
                <w:szCs w:val="24"/>
                <w:lang w:val="en-US" w:eastAsia="zh-CN"/>
              </w:rPr>
            </w:pPr>
            <w:r>
              <w:rPr>
                <w:rFonts w:hint="eastAsia" w:eastAsia="宋体"/>
                <w:color w:val="auto"/>
                <w:spacing w:val="0"/>
                <w:sz w:val="24"/>
                <w:szCs w:val="24"/>
                <w:lang w:val="en-US" w:eastAsia="zh-CN"/>
              </w:rPr>
              <w:t>/</w:t>
            </w:r>
          </w:p>
        </w:tc>
      </w:tr>
      <w:tr w14:paraId="54A236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1479" w:type="dxa"/>
            <w:noWrap w:val="0"/>
            <w:vAlign w:val="center"/>
          </w:tcPr>
          <w:p w14:paraId="30D53D7D">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eastAsia"/>
                <w:color w:val="auto"/>
                <w:spacing w:val="0"/>
                <w:sz w:val="24"/>
                <w:szCs w:val="24"/>
                <w:lang w:val="en-US" w:eastAsia="zh-CN"/>
              </w:rPr>
            </w:pPr>
            <w:r>
              <w:rPr>
                <w:rFonts w:hint="eastAsia"/>
                <w:color w:val="auto"/>
                <w:spacing w:val="0"/>
                <w:sz w:val="24"/>
                <w:szCs w:val="24"/>
                <w:lang w:val="en-US" w:eastAsia="zh-CN"/>
              </w:rPr>
              <w:t>地下水及</w:t>
            </w:r>
          </w:p>
          <w:p w14:paraId="4B3F29E3">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eastAsia="宋体"/>
                <w:color w:val="auto"/>
                <w:spacing w:val="0"/>
                <w:sz w:val="24"/>
                <w:szCs w:val="24"/>
                <w:lang w:val="en-US" w:eastAsia="zh-CN"/>
              </w:rPr>
            </w:pPr>
            <w:r>
              <w:rPr>
                <w:rFonts w:hint="eastAsia"/>
                <w:color w:val="auto"/>
                <w:spacing w:val="0"/>
                <w:sz w:val="24"/>
                <w:szCs w:val="24"/>
                <w:lang w:val="en-US" w:eastAsia="zh-CN"/>
              </w:rPr>
              <w:t>土壤环境</w:t>
            </w:r>
          </w:p>
        </w:tc>
        <w:tc>
          <w:tcPr>
            <w:tcW w:w="3591" w:type="dxa"/>
            <w:noWrap w:val="0"/>
            <w:vAlign w:val="center"/>
          </w:tcPr>
          <w:p w14:paraId="3E399313">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4"/>
                <w:szCs w:val="24"/>
                <w:lang w:val="en-US" w:eastAsia="zh-CN"/>
              </w:rPr>
            </w:pPr>
            <w:r>
              <w:rPr>
                <w:rFonts w:hint="eastAsia" w:ascii="Times New Roman" w:hAnsi="Times New Roman" w:eastAsia="宋体" w:cs="Times New Roman"/>
                <w:color w:val="auto"/>
                <w:spacing w:val="0"/>
                <w:sz w:val="24"/>
                <w:szCs w:val="24"/>
                <w:lang w:val="en-US" w:eastAsia="zh-CN"/>
              </w:rPr>
              <w:t>沉淀池采取防渗措施</w:t>
            </w:r>
          </w:p>
        </w:tc>
        <w:tc>
          <w:tcPr>
            <w:tcW w:w="1972" w:type="dxa"/>
            <w:noWrap w:val="0"/>
            <w:vAlign w:val="center"/>
          </w:tcPr>
          <w:p w14:paraId="47D31C00">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4"/>
                <w:szCs w:val="24"/>
                <w:lang w:val="en-US" w:eastAsia="zh-CN"/>
              </w:rPr>
            </w:pPr>
            <w:r>
              <w:rPr>
                <w:rFonts w:hint="eastAsia" w:ascii="Times New Roman" w:hAnsi="Times New Roman" w:eastAsia="宋体" w:cs="Times New Roman"/>
                <w:color w:val="auto"/>
                <w:spacing w:val="0"/>
                <w:sz w:val="24"/>
                <w:szCs w:val="24"/>
                <w:lang w:val="en-US" w:eastAsia="zh-CN"/>
              </w:rPr>
              <w:t>按环评要求落实</w:t>
            </w:r>
          </w:p>
        </w:tc>
        <w:tc>
          <w:tcPr>
            <w:tcW w:w="1067" w:type="dxa"/>
            <w:noWrap w:val="0"/>
            <w:vAlign w:val="center"/>
          </w:tcPr>
          <w:p w14:paraId="79CA5826">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eastAsia" w:eastAsia="宋体"/>
                <w:color w:val="auto"/>
                <w:spacing w:val="0"/>
                <w:sz w:val="24"/>
                <w:szCs w:val="24"/>
                <w:lang w:val="en-US" w:eastAsia="zh-CN"/>
              </w:rPr>
            </w:pPr>
            <w:r>
              <w:rPr>
                <w:rFonts w:hint="eastAsia"/>
                <w:color w:val="auto"/>
                <w:spacing w:val="0"/>
                <w:sz w:val="24"/>
                <w:szCs w:val="24"/>
                <w:lang w:val="en-US" w:eastAsia="zh-CN"/>
              </w:rPr>
              <w:t>/</w:t>
            </w:r>
          </w:p>
        </w:tc>
        <w:tc>
          <w:tcPr>
            <w:tcW w:w="829" w:type="dxa"/>
            <w:noWrap w:val="0"/>
            <w:vAlign w:val="center"/>
          </w:tcPr>
          <w:p w14:paraId="02D91B2D">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eastAsia" w:eastAsia="宋体"/>
                <w:color w:val="auto"/>
                <w:spacing w:val="0"/>
                <w:sz w:val="24"/>
                <w:szCs w:val="24"/>
                <w:lang w:val="en-US" w:eastAsia="zh-CN"/>
              </w:rPr>
            </w:pPr>
            <w:r>
              <w:rPr>
                <w:rFonts w:hint="eastAsia"/>
                <w:color w:val="auto"/>
                <w:spacing w:val="0"/>
                <w:sz w:val="24"/>
                <w:szCs w:val="24"/>
                <w:lang w:val="en-US" w:eastAsia="zh-CN"/>
              </w:rPr>
              <w:t>/</w:t>
            </w:r>
          </w:p>
        </w:tc>
      </w:tr>
      <w:tr w14:paraId="559940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17" w:hRule="atLeast"/>
          <w:jc w:val="center"/>
        </w:trPr>
        <w:tc>
          <w:tcPr>
            <w:tcW w:w="1479" w:type="dxa"/>
            <w:noWrap w:val="0"/>
            <w:vAlign w:val="center"/>
          </w:tcPr>
          <w:p w14:paraId="6A70FC1A">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eastAsia" w:eastAsia="宋体"/>
                <w:color w:val="auto"/>
                <w:spacing w:val="0"/>
                <w:sz w:val="24"/>
                <w:szCs w:val="24"/>
                <w:lang w:val="en-US" w:eastAsia="zh-CN"/>
              </w:rPr>
            </w:pPr>
            <w:r>
              <w:rPr>
                <w:rFonts w:hint="eastAsia"/>
                <w:color w:val="auto"/>
                <w:spacing w:val="0"/>
                <w:sz w:val="24"/>
                <w:szCs w:val="24"/>
                <w:lang w:val="en-US" w:eastAsia="zh-CN"/>
              </w:rPr>
              <w:t>声环境</w:t>
            </w:r>
          </w:p>
        </w:tc>
        <w:tc>
          <w:tcPr>
            <w:tcW w:w="3591" w:type="dxa"/>
            <w:noWrap w:val="0"/>
            <w:vAlign w:val="center"/>
          </w:tcPr>
          <w:p w14:paraId="2489DC93">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4"/>
                <w:szCs w:val="24"/>
                <w:lang w:val="en-US" w:eastAsia="zh-CN"/>
              </w:rPr>
            </w:pPr>
            <w:r>
              <w:rPr>
                <w:rFonts w:hint="eastAsia" w:ascii="Times New Roman" w:hAnsi="Times New Roman" w:eastAsia="宋体" w:cs="Times New Roman"/>
                <w:color w:val="auto"/>
                <w:spacing w:val="0"/>
                <w:sz w:val="24"/>
                <w:szCs w:val="24"/>
                <w:lang w:val="en-US" w:eastAsia="zh-CN"/>
              </w:rPr>
              <w:t>选用低噪声设备、加强设备维护与保养；合理安排施工作业、运输时间，途经声环境保护目标处减速缓行，并禁止鸣笛；优化施工场地布设，使施工场地远离居民点；尽量避免所有机械同时施工，振动较大的机械设备采取基座减振</w:t>
            </w:r>
          </w:p>
        </w:tc>
        <w:tc>
          <w:tcPr>
            <w:tcW w:w="1972" w:type="dxa"/>
            <w:noWrap w:val="0"/>
            <w:vAlign w:val="center"/>
          </w:tcPr>
          <w:p w14:paraId="47542E0E">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4"/>
                <w:szCs w:val="24"/>
                <w:lang w:val="en-US" w:eastAsia="zh-CN"/>
              </w:rPr>
            </w:pPr>
            <w:r>
              <w:rPr>
                <w:rFonts w:hint="eastAsia" w:ascii="Times New Roman" w:hAnsi="Times New Roman" w:eastAsia="宋体" w:cs="Times New Roman"/>
                <w:color w:val="auto"/>
                <w:spacing w:val="0"/>
                <w:sz w:val="24"/>
                <w:szCs w:val="24"/>
                <w:lang w:val="en-US" w:eastAsia="zh-CN"/>
              </w:rPr>
              <w:t>施工场界噪声满足《</w:t>
            </w:r>
            <w:r>
              <w:rPr>
                <w:rFonts w:hint="eastAsia" w:cs="Times New Roman"/>
                <w:color w:val="auto"/>
                <w:spacing w:val="0"/>
                <w:sz w:val="24"/>
                <w:szCs w:val="24"/>
                <w:lang w:val="en-US" w:eastAsia="zh-CN"/>
              </w:rPr>
              <w:t>建筑施工噪声排放标准</w:t>
            </w:r>
            <w:r>
              <w:rPr>
                <w:rFonts w:hint="eastAsia" w:ascii="Times New Roman" w:hAnsi="Times New Roman" w:eastAsia="宋体" w:cs="Times New Roman"/>
                <w:color w:val="auto"/>
                <w:spacing w:val="0"/>
                <w:sz w:val="24"/>
                <w:szCs w:val="24"/>
                <w:lang w:val="en-US" w:eastAsia="zh-CN"/>
              </w:rPr>
              <w:t>》（GB12523-2025），环境敏感点噪声满足《声环境质量标准》（GB3096-2008）2类标准</w:t>
            </w:r>
          </w:p>
        </w:tc>
        <w:tc>
          <w:tcPr>
            <w:tcW w:w="1067" w:type="dxa"/>
            <w:noWrap w:val="0"/>
            <w:vAlign w:val="center"/>
          </w:tcPr>
          <w:p w14:paraId="0BCD2B6F">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color w:val="auto"/>
                <w:spacing w:val="0"/>
                <w:sz w:val="24"/>
                <w:szCs w:val="24"/>
                <w:lang w:val="en-US"/>
              </w:rPr>
            </w:pPr>
            <w:r>
              <w:rPr>
                <w:rFonts w:hint="eastAsia" w:eastAsia="宋体" w:cs="宋体"/>
                <w:color w:val="auto"/>
                <w:spacing w:val="0"/>
                <w:kern w:val="0"/>
                <w:sz w:val="24"/>
                <w:szCs w:val="24"/>
                <w:lang w:val="en-US" w:eastAsia="zh-CN" w:bidi="ar"/>
              </w:rPr>
              <w:t>/</w:t>
            </w:r>
          </w:p>
        </w:tc>
        <w:tc>
          <w:tcPr>
            <w:tcW w:w="829" w:type="dxa"/>
            <w:noWrap w:val="0"/>
            <w:vAlign w:val="center"/>
          </w:tcPr>
          <w:p w14:paraId="493D9D03">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eastAsia" w:eastAsia="宋体"/>
                <w:color w:val="auto"/>
                <w:spacing w:val="0"/>
                <w:sz w:val="24"/>
                <w:szCs w:val="24"/>
                <w:lang w:val="en-US" w:eastAsia="zh-CN"/>
              </w:rPr>
            </w:pPr>
            <w:r>
              <w:rPr>
                <w:rFonts w:hint="eastAsia"/>
                <w:color w:val="auto"/>
                <w:spacing w:val="0"/>
                <w:sz w:val="24"/>
                <w:szCs w:val="24"/>
                <w:lang w:val="en-US" w:eastAsia="zh-CN"/>
              </w:rPr>
              <w:t>/</w:t>
            </w:r>
          </w:p>
        </w:tc>
      </w:tr>
      <w:tr w14:paraId="64AF7A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479" w:type="dxa"/>
            <w:noWrap w:val="0"/>
            <w:vAlign w:val="center"/>
          </w:tcPr>
          <w:p w14:paraId="2FDFFC0C">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eastAsia" w:eastAsia="宋体"/>
                <w:color w:val="auto"/>
                <w:spacing w:val="0"/>
                <w:sz w:val="24"/>
                <w:szCs w:val="24"/>
                <w:lang w:val="en-US" w:eastAsia="zh-CN"/>
              </w:rPr>
            </w:pPr>
            <w:r>
              <w:rPr>
                <w:rFonts w:hint="eastAsia"/>
                <w:color w:val="auto"/>
                <w:spacing w:val="0"/>
                <w:sz w:val="24"/>
                <w:szCs w:val="24"/>
                <w:lang w:val="en-US" w:eastAsia="zh-CN"/>
              </w:rPr>
              <w:t>振动</w:t>
            </w:r>
          </w:p>
        </w:tc>
        <w:tc>
          <w:tcPr>
            <w:tcW w:w="3591" w:type="dxa"/>
            <w:noWrap w:val="0"/>
            <w:vAlign w:val="center"/>
          </w:tcPr>
          <w:p w14:paraId="3AED0EAD">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color w:val="auto"/>
                <w:spacing w:val="0"/>
                <w:sz w:val="24"/>
                <w:szCs w:val="24"/>
                <w:lang w:val="en-US" w:eastAsia="zh-CN"/>
              </w:rPr>
            </w:pPr>
            <w:r>
              <w:rPr>
                <w:rFonts w:hint="eastAsia"/>
                <w:color w:val="auto"/>
                <w:spacing w:val="0"/>
                <w:sz w:val="24"/>
                <w:szCs w:val="24"/>
                <w:lang w:val="en-US" w:eastAsia="zh-CN"/>
              </w:rPr>
              <w:t>/</w:t>
            </w:r>
          </w:p>
        </w:tc>
        <w:tc>
          <w:tcPr>
            <w:tcW w:w="1972" w:type="dxa"/>
            <w:noWrap w:val="0"/>
            <w:vAlign w:val="center"/>
          </w:tcPr>
          <w:p w14:paraId="553B0D05">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eastAsia="宋体"/>
                <w:color w:val="auto"/>
                <w:spacing w:val="0"/>
                <w:sz w:val="24"/>
                <w:szCs w:val="24"/>
                <w:lang w:val="en-US" w:eastAsia="zh-CN"/>
              </w:rPr>
            </w:pPr>
            <w:r>
              <w:rPr>
                <w:rFonts w:hint="eastAsia" w:eastAsia="宋体"/>
                <w:color w:val="auto"/>
                <w:spacing w:val="0"/>
                <w:sz w:val="24"/>
                <w:szCs w:val="24"/>
                <w:lang w:val="en-US" w:eastAsia="zh-CN"/>
              </w:rPr>
              <w:t>/</w:t>
            </w:r>
          </w:p>
        </w:tc>
        <w:tc>
          <w:tcPr>
            <w:tcW w:w="1067" w:type="dxa"/>
            <w:noWrap w:val="0"/>
            <w:vAlign w:val="center"/>
          </w:tcPr>
          <w:p w14:paraId="29F37298">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eastAsia" w:eastAsia="宋体"/>
                <w:color w:val="auto"/>
                <w:spacing w:val="0"/>
                <w:sz w:val="24"/>
                <w:szCs w:val="24"/>
                <w:lang w:val="en-US" w:eastAsia="zh-CN"/>
              </w:rPr>
            </w:pPr>
            <w:r>
              <w:rPr>
                <w:rFonts w:hint="eastAsia"/>
                <w:color w:val="auto"/>
                <w:spacing w:val="0"/>
                <w:sz w:val="24"/>
                <w:szCs w:val="24"/>
                <w:lang w:val="en-US" w:eastAsia="zh-CN"/>
              </w:rPr>
              <w:t>/</w:t>
            </w:r>
          </w:p>
        </w:tc>
        <w:tc>
          <w:tcPr>
            <w:tcW w:w="829" w:type="dxa"/>
            <w:noWrap w:val="0"/>
            <w:vAlign w:val="center"/>
          </w:tcPr>
          <w:p w14:paraId="7D82AB77">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eastAsia" w:eastAsia="宋体"/>
                <w:color w:val="auto"/>
                <w:spacing w:val="0"/>
                <w:sz w:val="24"/>
                <w:szCs w:val="24"/>
                <w:lang w:val="en-US" w:eastAsia="zh-CN"/>
              </w:rPr>
            </w:pPr>
            <w:r>
              <w:rPr>
                <w:rFonts w:hint="eastAsia"/>
                <w:color w:val="auto"/>
                <w:spacing w:val="0"/>
                <w:sz w:val="24"/>
                <w:szCs w:val="24"/>
                <w:lang w:val="en-US" w:eastAsia="zh-CN"/>
              </w:rPr>
              <w:t>/</w:t>
            </w:r>
          </w:p>
        </w:tc>
      </w:tr>
      <w:tr w14:paraId="50425F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89" w:hRule="atLeast"/>
          <w:jc w:val="center"/>
        </w:trPr>
        <w:tc>
          <w:tcPr>
            <w:tcW w:w="1479" w:type="dxa"/>
            <w:noWrap w:val="0"/>
            <w:vAlign w:val="center"/>
          </w:tcPr>
          <w:p w14:paraId="0FEAAC98">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eastAsia" w:eastAsia="宋体"/>
                <w:color w:val="auto"/>
                <w:spacing w:val="0"/>
                <w:sz w:val="24"/>
                <w:szCs w:val="24"/>
                <w:lang w:val="en-US" w:eastAsia="zh-CN"/>
              </w:rPr>
            </w:pPr>
            <w:r>
              <w:rPr>
                <w:rFonts w:hint="eastAsia"/>
                <w:color w:val="auto"/>
                <w:spacing w:val="0"/>
                <w:sz w:val="24"/>
                <w:szCs w:val="24"/>
                <w:lang w:val="en-US" w:eastAsia="zh-CN"/>
              </w:rPr>
              <w:t>大气环境</w:t>
            </w:r>
          </w:p>
        </w:tc>
        <w:tc>
          <w:tcPr>
            <w:tcW w:w="3591" w:type="dxa"/>
            <w:noWrap w:val="0"/>
            <w:vAlign w:val="center"/>
          </w:tcPr>
          <w:p w14:paraId="22195C32">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color w:val="auto"/>
                <w:spacing w:val="0"/>
                <w:sz w:val="24"/>
                <w:szCs w:val="24"/>
                <w:lang w:val="en-US" w:eastAsia="zh-CN"/>
              </w:rPr>
            </w:pPr>
            <w:r>
              <w:rPr>
                <w:rFonts w:hint="default"/>
                <w:color w:val="auto"/>
                <w:spacing w:val="0"/>
                <w:sz w:val="24"/>
                <w:szCs w:val="24"/>
                <w:lang w:val="en-US" w:eastAsia="zh-CN"/>
              </w:rPr>
              <w:t>施工作业面及道路定时洒水抑尘</w:t>
            </w:r>
            <w:r>
              <w:rPr>
                <w:rFonts w:hint="eastAsia"/>
                <w:color w:val="auto"/>
                <w:spacing w:val="0"/>
                <w:sz w:val="24"/>
                <w:szCs w:val="24"/>
                <w:lang w:val="en-US" w:eastAsia="zh-CN"/>
              </w:rPr>
              <w:t>；</w:t>
            </w:r>
            <w:r>
              <w:rPr>
                <w:rFonts w:hint="default"/>
                <w:color w:val="auto"/>
                <w:spacing w:val="0"/>
                <w:sz w:val="24"/>
                <w:szCs w:val="24"/>
                <w:lang w:val="en-US" w:eastAsia="zh-CN"/>
              </w:rPr>
              <w:t>对建筑材料和开挖的土石方采用防尘网进行覆盖</w:t>
            </w:r>
            <w:r>
              <w:rPr>
                <w:rFonts w:hint="eastAsia"/>
                <w:color w:val="auto"/>
                <w:spacing w:val="0"/>
                <w:sz w:val="24"/>
                <w:szCs w:val="24"/>
                <w:lang w:val="en-US" w:eastAsia="zh-CN"/>
              </w:rPr>
              <w:t>；</w:t>
            </w:r>
            <w:r>
              <w:rPr>
                <w:rFonts w:hint="default"/>
                <w:color w:val="auto"/>
                <w:spacing w:val="0"/>
                <w:sz w:val="24"/>
                <w:szCs w:val="24"/>
                <w:lang w:val="en-US" w:eastAsia="zh-CN"/>
              </w:rPr>
              <w:t>采用符合相关环境标准的机械和车辆</w:t>
            </w:r>
          </w:p>
        </w:tc>
        <w:tc>
          <w:tcPr>
            <w:tcW w:w="1972" w:type="dxa"/>
            <w:noWrap w:val="0"/>
            <w:vAlign w:val="center"/>
          </w:tcPr>
          <w:p w14:paraId="2314B715">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eastAsia" w:eastAsia="宋体"/>
                <w:color w:val="auto"/>
                <w:spacing w:val="0"/>
                <w:sz w:val="24"/>
                <w:szCs w:val="24"/>
                <w:lang w:val="en-US" w:eastAsia="zh-CN"/>
              </w:rPr>
            </w:pPr>
            <w:r>
              <w:rPr>
                <w:rFonts w:hint="eastAsia"/>
                <w:color w:val="auto"/>
                <w:spacing w:val="0"/>
                <w:sz w:val="24"/>
                <w:szCs w:val="24"/>
                <w:lang w:eastAsia="zh-CN"/>
              </w:rPr>
              <w:t>满足</w:t>
            </w:r>
            <w:r>
              <w:rPr>
                <w:rFonts w:hint="eastAsia"/>
                <w:color w:val="auto"/>
                <w:spacing w:val="0"/>
                <w:sz w:val="24"/>
                <w:szCs w:val="24"/>
              </w:rPr>
              <w:t>《施工场界扬尘排放限值》（DB61/1078-2017）</w:t>
            </w:r>
            <w:r>
              <w:rPr>
                <w:rFonts w:hint="eastAsia"/>
                <w:color w:val="auto"/>
                <w:spacing w:val="0"/>
                <w:sz w:val="24"/>
                <w:szCs w:val="24"/>
                <w:lang w:eastAsia="zh-CN"/>
              </w:rPr>
              <w:t>中施工场界扬尘浓度限值</w:t>
            </w:r>
          </w:p>
        </w:tc>
        <w:tc>
          <w:tcPr>
            <w:tcW w:w="1067" w:type="dxa"/>
            <w:noWrap w:val="0"/>
            <w:vAlign w:val="center"/>
          </w:tcPr>
          <w:p w14:paraId="2092BCB2">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color w:val="auto"/>
                <w:spacing w:val="0"/>
                <w:sz w:val="24"/>
                <w:szCs w:val="24"/>
                <w:lang w:val="en-US"/>
              </w:rPr>
            </w:pPr>
            <w:r>
              <w:rPr>
                <w:rFonts w:hint="eastAsia" w:ascii="Times New Roman" w:hAnsi="Times New Roman" w:eastAsia="宋体" w:cs="Times New Roman"/>
                <w:color w:val="auto"/>
                <w:spacing w:val="0"/>
                <w:kern w:val="0"/>
                <w:sz w:val="24"/>
                <w:szCs w:val="24"/>
                <w:lang w:val="en-US" w:eastAsia="zh-CN" w:bidi="ar"/>
              </w:rPr>
              <w:t>/</w:t>
            </w:r>
          </w:p>
        </w:tc>
        <w:tc>
          <w:tcPr>
            <w:tcW w:w="829" w:type="dxa"/>
            <w:noWrap w:val="0"/>
            <w:vAlign w:val="center"/>
          </w:tcPr>
          <w:p w14:paraId="2E51C052">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eastAsia="宋体"/>
                <w:color w:val="auto"/>
                <w:spacing w:val="0"/>
                <w:sz w:val="24"/>
                <w:szCs w:val="24"/>
                <w:lang w:val="en-US" w:eastAsia="zh-CN"/>
              </w:rPr>
            </w:pPr>
          </w:p>
        </w:tc>
      </w:tr>
      <w:tr w14:paraId="1F607B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6" w:hRule="atLeast"/>
          <w:jc w:val="center"/>
        </w:trPr>
        <w:tc>
          <w:tcPr>
            <w:tcW w:w="1479" w:type="dxa"/>
            <w:noWrap w:val="0"/>
            <w:vAlign w:val="center"/>
          </w:tcPr>
          <w:p w14:paraId="079854DF">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eastAsia" w:ascii="Times New Roman" w:hAnsi="Times New Roman" w:eastAsia="宋体" w:cs="Times New Roman"/>
                <w:color w:val="auto"/>
                <w:spacing w:val="0"/>
                <w:sz w:val="24"/>
                <w:szCs w:val="24"/>
                <w:highlight w:val="none"/>
                <w:lang w:val="en-US" w:eastAsia="zh-CN"/>
              </w:rPr>
            </w:pPr>
            <w:r>
              <w:rPr>
                <w:rFonts w:hint="eastAsia" w:ascii="Times New Roman" w:hAnsi="Times New Roman" w:eastAsia="宋体" w:cs="Times New Roman"/>
                <w:color w:val="auto"/>
                <w:spacing w:val="0"/>
                <w:sz w:val="24"/>
                <w:szCs w:val="24"/>
                <w:highlight w:val="none"/>
                <w:lang w:val="en-US" w:eastAsia="zh-CN"/>
              </w:rPr>
              <w:t>固体废物</w:t>
            </w:r>
          </w:p>
        </w:tc>
        <w:tc>
          <w:tcPr>
            <w:tcW w:w="3591" w:type="dxa"/>
            <w:noWrap w:val="0"/>
            <w:vAlign w:val="center"/>
          </w:tcPr>
          <w:p w14:paraId="49B16EE1">
            <w:pPr>
              <w:pStyle w:val="35"/>
              <w:spacing w:before="39" w:line="246" w:lineRule="auto"/>
              <w:ind w:left="0" w:leftChars="0" w:right="105" w:rightChars="0" w:firstLine="0" w:firstLineChars="0"/>
              <w:jc w:val="both"/>
              <w:rPr>
                <w:rFonts w:hint="eastAsia" w:ascii="Times New Roman" w:hAnsi="Times New Roman" w:eastAsia="宋体" w:cs="Times New Roman"/>
                <w:color w:val="auto"/>
                <w:spacing w:val="0"/>
                <w:sz w:val="24"/>
                <w:szCs w:val="24"/>
                <w:highlight w:val="none"/>
                <w:lang w:val="en-US" w:eastAsia="zh-CN"/>
              </w:rPr>
            </w:pPr>
            <w:r>
              <w:rPr>
                <w:rFonts w:hint="eastAsia" w:ascii="Times New Roman" w:hAnsi="Times New Roman"/>
                <w:color w:val="auto"/>
                <w:sz w:val="24"/>
                <w:szCs w:val="24"/>
                <w:vertAlign w:val="baseline"/>
                <w:lang w:val="en-US" w:eastAsia="zh-CN"/>
              </w:rPr>
              <w:t>施工剥离的表土单独堆存，用于施工结束后植被恢复；</w:t>
            </w:r>
            <w:r>
              <w:rPr>
                <w:rFonts w:hint="eastAsia" w:ascii="Times New Roman" w:hAnsi="Times New Roman" w:eastAsia="宋体"/>
                <w:color w:val="auto"/>
                <w:sz w:val="24"/>
                <w:szCs w:val="24"/>
                <w:vertAlign w:val="baseline"/>
                <w:lang w:val="en-US" w:eastAsia="zh-CN"/>
              </w:rPr>
              <w:t>施工产生的建筑废料及时外运</w:t>
            </w:r>
            <w:r>
              <w:rPr>
                <w:rFonts w:hint="eastAsia" w:ascii="Times New Roman" w:hAnsi="Times New Roman"/>
                <w:color w:val="auto"/>
                <w:sz w:val="24"/>
                <w:szCs w:val="24"/>
                <w:vertAlign w:val="baseline"/>
                <w:lang w:val="en-US" w:eastAsia="zh-CN"/>
              </w:rPr>
              <w:t>至当地建筑垃圾填埋场；多余弃方</w:t>
            </w:r>
            <w:r>
              <w:rPr>
                <w:rFonts w:hint="default" w:cs="Times New Roman"/>
                <w:color w:val="auto"/>
                <w:kern w:val="0"/>
                <w:sz w:val="24"/>
                <w:szCs w:val="24"/>
                <w:highlight w:val="none"/>
                <w:vertAlign w:val="baseline"/>
                <w:lang w:val="en-US" w:eastAsia="zh-CN" w:bidi="ar"/>
              </w:rPr>
              <w:t>外运至</w:t>
            </w:r>
            <w:r>
              <w:rPr>
                <w:rFonts w:hint="eastAsia" w:cs="Times New Roman"/>
                <w:color w:val="auto"/>
                <w:kern w:val="0"/>
                <w:sz w:val="24"/>
                <w:szCs w:val="24"/>
                <w:highlight w:val="none"/>
                <w:vertAlign w:val="baseline"/>
                <w:lang w:val="en-US" w:eastAsia="zh-CN" w:bidi="ar"/>
              </w:rPr>
              <w:t>陇县国有化标准砂石厂综合利用</w:t>
            </w:r>
            <w:r>
              <w:rPr>
                <w:rFonts w:hint="eastAsia" w:ascii="Times New Roman" w:hAnsi="Times New Roman"/>
                <w:color w:val="auto"/>
                <w:sz w:val="24"/>
                <w:szCs w:val="24"/>
                <w:vertAlign w:val="baseline"/>
                <w:lang w:val="en-US" w:eastAsia="zh-CN"/>
              </w:rPr>
              <w:t>；</w:t>
            </w:r>
            <w:r>
              <w:rPr>
                <w:rFonts w:ascii="Times New Roman" w:hAnsi="Times New Roman" w:eastAsia="宋体"/>
                <w:color w:val="auto"/>
                <w:spacing w:val="16"/>
                <w:sz w:val="24"/>
                <w:szCs w:val="24"/>
              </w:rPr>
              <w:t>生活垃圾分类收集</w:t>
            </w:r>
            <w:r>
              <w:rPr>
                <w:rFonts w:hint="eastAsia" w:ascii="Times New Roman" w:hAnsi="Times New Roman"/>
                <w:color w:val="auto"/>
                <w:spacing w:val="16"/>
                <w:sz w:val="24"/>
                <w:szCs w:val="24"/>
                <w:lang w:val="en-US" w:eastAsia="zh-CN"/>
              </w:rPr>
              <w:t>至垃圾桶</w:t>
            </w:r>
            <w:r>
              <w:rPr>
                <w:rFonts w:ascii="Times New Roman" w:hAnsi="Times New Roman" w:eastAsia="宋体"/>
                <w:color w:val="auto"/>
                <w:spacing w:val="16"/>
                <w:sz w:val="24"/>
                <w:szCs w:val="24"/>
              </w:rPr>
              <w:t>后定期清运</w:t>
            </w:r>
            <w:r>
              <w:rPr>
                <w:rFonts w:ascii="Times New Roman" w:hAnsi="Times New Roman" w:eastAsia="宋体"/>
                <w:color w:val="auto"/>
                <w:spacing w:val="7"/>
                <w:sz w:val="24"/>
                <w:szCs w:val="24"/>
              </w:rPr>
              <w:t>至环卫部门指定地点处置</w:t>
            </w:r>
            <w:r>
              <w:rPr>
                <w:rFonts w:hint="eastAsia" w:ascii="Times New Roman" w:hAnsi="Times New Roman"/>
                <w:color w:val="auto"/>
                <w:spacing w:val="7"/>
                <w:sz w:val="24"/>
                <w:szCs w:val="24"/>
                <w:lang w:eastAsia="zh-CN"/>
              </w:rPr>
              <w:t>。</w:t>
            </w:r>
          </w:p>
        </w:tc>
        <w:tc>
          <w:tcPr>
            <w:tcW w:w="1972" w:type="dxa"/>
            <w:noWrap w:val="0"/>
            <w:vAlign w:val="center"/>
          </w:tcPr>
          <w:p w14:paraId="3970B5A9">
            <w:pPr>
              <w:pStyle w:val="35"/>
              <w:spacing w:before="65" w:line="232" w:lineRule="auto"/>
              <w:ind w:left="0" w:leftChars="0" w:firstLine="0" w:firstLineChars="0"/>
              <w:jc w:val="center"/>
              <w:rPr>
                <w:rFonts w:hint="eastAsia" w:eastAsia="宋体"/>
                <w:color w:val="auto"/>
                <w:spacing w:val="0"/>
                <w:sz w:val="24"/>
                <w:szCs w:val="24"/>
                <w:lang w:val="en-US" w:eastAsia="zh-CN"/>
              </w:rPr>
            </w:pPr>
            <w:r>
              <w:rPr>
                <w:rFonts w:ascii="Times New Roman" w:hAnsi="Times New Roman" w:eastAsia="宋体"/>
                <w:color w:val="auto"/>
                <w:spacing w:val="7"/>
                <w:sz w:val="24"/>
                <w:szCs w:val="24"/>
              </w:rPr>
              <w:t>合理处置</w:t>
            </w:r>
          </w:p>
        </w:tc>
        <w:tc>
          <w:tcPr>
            <w:tcW w:w="1067" w:type="dxa"/>
            <w:noWrap w:val="0"/>
            <w:vAlign w:val="center"/>
          </w:tcPr>
          <w:p w14:paraId="300ED0D3">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color w:val="auto"/>
                <w:spacing w:val="0"/>
                <w:sz w:val="24"/>
                <w:szCs w:val="24"/>
                <w:lang w:val="en-US"/>
              </w:rPr>
            </w:pPr>
            <w:r>
              <w:rPr>
                <w:rFonts w:hint="eastAsia" w:ascii="Times New Roman" w:hAnsi="Times New Roman" w:eastAsia="宋体" w:cs="Times New Roman"/>
                <w:color w:val="auto"/>
                <w:spacing w:val="0"/>
                <w:kern w:val="0"/>
                <w:sz w:val="24"/>
                <w:szCs w:val="24"/>
                <w:lang w:val="en-US" w:eastAsia="zh-CN" w:bidi="ar"/>
              </w:rPr>
              <w:t>/</w:t>
            </w:r>
          </w:p>
        </w:tc>
        <w:tc>
          <w:tcPr>
            <w:tcW w:w="829" w:type="dxa"/>
            <w:noWrap w:val="0"/>
            <w:vAlign w:val="center"/>
          </w:tcPr>
          <w:p w14:paraId="0F55DC67">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eastAsia="宋体"/>
                <w:color w:val="auto"/>
                <w:spacing w:val="0"/>
                <w:sz w:val="24"/>
                <w:szCs w:val="24"/>
                <w:lang w:val="en-US" w:eastAsia="zh-CN"/>
              </w:rPr>
            </w:pPr>
            <w:r>
              <w:rPr>
                <w:rFonts w:hint="eastAsia" w:eastAsia="宋体"/>
                <w:color w:val="auto"/>
                <w:spacing w:val="0"/>
                <w:sz w:val="24"/>
                <w:szCs w:val="24"/>
                <w:lang w:val="en-US" w:eastAsia="zh-CN"/>
              </w:rPr>
              <w:t>/</w:t>
            </w:r>
          </w:p>
        </w:tc>
      </w:tr>
      <w:tr w14:paraId="0E2351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1479" w:type="dxa"/>
            <w:noWrap w:val="0"/>
            <w:vAlign w:val="center"/>
          </w:tcPr>
          <w:p w14:paraId="39FD8BA0">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eastAsia="宋体"/>
                <w:color w:val="auto"/>
                <w:spacing w:val="0"/>
                <w:sz w:val="24"/>
                <w:szCs w:val="24"/>
                <w:lang w:val="en-US" w:eastAsia="zh-CN"/>
              </w:rPr>
            </w:pPr>
            <w:r>
              <w:rPr>
                <w:rFonts w:hint="eastAsia"/>
                <w:color w:val="auto"/>
                <w:spacing w:val="0"/>
                <w:sz w:val="24"/>
                <w:szCs w:val="24"/>
                <w:lang w:val="en-US" w:eastAsia="zh-CN"/>
              </w:rPr>
              <w:t>电磁环境</w:t>
            </w:r>
          </w:p>
        </w:tc>
        <w:tc>
          <w:tcPr>
            <w:tcW w:w="3591" w:type="dxa"/>
            <w:noWrap w:val="0"/>
            <w:vAlign w:val="center"/>
          </w:tcPr>
          <w:p w14:paraId="64C03170">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color w:val="auto"/>
                <w:spacing w:val="0"/>
                <w:sz w:val="24"/>
                <w:szCs w:val="24"/>
                <w:lang w:val="en-US" w:eastAsia="zh-CN"/>
              </w:rPr>
            </w:pPr>
            <w:r>
              <w:rPr>
                <w:rFonts w:hint="eastAsia"/>
                <w:color w:val="auto"/>
                <w:spacing w:val="0"/>
                <w:sz w:val="24"/>
                <w:szCs w:val="24"/>
                <w:lang w:val="en-US" w:eastAsia="zh-CN"/>
              </w:rPr>
              <w:t>/</w:t>
            </w:r>
          </w:p>
        </w:tc>
        <w:tc>
          <w:tcPr>
            <w:tcW w:w="1972" w:type="dxa"/>
            <w:noWrap w:val="0"/>
            <w:vAlign w:val="center"/>
          </w:tcPr>
          <w:p w14:paraId="361D4812">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eastAsia="宋体"/>
                <w:color w:val="auto"/>
                <w:spacing w:val="0"/>
                <w:sz w:val="24"/>
                <w:szCs w:val="24"/>
                <w:lang w:val="en-US" w:eastAsia="zh-CN"/>
              </w:rPr>
            </w:pPr>
            <w:r>
              <w:rPr>
                <w:rFonts w:hint="eastAsia" w:eastAsia="宋体"/>
                <w:color w:val="auto"/>
                <w:spacing w:val="0"/>
                <w:sz w:val="24"/>
                <w:szCs w:val="24"/>
                <w:lang w:val="en-US" w:eastAsia="zh-CN"/>
              </w:rPr>
              <w:t>/</w:t>
            </w:r>
          </w:p>
        </w:tc>
        <w:tc>
          <w:tcPr>
            <w:tcW w:w="1067" w:type="dxa"/>
            <w:noWrap w:val="0"/>
            <w:vAlign w:val="center"/>
          </w:tcPr>
          <w:p w14:paraId="30983FDE">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eastAsia" w:eastAsia="宋体"/>
                <w:color w:val="auto"/>
                <w:spacing w:val="0"/>
                <w:sz w:val="24"/>
                <w:szCs w:val="24"/>
                <w:lang w:val="en-US" w:eastAsia="zh-CN"/>
              </w:rPr>
            </w:pPr>
            <w:r>
              <w:rPr>
                <w:rFonts w:hint="eastAsia"/>
                <w:color w:val="auto"/>
                <w:spacing w:val="0"/>
                <w:sz w:val="24"/>
                <w:szCs w:val="24"/>
                <w:lang w:val="en-US" w:eastAsia="zh-CN"/>
              </w:rPr>
              <w:t>/</w:t>
            </w:r>
          </w:p>
        </w:tc>
        <w:tc>
          <w:tcPr>
            <w:tcW w:w="829" w:type="dxa"/>
            <w:noWrap w:val="0"/>
            <w:vAlign w:val="center"/>
          </w:tcPr>
          <w:p w14:paraId="52947463">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eastAsia" w:eastAsia="宋体"/>
                <w:color w:val="auto"/>
                <w:spacing w:val="0"/>
                <w:sz w:val="24"/>
                <w:szCs w:val="24"/>
                <w:lang w:val="en-US" w:eastAsia="zh-CN"/>
              </w:rPr>
            </w:pPr>
            <w:r>
              <w:rPr>
                <w:rFonts w:hint="eastAsia"/>
                <w:color w:val="auto"/>
                <w:spacing w:val="0"/>
                <w:sz w:val="24"/>
                <w:szCs w:val="24"/>
                <w:lang w:val="en-US" w:eastAsia="zh-CN"/>
              </w:rPr>
              <w:t>/</w:t>
            </w:r>
          </w:p>
        </w:tc>
      </w:tr>
      <w:tr w14:paraId="44DF90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479" w:type="dxa"/>
            <w:noWrap w:val="0"/>
            <w:vAlign w:val="center"/>
          </w:tcPr>
          <w:p w14:paraId="4FA7B5DF">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color w:val="auto"/>
                <w:spacing w:val="0"/>
                <w:sz w:val="24"/>
                <w:szCs w:val="24"/>
                <w:lang w:val="en-US" w:eastAsia="zh-CN"/>
              </w:rPr>
            </w:pPr>
            <w:r>
              <w:rPr>
                <w:rFonts w:hint="eastAsia"/>
                <w:color w:val="auto"/>
                <w:spacing w:val="0"/>
                <w:sz w:val="24"/>
                <w:szCs w:val="24"/>
                <w:lang w:val="en-US" w:eastAsia="zh-CN"/>
              </w:rPr>
              <w:t>环境风险</w:t>
            </w:r>
          </w:p>
        </w:tc>
        <w:tc>
          <w:tcPr>
            <w:tcW w:w="3591" w:type="dxa"/>
            <w:noWrap w:val="0"/>
            <w:vAlign w:val="center"/>
          </w:tcPr>
          <w:p w14:paraId="331A714C">
            <w:pPr>
              <w:pStyle w:val="35"/>
              <w:spacing w:before="39" w:line="246" w:lineRule="auto"/>
              <w:ind w:left="0" w:leftChars="0" w:right="105" w:rightChars="0" w:firstLine="0" w:firstLineChars="0"/>
              <w:jc w:val="center"/>
              <w:rPr>
                <w:rFonts w:hint="default" w:ascii="Times New Roman" w:hAnsi="Times New Roman" w:eastAsia="宋体" w:cs="宋体"/>
                <w:color w:val="auto"/>
                <w:sz w:val="24"/>
                <w:szCs w:val="24"/>
                <w:vertAlign w:val="baseline"/>
                <w:lang w:val="en-US" w:eastAsia="zh-CN"/>
              </w:rPr>
            </w:pPr>
            <w:r>
              <w:rPr>
                <w:rFonts w:hint="eastAsia" w:ascii="Times New Roman" w:hAnsi="Times New Roman" w:eastAsia="宋体" w:cs="宋体"/>
                <w:color w:val="auto"/>
                <w:sz w:val="24"/>
                <w:szCs w:val="24"/>
                <w:vertAlign w:val="baseline"/>
                <w:lang w:val="en-US" w:eastAsia="zh-CN"/>
              </w:rPr>
              <w:t>加强施工机械、运输车辆的管理和维修保养；严格控制施工作业范围；若有油类物质</w:t>
            </w:r>
            <w:r>
              <w:rPr>
                <w:rFonts w:hint="eastAsia" w:ascii="Times New Roman" w:hAnsi="Times New Roman" w:cs="宋体"/>
                <w:color w:val="auto"/>
                <w:sz w:val="24"/>
                <w:szCs w:val="24"/>
                <w:vertAlign w:val="baseline"/>
                <w:lang w:val="en-US" w:eastAsia="zh-CN"/>
              </w:rPr>
              <w:t>泄漏</w:t>
            </w:r>
            <w:r>
              <w:rPr>
                <w:rFonts w:hint="eastAsia" w:ascii="Times New Roman" w:hAnsi="Times New Roman" w:eastAsia="宋体" w:cs="宋体"/>
                <w:color w:val="auto"/>
                <w:sz w:val="24"/>
                <w:szCs w:val="24"/>
                <w:vertAlign w:val="baseline"/>
                <w:lang w:val="en-US" w:eastAsia="zh-CN"/>
              </w:rPr>
              <w:t>，则对</w:t>
            </w:r>
            <w:r>
              <w:rPr>
                <w:rFonts w:hint="eastAsia" w:ascii="Times New Roman" w:hAnsi="Times New Roman" w:cs="宋体"/>
                <w:color w:val="auto"/>
                <w:sz w:val="24"/>
                <w:szCs w:val="24"/>
                <w:vertAlign w:val="baseline"/>
                <w:lang w:val="en-US" w:eastAsia="zh-CN"/>
              </w:rPr>
              <w:t>泄漏</w:t>
            </w:r>
            <w:r>
              <w:rPr>
                <w:rFonts w:hint="eastAsia" w:ascii="Times New Roman" w:hAnsi="Times New Roman" w:eastAsia="宋体" w:cs="宋体"/>
                <w:color w:val="auto"/>
                <w:sz w:val="24"/>
                <w:szCs w:val="24"/>
                <w:vertAlign w:val="baseline"/>
                <w:lang w:val="en-US" w:eastAsia="zh-CN"/>
              </w:rPr>
              <w:t>的油类物质进行导流、收集后，施工结束后由有资质单位收集处置，对污染场地采取修复措施。</w:t>
            </w:r>
          </w:p>
        </w:tc>
        <w:tc>
          <w:tcPr>
            <w:tcW w:w="1972" w:type="dxa"/>
            <w:noWrap w:val="0"/>
            <w:vAlign w:val="center"/>
          </w:tcPr>
          <w:p w14:paraId="01CD6469">
            <w:pPr>
              <w:pStyle w:val="35"/>
              <w:spacing w:before="39" w:line="246" w:lineRule="auto"/>
              <w:ind w:left="0" w:leftChars="0" w:right="105" w:rightChars="0" w:firstLine="0" w:firstLineChars="0"/>
              <w:jc w:val="center"/>
              <w:rPr>
                <w:rFonts w:hint="default" w:ascii="Times New Roman" w:hAnsi="Times New Roman" w:eastAsia="宋体" w:cs="宋体"/>
                <w:color w:val="auto"/>
                <w:sz w:val="24"/>
                <w:szCs w:val="24"/>
                <w:vertAlign w:val="baseline"/>
                <w:lang w:val="en-US" w:eastAsia="zh-CN"/>
              </w:rPr>
            </w:pPr>
            <w:r>
              <w:rPr>
                <w:rFonts w:hint="eastAsia" w:ascii="Times New Roman" w:hAnsi="Times New Roman" w:eastAsia="宋体" w:cs="宋体"/>
                <w:color w:val="auto"/>
                <w:sz w:val="24"/>
                <w:szCs w:val="24"/>
                <w:vertAlign w:val="baseline"/>
                <w:lang w:val="en-US" w:eastAsia="zh-CN"/>
              </w:rPr>
              <w:t>按环评要求落实</w:t>
            </w:r>
          </w:p>
        </w:tc>
        <w:tc>
          <w:tcPr>
            <w:tcW w:w="1067" w:type="dxa"/>
            <w:noWrap w:val="0"/>
            <w:vAlign w:val="center"/>
          </w:tcPr>
          <w:p w14:paraId="3ED8AA51">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eastAsia" w:eastAsia="宋体"/>
                <w:color w:val="auto"/>
                <w:spacing w:val="0"/>
                <w:sz w:val="24"/>
                <w:szCs w:val="24"/>
                <w:lang w:val="en-US" w:eastAsia="zh-CN"/>
              </w:rPr>
            </w:pPr>
            <w:r>
              <w:rPr>
                <w:rFonts w:hint="eastAsia"/>
                <w:color w:val="auto"/>
                <w:spacing w:val="0"/>
                <w:sz w:val="24"/>
                <w:szCs w:val="24"/>
                <w:lang w:val="en-US" w:eastAsia="zh-CN"/>
              </w:rPr>
              <w:t>/</w:t>
            </w:r>
          </w:p>
        </w:tc>
        <w:tc>
          <w:tcPr>
            <w:tcW w:w="829" w:type="dxa"/>
            <w:noWrap w:val="0"/>
            <w:vAlign w:val="center"/>
          </w:tcPr>
          <w:p w14:paraId="6DB403B0">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eastAsia" w:eastAsia="宋体"/>
                <w:color w:val="auto"/>
                <w:spacing w:val="0"/>
                <w:sz w:val="24"/>
                <w:szCs w:val="24"/>
                <w:lang w:val="en-US" w:eastAsia="zh-CN"/>
              </w:rPr>
            </w:pPr>
            <w:r>
              <w:rPr>
                <w:rFonts w:hint="eastAsia"/>
                <w:color w:val="auto"/>
                <w:spacing w:val="0"/>
                <w:sz w:val="24"/>
                <w:szCs w:val="24"/>
                <w:lang w:val="en-US" w:eastAsia="zh-CN"/>
              </w:rPr>
              <w:t>/</w:t>
            </w:r>
          </w:p>
        </w:tc>
      </w:tr>
      <w:tr w14:paraId="54AD9A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479" w:type="dxa"/>
            <w:noWrap w:val="0"/>
            <w:vAlign w:val="center"/>
          </w:tcPr>
          <w:p w14:paraId="35B2BCF7">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color w:val="auto"/>
                <w:spacing w:val="0"/>
                <w:sz w:val="24"/>
                <w:szCs w:val="24"/>
                <w:lang w:val="en-US" w:eastAsia="zh-CN"/>
              </w:rPr>
            </w:pPr>
            <w:r>
              <w:rPr>
                <w:rFonts w:hint="eastAsia"/>
                <w:color w:val="auto"/>
                <w:spacing w:val="0"/>
                <w:sz w:val="24"/>
                <w:szCs w:val="24"/>
                <w:lang w:val="en-US" w:eastAsia="zh-CN"/>
              </w:rPr>
              <w:t>环境监测</w:t>
            </w:r>
          </w:p>
        </w:tc>
        <w:tc>
          <w:tcPr>
            <w:tcW w:w="3591" w:type="dxa"/>
            <w:noWrap w:val="0"/>
            <w:vAlign w:val="center"/>
          </w:tcPr>
          <w:p w14:paraId="5A4EE93C">
            <w:pPr>
              <w:pStyle w:val="20"/>
              <w:keepNext w:val="0"/>
              <w:keepLines w:val="0"/>
              <w:pageBreakBefore w:val="0"/>
              <w:widowControl w:val="0"/>
              <w:kinsoku/>
              <w:wordWrap/>
              <w:overflowPunct w:val="0"/>
              <w:topLinePunct/>
              <w:autoSpaceDE/>
              <w:autoSpaceDN/>
              <w:bidi w:val="0"/>
              <w:adjustRightInd/>
              <w:snapToGrid/>
              <w:spacing w:line="240" w:lineRule="auto"/>
              <w:jc w:val="center"/>
              <w:rPr>
                <w:rFonts w:hint="default"/>
                <w:color w:val="auto"/>
                <w:spacing w:val="0"/>
                <w:sz w:val="24"/>
                <w:szCs w:val="24"/>
                <w:lang w:val="en-US" w:eastAsia="zh-CN"/>
              </w:rPr>
            </w:pPr>
            <w:r>
              <w:rPr>
                <w:rFonts w:hint="eastAsia"/>
                <w:color w:val="auto"/>
                <w:spacing w:val="0"/>
                <w:sz w:val="24"/>
                <w:szCs w:val="24"/>
                <w:lang w:val="en-US" w:eastAsia="zh-CN"/>
              </w:rPr>
              <w:t>/</w:t>
            </w:r>
          </w:p>
        </w:tc>
        <w:tc>
          <w:tcPr>
            <w:tcW w:w="1972" w:type="dxa"/>
            <w:noWrap w:val="0"/>
            <w:vAlign w:val="center"/>
          </w:tcPr>
          <w:p w14:paraId="2A04072A">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eastAsia="宋体"/>
                <w:color w:val="auto"/>
                <w:spacing w:val="0"/>
                <w:sz w:val="24"/>
                <w:szCs w:val="24"/>
                <w:lang w:val="en-US" w:eastAsia="zh-CN"/>
              </w:rPr>
            </w:pPr>
            <w:r>
              <w:rPr>
                <w:rFonts w:hint="eastAsia"/>
                <w:color w:val="auto"/>
                <w:spacing w:val="0"/>
                <w:sz w:val="24"/>
                <w:szCs w:val="24"/>
                <w:lang w:val="en-US" w:eastAsia="zh-CN"/>
              </w:rPr>
              <w:t>/</w:t>
            </w:r>
          </w:p>
        </w:tc>
        <w:tc>
          <w:tcPr>
            <w:tcW w:w="1067" w:type="dxa"/>
            <w:noWrap w:val="0"/>
            <w:vAlign w:val="center"/>
          </w:tcPr>
          <w:p w14:paraId="7C91F3B8">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eastAsia="宋体"/>
                <w:color w:val="auto"/>
                <w:spacing w:val="0"/>
                <w:sz w:val="24"/>
                <w:szCs w:val="24"/>
                <w:lang w:val="en-US" w:eastAsia="zh-CN"/>
              </w:rPr>
            </w:pPr>
            <w:r>
              <w:rPr>
                <w:rFonts w:hint="eastAsia"/>
                <w:color w:val="auto"/>
                <w:spacing w:val="0"/>
                <w:sz w:val="24"/>
                <w:szCs w:val="24"/>
                <w:lang w:val="en-US" w:eastAsia="zh-CN"/>
              </w:rPr>
              <w:t>人工湿地进出水口水质监测</w:t>
            </w:r>
          </w:p>
        </w:tc>
        <w:tc>
          <w:tcPr>
            <w:tcW w:w="829" w:type="dxa"/>
            <w:noWrap w:val="0"/>
            <w:vAlign w:val="center"/>
          </w:tcPr>
          <w:p w14:paraId="10B843A6">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eastAsia" w:eastAsia="宋体"/>
                <w:color w:val="auto"/>
                <w:spacing w:val="0"/>
                <w:sz w:val="24"/>
                <w:szCs w:val="24"/>
                <w:lang w:val="en-US" w:eastAsia="zh-CN"/>
              </w:rPr>
            </w:pPr>
            <w:r>
              <w:rPr>
                <w:rFonts w:hint="eastAsia"/>
                <w:color w:val="auto"/>
                <w:spacing w:val="0"/>
                <w:sz w:val="24"/>
                <w:szCs w:val="24"/>
                <w:lang w:val="en-US" w:eastAsia="zh-CN"/>
              </w:rPr>
              <w:t>/</w:t>
            </w:r>
          </w:p>
        </w:tc>
      </w:tr>
      <w:tr w14:paraId="0C4237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8" w:hRule="atLeast"/>
          <w:jc w:val="center"/>
        </w:trPr>
        <w:tc>
          <w:tcPr>
            <w:tcW w:w="1479" w:type="dxa"/>
            <w:noWrap w:val="0"/>
            <w:vAlign w:val="center"/>
          </w:tcPr>
          <w:p w14:paraId="01B34643">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default"/>
                <w:color w:val="auto"/>
                <w:spacing w:val="0"/>
                <w:sz w:val="24"/>
                <w:szCs w:val="24"/>
                <w:lang w:val="en-US" w:eastAsia="zh-CN"/>
              </w:rPr>
            </w:pPr>
            <w:r>
              <w:rPr>
                <w:rFonts w:hint="eastAsia"/>
                <w:color w:val="auto"/>
                <w:spacing w:val="0"/>
                <w:sz w:val="24"/>
                <w:szCs w:val="24"/>
                <w:lang w:val="en-US" w:eastAsia="zh-CN"/>
              </w:rPr>
              <w:t>其他</w:t>
            </w:r>
          </w:p>
        </w:tc>
        <w:tc>
          <w:tcPr>
            <w:tcW w:w="7459" w:type="dxa"/>
            <w:gridSpan w:val="4"/>
            <w:noWrap w:val="0"/>
            <w:vAlign w:val="center"/>
          </w:tcPr>
          <w:p w14:paraId="7B8848B4">
            <w:pPr>
              <w:keepNext w:val="0"/>
              <w:keepLines w:val="0"/>
              <w:pageBreakBefore w:val="0"/>
              <w:widowControl w:val="0"/>
              <w:kinsoku/>
              <w:wordWrap/>
              <w:overflowPunct w:val="0"/>
              <w:topLinePunct/>
              <w:autoSpaceDE/>
              <w:autoSpaceDN/>
              <w:bidi w:val="0"/>
              <w:adjustRightInd/>
              <w:snapToGrid/>
              <w:spacing w:line="240" w:lineRule="auto"/>
              <w:jc w:val="center"/>
              <w:textAlignment w:val="auto"/>
              <w:rPr>
                <w:rFonts w:hint="eastAsia" w:eastAsia="宋体"/>
                <w:color w:val="auto"/>
                <w:spacing w:val="0"/>
                <w:sz w:val="24"/>
                <w:szCs w:val="24"/>
                <w:lang w:val="en-US" w:eastAsia="zh-CN"/>
              </w:rPr>
            </w:pPr>
            <w:r>
              <w:rPr>
                <w:rFonts w:hint="eastAsia" w:eastAsia="宋体"/>
                <w:color w:val="auto"/>
                <w:spacing w:val="0"/>
                <w:sz w:val="24"/>
                <w:szCs w:val="24"/>
                <w:lang w:val="en-US" w:eastAsia="zh-CN"/>
              </w:rPr>
              <w:t>建设单位应按照《建设项目竣工环境保护验收</w:t>
            </w:r>
            <w:r>
              <w:rPr>
                <w:rFonts w:hint="eastAsia"/>
                <w:color w:val="auto"/>
                <w:spacing w:val="0"/>
                <w:sz w:val="24"/>
                <w:szCs w:val="24"/>
                <w:lang w:val="en-US" w:eastAsia="zh-CN"/>
              </w:rPr>
              <w:t>管理办法》</w:t>
            </w:r>
            <w:r>
              <w:rPr>
                <w:rFonts w:hint="eastAsia" w:eastAsia="宋体"/>
                <w:color w:val="auto"/>
                <w:spacing w:val="0"/>
                <w:sz w:val="24"/>
                <w:szCs w:val="24"/>
                <w:lang w:val="en-US" w:eastAsia="zh-CN"/>
              </w:rPr>
              <w:t>的相关规定，及时进行自主验收，并报当地生态环境主管部门备案。</w:t>
            </w:r>
          </w:p>
        </w:tc>
      </w:tr>
    </w:tbl>
    <w:p w14:paraId="41D5883F">
      <w:pPr>
        <w:pStyle w:val="15"/>
        <w:jc w:val="center"/>
        <w:outlineLvl w:val="0"/>
        <w:rPr>
          <w:rFonts w:ascii="黑体" w:hAnsi="黑体" w:eastAsia="黑体"/>
          <w:snapToGrid w:val="0"/>
          <w:color w:val="auto"/>
          <w:sz w:val="30"/>
          <w:szCs w:val="30"/>
        </w:rPr>
      </w:pPr>
      <w:r>
        <w:rPr>
          <w:snapToGrid w:val="0"/>
          <w:color w:val="auto"/>
        </w:rPr>
        <w:br w:type="page"/>
      </w:r>
      <w:r>
        <w:rPr>
          <w:rFonts w:hint="eastAsia" w:ascii="黑体" w:hAnsi="黑体" w:eastAsia="黑体"/>
          <w:snapToGrid w:val="0"/>
          <w:color w:val="auto"/>
          <w:sz w:val="30"/>
          <w:szCs w:val="30"/>
          <w:lang w:val="en-US" w:eastAsia="zh-CN"/>
        </w:rPr>
        <w:t>七</w:t>
      </w:r>
      <w:r>
        <w:rPr>
          <w:rFonts w:hint="eastAsia" w:ascii="黑体" w:hAnsi="黑体" w:eastAsia="黑体"/>
          <w:snapToGrid w:val="0"/>
          <w:color w:val="auto"/>
          <w:sz w:val="30"/>
          <w:szCs w:val="30"/>
        </w:rPr>
        <w:t>、结论</w:t>
      </w:r>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7E8A9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14:paraId="1EA458E3">
            <w:pPr>
              <w:pStyle w:val="35"/>
              <w:spacing w:before="39" w:line="360" w:lineRule="auto"/>
              <w:ind w:left="0" w:leftChars="0" w:right="105" w:rightChars="0" w:firstLine="480" w:firstLineChars="200"/>
              <w:jc w:val="both"/>
              <w:rPr>
                <w:rFonts w:ascii="宋体" w:cs="宋体"/>
                <w:color w:val="auto"/>
                <w:sz w:val="24"/>
              </w:rPr>
            </w:pPr>
            <w:r>
              <w:rPr>
                <w:rFonts w:hint="default" w:ascii="Times New Roman" w:hAnsi="Times New Roman" w:eastAsia="宋体" w:cs="宋体"/>
                <w:color w:val="auto"/>
                <w:sz w:val="24"/>
                <w:szCs w:val="24"/>
                <w:vertAlign w:val="baseline"/>
                <w:lang w:val="en-US" w:eastAsia="zh-CN"/>
              </w:rPr>
              <w:t>本项目的建设可</w:t>
            </w:r>
            <w:r>
              <w:rPr>
                <w:rFonts w:hint="eastAsia" w:ascii="Times New Roman" w:hAnsi="Times New Roman" w:cs="宋体"/>
                <w:color w:val="auto"/>
                <w:sz w:val="24"/>
                <w:szCs w:val="24"/>
                <w:vertAlign w:val="baseline"/>
                <w:lang w:val="en-US" w:eastAsia="zh-CN"/>
              </w:rPr>
              <w:t>减少排入千河的污染物</w:t>
            </w:r>
            <w:r>
              <w:rPr>
                <w:rFonts w:hint="default" w:ascii="Times New Roman" w:hAnsi="Times New Roman" w:eastAsia="宋体" w:cs="宋体"/>
                <w:color w:val="auto"/>
                <w:sz w:val="24"/>
                <w:szCs w:val="24"/>
                <w:vertAlign w:val="baseline"/>
                <w:lang w:val="en-US" w:eastAsia="zh-CN"/>
              </w:rPr>
              <w:t>，有利于改善</w:t>
            </w:r>
            <w:r>
              <w:rPr>
                <w:rFonts w:hint="eastAsia" w:ascii="Times New Roman" w:hAnsi="Times New Roman" w:cs="宋体"/>
                <w:color w:val="auto"/>
                <w:sz w:val="24"/>
                <w:szCs w:val="24"/>
                <w:vertAlign w:val="baseline"/>
                <w:lang w:val="en-US" w:eastAsia="zh-CN"/>
              </w:rPr>
              <w:t>千河的水质</w:t>
            </w:r>
            <w:r>
              <w:rPr>
                <w:rFonts w:hint="default" w:ascii="Times New Roman" w:hAnsi="Times New Roman" w:eastAsia="宋体" w:cs="宋体"/>
                <w:color w:val="auto"/>
                <w:sz w:val="24"/>
                <w:szCs w:val="24"/>
                <w:vertAlign w:val="baseline"/>
                <w:lang w:val="en-US" w:eastAsia="zh-CN"/>
              </w:rPr>
              <w:t>，且符合国家相关产业政策以及规划要求。建设单位在严格落实本次评价提出的生态环境保护措施和污染防治措施，履行环保</w:t>
            </w:r>
            <w:r>
              <w:rPr>
                <w:rFonts w:hint="eastAsia" w:ascii="Times New Roman" w:hAnsi="Times New Roman" w:cs="宋体"/>
                <w:color w:val="auto"/>
                <w:sz w:val="24"/>
                <w:szCs w:val="24"/>
                <w:vertAlign w:val="baseline"/>
                <w:lang w:val="en-US" w:eastAsia="zh-CN"/>
              </w:rPr>
              <w:t>″</w:t>
            </w:r>
            <w:r>
              <w:rPr>
                <w:rFonts w:hint="default" w:ascii="Times New Roman" w:hAnsi="Times New Roman" w:eastAsia="宋体" w:cs="宋体"/>
                <w:color w:val="auto"/>
                <w:sz w:val="24"/>
                <w:szCs w:val="24"/>
                <w:vertAlign w:val="baseline"/>
                <w:lang w:val="en-US" w:eastAsia="zh-CN"/>
              </w:rPr>
              <w:t>三同时</w:t>
            </w:r>
            <w:r>
              <w:rPr>
                <w:rFonts w:hint="eastAsia" w:ascii="Times New Roman" w:hAnsi="Times New Roman" w:cs="宋体"/>
                <w:color w:val="auto"/>
                <w:sz w:val="24"/>
                <w:szCs w:val="24"/>
                <w:vertAlign w:val="baseline"/>
                <w:lang w:val="en-US" w:eastAsia="zh-CN"/>
              </w:rPr>
              <w:t>″</w:t>
            </w:r>
            <w:r>
              <w:rPr>
                <w:rFonts w:hint="default" w:ascii="Times New Roman" w:hAnsi="Times New Roman" w:eastAsia="宋体" w:cs="宋体"/>
                <w:color w:val="auto"/>
                <w:sz w:val="24"/>
                <w:szCs w:val="24"/>
                <w:vertAlign w:val="baseline"/>
                <w:lang w:val="en-US" w:eastAsia="zh-CN"/>
              </w:rPr>
              <w:t>手续，加强施工管理</w:t>
            </w:r>
            <w:r>
              <w:rPr>
                <w:rFonts w:hint="eastAsia" w:ascii="Times New Roman" w:hAnsi="Times New Roman" w:cs="宋体"/>
                <w:color w:val="auto"/>
                <w:sz w:val="24"/>
                <w:szCs w:val="24"/>
                <w:vertAlign w:val="baseline"/>
                <w:lang w:val="en-US" w:eastAsia="zh-CN"/>
              </w:rPr>
              <w:t>的情况下</w:t>
            </w:r>
            <w:r>
              <w:rPr>
                <w:rFonts w:hint="default" w:ascii="Times New Roman" w:hAnsi="Times New Roman" w:eastAsia="宋体" w:cs="宋体"/>
                <w:color w:val="auto"/>
                <w:sz w:val="24"/>
                <w:szCs w:val="24"/>
                <w:vertAlign w:val="baseline"/>
                <w:lang w:val="en-US" w:eastAsia="zh-CN"/>
              </w:rPr>
              <w:t>，项目实施不会对当地环境质量及生态环境产生明显不利影响。从环境保护角度，建设项目环境影响可行。</w:t>
            </w:r>
          </w:p>
        </w:tc>
      </w:tr>
    </w:tbl>
    <w:p w14:paraId="04CD8DAD">
      <w:pPr>
        <w:rPr>
          <w:color w:val="auto"/>
        </w:rPr>
      </w:pPr>
    </w:p>
    <w:sectPr>
      <w:pgSz w:w="11905" w:h="16838"/>
      <w:pgMar w:top="1701" w:right="1531" w:bottom="1701" w:left="1531" w:header="851" w:footer="850" w:gutter="0"/>
      <w:pgBorders>
        <w:top w:val="none" w:sz="0" w:space="0"/>
        <w:left w:val="none" w:sz="0" w:space="0"/>
        <w:bottom w:val="none" w:sz="0" w:space="0"/>
        <w:right w:val="none" w:sz="0" w:space="0"/>
      </w:pgBorders>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Cambria Math">
    <w:panose1 w:val="02040503050406030204"/>
    <w:charset w:val="00"/>
    <w:family w:val="auto"/>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B3C7E">
    <w:pPr>
      <w:pStyle w:val="11"/>
      <w:jc w:val="right"/>
      <w:rPr>
        <w:lang w:eastAsia="zh-CN"/>
      </w:rPr>
    </w:pPr>
  </w:p>
  <w:p w14:paraId="49252414">
    <w:pPr>
      <w:pStyle w:val="11"/>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7DAB2">
    <w:pPr>
      <w:pStyle w:val="11"/>
      <w:rPr>
        <w:rFonts w:hint="eastAsia"/>
        <w:lang w:eastAsia="zh-CN"/>
      </w:rPr>
    </w:pPr>
  </w:p>
  <w:p w14:paraId="3C30219A">
    <w:pPr>
      <w:pStyle w:val="1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8FC4C">
    <w:pPr>
      <w:pStyle w:val="11"/>
      <w:jc w:val="both"/>
      <w:rPr>
        <w:lang w:eastAsia="zh-CN"/>
      </w:rPr>
    </w:pPr>
    <w:r>
      <w:rPr>
        <w:sz w:val="18"/>
      </w:rPr>
      <mc:AlternateContent>
        <mc:Choice Requires="wps">
          <w:drawing>
            <wp:anchor distT="0" distB="0" distL="114300" distR="114300" simplePos="0" relativeHeight="251661312" behindDoc="0" locked="0" layoutInCell="1" allowOverlap="1">
              <wp:simplePos x="0" y="0"/>
              <wp:positionH relativeFrom="margin">
                <wp:posOffset>2758440</wp:posOffset>
              </wp:positionH>
              <wp:positionV relativeFrom="paragraph">
                <wp:posOffset>177800</wp:posOffset>
              </wp:positionV>
              <wp:extent cx="20447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20447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D26788">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7.2pt;margin-top:14pt;height:144pt;width:16.1pt;mso-position-horizontal-relative:margin;z-index:251661312;mso-width-relative:page;mso-height-relative:page;" filled="f" stroked="f" coordsize="21600,21600" o:gfxdata="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A5hu/2AAAAAoBAAAPAAAAAAAAAAEAIAAAACIAAABkcnMvZG93&#10;bnJldi54bWxQSwECFAAUAAAACACHTuJAaYu5/TkCAABkBAAADgAAAAAAAAABACAAAAAnAQAAZHJz&#10;L2Uyb0RvYy54bWxQSwUGAAAAAAYABgBZAQAA0gUAAAAA&#10;">
              <v:fill on="f" focussize="0,0"/>
              <v:stroke on="f" weight="0.5pt"/>
              <v:imagedata o:title=""/>
              <o:lock v:ext="edit" aspectratio="f"/>
              <v:textbox inset="0mm,0mm,0mm,0mm" style="mso-fit-shape-to-text:t;">
                <w:txbxContent>
                  <w:p w14:paraId="02D26788">
                    <w:pPr>
                      <w:pStyle w:val="11"/>
                    </w:pPr>
                    <w:r>
                      <w:fldChar w:fldCharType="begin"/>
                    </w:r>
                    <w:r>
                      <w:instrText xml:space="preserve"> PAGE  \* MERGEFORMAT </w:instrText>
                    </w:r>
                    <w:r>
                      <w:fldChar w:fldCharType="separate"/>
                    </w:r>
                    <w:r>
                      <w:t>1</w:t>
                    </w:r>
                    <w:r>
                      <w:fldChar w:fldCharType="end"/>
                    </w:r>
                  </w:p>
                </w:txbxContent>
              </v:textbox>
            </v:shape>
          </w:pict>
        </mc:Fallback>
      </mc:AlternateContent>
    </w:r>
  </w:p>
  <w:p w14:paraId="574727CD">
    <w:pPr>
      <w:pStyle w:val="11"/>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13178E">
    <w:pPr>
      <w:pStyle w:val="11"/>
      <w:rPr>
        <w:rFonts w:hint="eastAsia"/>
        <w:lang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AFC4368">
                          <w:pPr>
                            <w:pStyle w:val="11"/>
                          </w:pPr>
                          <w:r>
                            <w:t xml:space="preserve">— </w:t>
                          </w: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28</w:t>
                          </w:r>
                          <w:r>
                            <w:rPr>
                              <w:sz w:val="21"/>
                              <w:szCs w:val="21"/>
                            </w:rPr>
                            <w:fldChar w:fldCharType="end"/>
                          </w:r>
                          <w:r>
                            <w:rPr>
                              <w:rFonts w:hint="eastAsia"/>
                              <w:sz w:val="21"/>
                              <w:szCs w:val="21"/>
                              <w:lang w:eastAsia="zh-CN"/>
                            </w:rPr>
                            <w:t xml:space="preserve"> </w:t>
                          </w:r>
                          <w:r>
                            <w:t>—</w:t>
                          </w:r>
                        </w:p>
                      </w:txbxContent>
                    </wps:txbx>
                    <wps:bodyPr wrap="none" lIns="0" tIns="0" rIns="0" bIns="0" upright="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4SV6lc0BAACoAwAADgAAAAAAAAABACAAAAAeAQAAZHJzL2Uy&#10;b0RvYy54bWxQSwUGAAAAAAYABgBZAQAAXQUAAAAA&#10;">
              <v:fill on="f" focussize="0,0"/>
              <v:stroke on="f"/>
              <v:imagedata o:title=""/>
              <o:lock v:ext="edit" aspectratio="f"/>
              <v:textbox inset="0mm,0mm,0mm,0mm" style="mso-fit-shape-to-text:t;">
                <w:txbxContent>
                  <w:p w14:paraId="6AFC4368">
                    <w:pPr>
                      <w:pStyle w:val="11"/>
                    </w:pPr>
                    <w:r>
                      <w:t xml:space="preserve">— </w:t>
                    </w: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28</w:t>
                    </w:r>
                    <w:r>
                      <w:rPr>
                        <w:sz w:val="21"/>
                        <w:szCs w:val="21"/>
                      </w:rPr>
                      <w:fldChar w:fldCharType="end"/>
                    </w:r>
                    <w:r>
                      <w:rPr>
                        <w:rFonts w:hint="eastAsia"/>
                        <w:sz w:val="21"/>
                        <w:szCs w:val="21"/>
                        <w:lang w:eastAsia="zh-CN"/>
                      </w:rPr>
                      <w:t xml:space="preserve"> </w:t>
                    </w:r>
                    <w:r>
                      <w:t>—</w:t>
                    </w:r>
                  </w:p>
                </w:txbxContent>
              </v:textbox>
            </v:shape>
          </w:pict>
        </mc:Fallback>
      </mc:AlternateContent>
    </w:r>
  </w:p>
  <w:p w14:paraId="33C2E33D">
    <w:pPr>
      <w:pStyle w:val="11"/>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1946C8"/>
    <w:multiLevelType w:val="singleLevel"/>
    <w:tmpl w:val="851946C8"/>
    <w:lvl w:ilvl="0" w:tentative="0">
      <w:start w:val="12"/>
      <w:numFmt w:val="decimal"/>
      <w:suff w:val="nothing"/>
      <w:lvlText w:val="%1）"/>
      <w:lvlJc w:val="left"/>
    </w:lvl>
  </w:abstractNum>
  <w:abstractNum w:abstractNumId="1">
    <w:nsid w:val="89B5158D"/>
    <w:multiLevelType w:val="singleLevel"/>
    <w:tmpl w:val="89B5158D"/>
    <w:lvl w:ilvl="0" w:tentative="0">
      <w:start w:val="11"/>
      <w:numFmt w:val="decimal"/>
      <w:suff w:val="nothing"/>
      <w:lvlText w:val="%1）"/>
      <w:lvlJc w:val="left"/>
    </w:lvl>
  </w:abstractNum>
  <w:abstractNum w:abstractNumId="2">
    <w:nsid w:val="B5B71057"/>
    <w:multiLevelType w:val="singleLevel"/>
    <w:tmpl w:val="B5B71057"/>
    <w:lvl w:ilvl="0" w:tentative="0">
      <w:start w:val="1"/>
      <w:numFmt w:val="decimal"/>
      <w:suff w:val="nothing"/>
      <w:lvlText w:val="%1、"/>
      <w:lvlJc w:val="left"/>
    </w:lvl>
  </w:abstractNum>
  <w:abstractNum w:abstractNumId="3">
    <w:nsid w:val="BAA9D9DF"/>
    <w:multiLevelType w:val="singleLevel"/>
    <w:tmpl w:val="BAA9D9DF"/>
    <w:lvl w:ilvl="0" w:tentative="0">
      <w:start w:val="1"/>
      <w:numFmt w:val="decimal"/>
      <w:suff w:val="nothing"/>
      <w:lvlText w:val="（%1）"/>
      <w:lvlJc w:val="left"/>
    </w:lvl>
  </w:abstractNum>
  <w:abstractNum w:abstractNumId="4">
    <w:nsid w:val="CF741C6D"/>
    <w:multiLevelType w:val="singleLevel"/>
    <w:tmpl w:val="CF741C6D"/>
    <w:lvl w:ilvl="0" w:tentative="0">
      <w:start w:val="1"/>
      <w:numFmt w:val="decimal"/>
      <w:suff w:val="nothing"/>
      <w:lvlText w:val="（%1）"/>
      <w:lvlJc w:val="left"/>
    </w:lvl>
  </w:abstractNum>
  <w:abstractNum w:abstractNumId="5">
    <w:nsid w:val="DAE5C2AA"/>
    <w:multiLevelType w:val="singleLevel"/>
    <w:tmpl w:val="DAE5C2AA"/>
    <w:lvl w:ilvl="0" w:tentative="0">
      <w:start w:val="1"/>
      <w:numFmt w:val="decimal"/>
      <w:suff w:val="nothing"/>
      <w:lvlText w:val="%1、"/>
      <w:lvlJc w:val="left"/>
    </w:lvl>
  </w:abstractNum>
  <w:abstractNum w:abstractNumId="6">
    <w:nsid w:val="5569E51C"/>
    <w:multiLevelType w:val="singleLevel"/>
    <w:tmpl w:val="5569E51C"/>
    <w:lvl w:ilvl="0" w:tentative="0">
      <w:start w:val="1"/>
      <w:numFmt w:val="decimal"/>
      <w:lvlText w:val="%1."/>
      <w:lvlJc w:val="left"/>
      <w:pPr>
        <w:tabs>
          <w:tab w:val="left" w:pos="312"/>
        </w:tabs>
      </w:pPr>
    </w:lvl>
  </w:abstractNum>
  <w:abstractNum w:abstractNumId="7">
    <w:nsid w:val="593C0600"/>
    <w:multiLevelType w:val="singleLevel"/>
    <w:tmpl w:val="593C0600"/>
    <w:lvl w:ilvl="0" w:tentative="0">
      <w:start w:val="1"/>
      <w:numFmt w:val="decimal"/>
      <w:suff w:val="nothing"/>
      <w:lvlText w:val="%1、"/>
      <w:lvlJc w:val="left"/>
    </w:lvl>
  </w:abstractNum>
  <w:abstractNum w:abstractNumId="8">
    <w:nsid w:val="7EBDD48D"/>
    <w:multiLevelType w:val="singleLevel"/>
    <w:tmpl w:val="7EBDD48D"/>
    <w:lvl w:ilvl="0" w:tentative="0">
      <w:start w:val="1"/>
      <w:numFmt w:val="decimal"/>
      <w:suff w:val="nothing"/>
      <w:lvlText w:val="%1、"/>
      <w:lvlJc w:val="left"/>
      <w:pPr>
        <w:ind w:left="148"/>
      </w:pPr>
    </w:lvl>
  </w:abstractNum>
  <w:num w:numId="1">
    <w:abstractNumId w:val="3"/>
  </w:num>
  <w:num w:numId="2">
    <w:abstractNumId w:val="6"/>
  </w:num>
  <w:num w:numId="3">
    <w:abstractNumId w:val="5"/>
  </w:num>
  <w:num w:numId="4">
    <w:abstractNumId w:val="1"/>
  </w:num>
  <w:num w:numId="5">
    <w:abstractNumId w:val="0"/>
  </w:num>
  <w:num w:numId="6">
    <w:abstractNumId w:val="8"/>
  </w:num>
  <w:num w:numId="7">
    <w:abstractNumId w:val="4"/>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361B01"/>
    <w:rsid w:val="00AE4E5E"/>
    <w:rsid w:val="020016E9"/>
    <w:rsid w:val="02437698"/>
    <w:rsid w:val="039E565E"/>
    <w:rsid w:val="03AD06A1"/>
    <w:rsid w:val="049E7BE4"/>
    <w:rsid w:val="0530165D"/>
    <w:rsid w:val="053E4A03"/>
    <w:rsid w:val="0696261C"/>
    <w:rsid w:val="06B70F10"/>
    <w:rsid w:val="07F2137D"/>
    <w:rsid w:val="08D77648"/>
    <w:rsid w:val="0A17220F"/>
    <w:rsid w:val="0B14530F"/>
    <w:rsid w:val="0E625C06"/>
    <w:rsid w:val="103E6AEE"/>
    <w:rsid w:val="106405B8"/>
    <w:rsid w:val="109951E3"/>
    <w:rsid w:val="13AE6CFA"/>
    <w:rsid w:val="149334F8"/>
    <w:rsid w:val="15323E58"/>
    <w:rsid w:val="15447A0F"/>
    <w:rsid w:val="158A06BD"/>
    <w:rsid w:val="15E11B06"/>
    <w:rsid w:val="15F1161D"/>
    <w:rsid w:val="17013AE2"/>
    <w:rsid w:val="1736461C"/>
    <w:rsid w:val="175956CC"/>
    <w:rsid w:val="1AA91AFB"/>
    <w:rsid w:val="1B88127C"/>
    <w:rsid w:val="1BFD5177"/>
    <w:rsid w:val="1BFF2AFC"/>
    <w:rsid w:val="1DA23576"/>
    <w:rsid w:val="1DF443A0"/>
    <w:rsid w:val="1DFD14A7"/>
    <w:rsid w:val="1E74728F"/>
    <w:rsid w:val="1E7828DC"/>
    <w:rsid w:val="1FF474D5"/>
    <w:rsid w:val="214967B1"/>
    <w:rsid w:val="219A5C58"/>
    <w:rsid w:val="23BA1BE8"/>
    <w:rsid w:val="248D6697"/>
    <w:rsid w:val="24973CD7"/>
    <w:rsid w:val="24EF25BE"/>
    <w:rsid w:val="25FC0296"/>
    <w:rsid w:val="260649ED"/>
    <w:rsid w:val="26404627"/>
    <w:rsid w:val="27147861"/>
    <w:rsid w:val="27202125"/>
    <w:rsid w:val="273A4F32"/>
    <w:rsid w:val="27426C46"/>
    <w:rsid w:val="27EF7218"/>
    <w:rsid w:val="285724F7"/>
    <w:rsid w:val="28B34027"/>
    <w:rsid w:val="28B9246E"/>
    <w:rsid w:val="28C8394B"/>
    <w:rsid w:val="29635E57"/>
    <w:rsid w:val="2AEC121F"/>
    <w:rsid w:val="2B4A2326"/>
    <w:rsid w:val="2BF512F6"/>
    <w:rsid w:val="2C343397"/>
    <w:rsid w:val="2DC073C4"/>
    <w:rsid w:val="2E24620A"/>
    <w:rsid w:val="2E410EE6"/>
    <w:rsid w:val="2E5F1C27"/>
    <w:rsid w:val="2EBF552C"/>
    <w:rsid w:val="30AD0B0B"/>
    <w:rsid w:val="30D836AE"/>
    <w:rsid w:val="31515CFC"/>
    <w:rsid w:val="31880C30"/>
    <w:rsid w:val="319516F4"/>
    <w:rsid w:val="31EE25B8"/>
    <w:rsid w:val="33E50BC6"/>
    <w:rsid w:val="34086058"/>
    <w:rsid w:val="344D6161"/>
    <w:rsid w:val="35611EC4"/>
    <w:rsid w:val="35A46254"/>
    <w:rsid w:val="37734130"/>
    <w:rsid w:val="39292CF8"/>
    <w:rsid w:val="396F4FB9"/>
    <w:rsid w:val="39D552AB"/>
    <w:rsid w:val="3A107557"/>
    <w:rsid w:val="3A9C399E"/>
    <w:rsid w:val="3B343BD6"/>
    <w:rsid w:val="3B64270E"/>
    <w:rsid w:val="3CC80A7A"/>
    <w:rsid w:val="3CE27D8E"/>
    <w:rsid w:val="3CF03B2D"/>
    <w:rsid w:val="403B7AEF"/>
    <w:rsid w:val="406F4EB4"/>
    <w:rsid w:val="42815953"/>
    <w:rsid w:val="42B555FD"/>
    <w:rsid w:val="43056584"/>
    <w:rsid w:val="430D368B"/>
    <w:rsid w:val="434A3F97"/>
    <w:rsid w:val="43886B45"/>
    <w:rsid w:val="43BF2BD7"/>
    <w:rsid w:val="44185E43"/>
    <w:rsid w:val="459260C9"/>
    <w:rsid w:val="45C538B6"/>
    <w:rsid w:val="467847A7"/>
    <w:rsid w:val="46813408"/>
    <w:rsid w:val="46D51C66"/>
    <w:rsid w:val="47420FE3"/>
    <w:rsid w:val="47DE3796"/>
    <w:rsid w:val="48164D90"/>
    <w:rsid w:val="48180B08"/>
    <w:rsid w:val="48A26623"/>
    <w:rsid w:val="48F01C77"/>
    <w:rsid w:val="49080B7C"/>
    <w:rsid w:val="498118F7"/>
    <w:rsid w:val="4AC97E97"/>
    <w:rsid w:val="4CA212E1"/>
    <w:rsid w:val="4CBE1552"/>
    <w:rsid w:val="4D600EC9"/>
    <w:rsid w:val="4E3077A6"/>
    <w:rsid w:val="4EEC5A77"/>
    <w:rsid w:val="50C51101"/>
    <w:rsid w:val="510F6CDF"/>
    <w:rsid w:val="518B234A"/>
    <w:rsid w:val="52484432"/>
    <w:rsid w:val="52DD4E28"/>
    <w:rsid w:val="53AB0A82"/>
    <w:rsid w:val="53AC47FA"/>
    <w:rsid w:val="552E07B1"/>
    <w:rsid w:val="55436A98"/>
    <w:rsid w:val="55572544"/>
    <w:rsid w:val="55A21A11"/>
    <w:rsid w:val="576B045F"/>
    <w:rsid w:val="57D85BBE"/>
    <w:rsid w:val="58450D79"/>
    <w:rsid w:val="585C67EF"/>
    <w:rsid w:val="58861440"/>
    <w:rsid w:val="58C31515"/>
    <w:rsid w:val="58C8033C"/>
    <w:rsid w:val="5927777C"/>
    <w:rsid w:val="59CF1242"/>
    <w:rsid w:val="5D335644"/>
    <w:rsid w:val="5D662A70"/>
    <w:rsid w:val="5EA26F25"/>
    <w:rsid w:val="5EE55CAA"/>
    <w:rsid w:val="5EF37781"/>
    <w:rsid w:val="5F30008D"/>
    <w:rsid w:val="5F781A34"/>
    <w:rsid w:val="5FAC75B1"/>
    <w:rsid w:val="606E3929"/>
    <w:rsid w:val="61007F33"/>
    <w:rsid w:val="611F2AAF"/>
    <w:rsid w:val="619507BD"/>
    <w:rsid w:val="62864468"/>
    <w:rsid w:val="62E018F9"/>
    <w:rsid w:val="63AC68B3"/>
    <w:rsid w:val="64C97258"/>
    <w:rsid w:val="653A1C66"/>
    <w:rsid w:val="65C94D98"/>
    <w:rsid w:val="68091DC3"/>
    <w:rsid w:val="681E586F"/>
    <w:rsid w:val="68C0060C"/>
    <w:rsid w:val="69690543"/>
    <w:rsid w:val="69DD0AC3"/>
    <w:rsid w:val="6B264A3A"/>
    <w:rsid w:val="6B2C2051"/>
    <w:rsid w:val="6B4E646B"/>
    <w:rsid w:val="6BC17491"/>
    <w:rsid w:val="6C7A6DEC"/>
    <w:rsid w:val="6D5B6C1D"/>
    <w:rsid w:val="6DDD7632"/>
    <w:rsid w:val="6F9E5515"/>
    <w:rsid w:val="6FDB4045"/>
    <w:rsid w:val="70FF5B11"/>
    <w:rsid w:val="71237A52"/>
    <w:rsid w:val="712B4B58"/>
    <w:rsid w:val="72225F5B"/>
    <w:rsid w:val="725974A3"/>
    <w:rsid w:val="72D07765"/>
    <w:rsid w:val="72D50446"/>
    <w:rsid w:val="749E7B1F"/>
    <w:rsid w:val="764D44B3"/>
    <w:rsid w:val="77A17150"/>
    <w:rsid w:val="77B33BCD"/>
    <w:rsid w:val="78764C12"/>
    <w:rsid w:val="78B10096"/>
    <w:rsid w:val="796643BD"/>
    <w:rsid w:val="7A4B2370"/>
    <w:rsid w:val="7AAD65DE"/>
    <w:rsid w:val="7B087CB8"/>
    <w:rsid w:val="7B876E2F"/>
    <w:rsid w:val="7BCD0B3A"/>
    <w:rsid w:val="7BD5702E"/>
    <w:rsid w:val="7CFE585E"/>
    <w:rsid w:val="7E2D1F10"/>
    <w:rsid w:val="7E580036"/>
    <w:rsid w:val="7EF44A7E"/>
    <w:rsid w:val="7F4B50A9"/>
    <w:rsid w:val="7F651B7D"/>
    <w:rsid w:val="7FEE3C5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2"/>
    <w:qFormat/>
    <w:uiPriority w:val="0"/>
    <w:pPr>
      <w:keepNext/>
      <w:keepLines/>
      <w:spacing w:beforeLines="0" w:beforeAutospacing="0" w:afterLines="0" w:afterAutospacing="0" w:line="360" w:lineRule="auto"/>
      <w:ind w:firstLine="0" w:firstLineChars="0"/>
      <w:jc w:val="left"/>
      <w:outlineLvl w:val="0"/>
    </w:pPr>
    <w:rPr>
      <w:rFonts w:ascii="Times New Roman" w:hAnsi="Times New Roman" w:eastAsia="宋体" w:cs="Times New Roman"/>
      <w:b/>
      <w:kern w:val="44"/>
      <w:sz w:val="32"/>
      <w:szCs w:val="32"/>
    </w:rPr>
  </w:style>
  <w:style w:type="paragraph" w:styleId="3">
    <w:name w:val="heading 2"/>
    <w:basedOn w:val="1"/>
    <w:next w:val="1"/>
    <w:unhideWhenUsed/>
    <w:qFormat/>
    <w:uiPriority w:val="0"/>
    <w:pPr>
      <w:keepNext/>
      <w:keepLines/>
      <w:spacing w:beforeAutospacing="0" w:afterLines="0" w:afterAutospacing="0" w:line="360" w:lineRule="auto"/>
      <w:ind w:firstLine="0" w:firstLineChars="0"/>
      <w:outlineLvl w:val="1"/>
    </w:pPr>
    <w:rPr>
      <w:rFonts w:ascii="Times New Roman" w:hAnsi="Times New Roman" w:eastAsia="仿宋" w:cs="Times New Roman"/>
      <w:b/>
      <w:sz w:val="30"/>
      <w:szCs w:val="30"/>
    </w:rPr>
  </w:style>
  <w:style w:type="paragraph" w:styleId="4">
    <w:name w:val="heading 3"/>
    <w:basedOn w:val="1"/>
    <w:next w:val="1"/>
    <w:unhideWhenUsed/>
    <w:qFormat/>
    <w:uiPriority w:val="0"/>
    <w:pPr>
      <w:keepNext/>
      <w:keepLines/>
      <w:spacing w:beforeLines="0" w:beforeAutospacing="0" w:afterLines="0" w:afterAutospacing="0" w:line="360" w:lineRule="auto"/>
      <w:ind w:firstLine="560" w:firstLineChars="200"/>
      <w:outlineLvl w:val="2"/>
    </w:pPr>
    <w:rPr>
      <w:rFonts w:ascii="Times New Roman" w:hAnsi="Times New Roman" w:eastAsia="宋体" w:cs="Times New Roman"/>
      <w:b/>
      <w:sz w:val="28"/>
      <w:szCs w:val="28"/>
    </w:rPr>
  </w:style>
  <w:style w:type="paragraph" w:styleId="5">
    <w:name w:val="heading 4"/>
    <w:basedOn w:val="1"/>
    <w:next w:val="1"/>
    <w:unhideWhenUsed/>
    <w:qFormat/>
    <w:uiPriority w:val="0"/>
    <w:pPr>
      <w:spacing w:line="360" w:lineRule="auto"/>
      <w:ind w:firstLine="0" w:firstLineChars="0"/>
      <w:jc w:val="center"/>
      <w:outlineLvl w:val="3"/>
    </w:pPr>
    <w:rPr>
      <w:rFonts w:ascii="Times New Roman" w:hAnsi="Times New Roman" w:eastAsia="宋体"/>
      <w:b/>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6">
    <w:name w:val="Normal Indent"/>
    <w:basedOn w:val="1"/>
    <w:next w:val="7"/>
    <w:qFormat/>
    <w:uiPriority w:val="0"/>
    <w:pPr>
      <w:ind w:firstLine="420"/>
    </w:pPr>
    <w:rPr>
      <w:szCs w:val="20"/>
    </w:rPr>
  </w:style>
  <w:style w:type="paragraph" w:styleId="7">
    <w:name w:val="Body Text First Indent 2"/>
    <w:basedOn w:val="1"/>
    <w:next w:val="1"/>
    <w:qFormat/>
    <w:uiPriority w:val="0"/>
    <w:pPr>
      <w:ind w:firstLine="420" w:firstLineChars="200"/>
    </w:pPr>
    <w:rPr>
      <w:kern w:val="2"/>
      <w:sz w:val="21"/>
      <w:szCs w:val="24"/>
      <w:lang w:val="en-US" w:eastAsia="zh-CN"/>
    </w:rPr>
  </w:style>
  <w:style w:type="paragraph" w:styleId="8">
    <w:name w:val="annotation text"/>
    <w:basedOn w:val="1"/>
    <w:qFormat/>
    <w:uiPriority w:val="0"/>
    <w:pPr>
      <w:jc w:val="left"/>
    </w:pPr>
  </w:style>
  <w:style w:type="paragraph" w:styleId="9">
    <w:name w:val="Body Text"/>
    <w:basedOn w:val="1"/>
    <w:qFormat/>
    <w:uiPriority w:val="0"/>
    <w:pPr>
      <w:widowControl/>
      <w:snapToGrid w:val="0"/>
      <w:spacing w:before="60" w:after="160" w:line="259" w:lineRule="auto"/>
      <w:ind w:right="113"/>
    </w:pPr>
    <w:rPr>
      <w:kern w:val="0"/>
      <w:sz w:val="18"/>
      <w:szCs w:val="20"/>
    </w:rPr>
  </w:style>
  <w:style w:type="paragraph" w:styleId="10">
    <w:name w:val="Body Text Indent"/>
    <w:basedOn w:val="1"/>
    <w:next w:val="1"/>
    <w:unhideWhenUsed/>
    <w:qFormat/>
    <w:uiPriority w:val="99"/>
    <w:pPr>
      <w:spacing w:after="120"/>
      <w:ind w:left="420" w:leftChars="200"/>
    </w:pPr>
  </w:style>
  <w:style w:type="paragraph" w:styleId="11">
    <w:name w:val="footer"/>
    <w:basedOn w:val="1"/>
    <w:qFormat/>
    <w:uiPriority w:val="99"/>
    <w:pPr>
      <w:tabs>
        <w:tab w:val="center" w:pos="4153"/>
        <w:tab w:val="right" w:pos="8306"/>
      </w:tabs>
      <w:snapToGrid w:val="0"/>
      <w:jc w:val="left"/>
    </w:pPr>
    <w:rPr>
      <w:kern w:val="0"/>
      <w:sz w:val="18"/>
      <w:szCs w:val="20"/>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Body Text Indent 3"/>
    <w:basedOn w:val="1"/>
    <w:qFormat/>
    <w:uiPriority w:val="0"/>
    <w:pPr>
      <w:spacing w:after="120"/>
      <w:ind w:left="420" w:leftChars="200"/>
    </w:pPr>
    <w:rPr>
      <w:sz w:val="16"/>
      <w:szCs w:val="16"/>
    </w:rPr>
  </w:style>
  <w:style w:type="paragraph" w:styleId="14">
    <w:name w:val="table of figures"/>
    <w:basedOn w:val="1"/>
    <w:next w:val="1"/>
    <w:qFormat/>
    <w:uiPriority w:val="0"/>
    <w:pPr>
      <w:ind w:leftChars="200" w:hanging="200" w:hangingChars="200"/>
    </w:pPr>
  </w:style>
  <w:style w:type="paragraph" w:styleId="15">
    <w:name w:val="Normal (Web)"/>
    <w:basedOn w:val="1"/>
    <w:qFormat/>
    <w:uiPriority w:val="99"/>
    <w:pPr>
      <w:widowControl/>
      <w:spacing w:before="100" w:beforeAutospacing="1" w:after="100" w:afterAutospacing="1"/>
      <w:jc w:val="left"/>
    </w:pPr>
    <w:rPr>
      <w:rFonts w:ascii="宋体" w:hAnsi="宋体"/>
      <w:kern w:val="0"/>
      <w:sz w:val="24"/>
      <w:szCs w:val="20"/>
    </w:rPr>
  </w:style>
  <w:style w:type="table" w:styleId="17">
    <w:name w:val="Table Grid"/>
    <w:basedOn w:val="16"/>
    <w:qFormat/>
    <w:uiPriority w:val="59"/>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qFormat/>
    <w:uiPriority w:val="0"/>
    <w:rPr>
      <w:color w:val="0000FF"/>
      <w:u w:val="single"/>
    </w:rPr>
  </w:style>
  <w:style w:type="paragraph" w:customStyle="1" w:styleId="20">
    <w:name w:val="Default"/>
    <w:basedOn w:val="21"/>
    <w:unhideWhenUsed/>
    <w:qFormat/>
    <w:uiPriority w:val="0"/>
    <w:pPr>
      <w:widowControl w:val="0"/>
      <w:autoSpaceDE w:val="0"/>
      <w:autoSpaceDN w:val="0"/>
      <w:adjustRightInd w:val="0"/>
    </w:pPr>
    <w:rPr>
      <w:rFonts w:ascii="宋体" w:hAnsi="宋体"/>
      <w:color w:val="000000"/>
      <w:sz w:val="24"/>
      <w:lang w:val="en-US" w:eastAsia="zh-CN" w:bidi="ar-SA"/>
    </w:rPr>
  </w:style>
  <w:style w:type="paragraph" w:customStyle="1" w:styleId="21">
    <w:name w:val="纯文本1"/>
    <w:basedOn w:val="1"/>
    <w:qFormat/>
    <w:uiPriority w:val="99"/>
    <w:pPr>
      <w:autoSpaceDE w:val="0"/>
      <w:autoSpaceDN w:val="0"/>
      <w:adjustRightInd w:val="0"/>
      <w:textAlignment w:val="baseline"/>
    </w:pPr>
    <w:rPr>
      <w:rFonts w:ascii="宋体"/>
      <w:szCs w:val="20"/>
    </w:rPr>
  </w:style>
  <w:style w:type="character" w:customStyle="1" w:styleId="22">
    <w:name w:val="标题 1 Char"/>
    <w:link w:val="2"/>
    <w:qFormat/>
    <w:uiPriority w:val="0"/>
    <w:rPr>
      <w:rFonts w:ascii="Times New Roman" w:hAnsi="Times New Roman" w:eastAsia="宋体" w:cs="Times New Roman"/>
      <w:b/>
      <w:kern w:val="44"/>
      <w:sz w:val="32"/>
      <w:szCs w:val="32"/>
    </w:rPr>
  </w:style>
  <w:style w:type="paragraph" w:customStyle="1" w:styleId="23">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24">
    <w:name w:val="样式 正文缩进正文缩进2正文缩进 Char Char正文缩进 Char Char Char Char正文缩进 Char ..."/>
    <w:basedOn w:val="6"/>
    <w:qFormat/>
    <w:uiPriority w:val="0"/>
    <w:pPr>
      <w:spacing w:line="360" w:lineRule="auto"/>
      <w:ind w:firstLine="200"/>
    </w:pPr>
    <w:rPr>
      <w:rFonts w:cs="宋体"/>
      <w:sz w:val="24"/>
    </w:rPr>
  </w:style>
  <w:style w:type="paragraph" w:customStyle="1" w:styleId="25">
    <w:name w:val="5E8A942B92774C978FFC2A16BCB09EA4"/>
    <w:qFormat/>
    <w:uiPriority w:val="99"/>
    <w:pPr>
      <w:spacing w:after="200" w:line="276" w:lineRule="auto"/>
    </w:pPr>
    <w:rPr>
      <w:rFonts w:ascii="Calibri" w:hAnsi="Calibri" w:eastAsia="宋体" w:cs="Times New Roman"/>
      <w:sz w:val="22"/>
      <w:szCs w:val="22"/>
      <w:lang w:val="en-US" w:eastAsia="en-US" w:bidi="ar-SA"/>
    </w:rPr>
  </w:style>
  <w:style w:type="paragraph" w:customStyle="1" w:styleId="26">
    <w:name w:val="正文1"/>
    <w:basedOn w:val="1"/>
    <w:qFormat/>
    <w:uiPriority w:val="0"/>
    <w:pPr>
      <w:spacing w:line="360" w:lineRule="auto"/>
      <w:ind w:firstLine="480" w:firstLineChars="200"/>
    </w:pPr>
    <w:rPr>
      <w:kern w:val="0"/>
      <w:position w:val="-14"/>
      <w:sz w:val="24"/>
      <w:lang w:val="zh-CN"/>
    </w:rPr>
  </w:style>
  <w:style w:type="paragraph" w:customStyle="1" w:styleId="27">
    <w:name w:val="列表段落1"/>
    <w:basedOn w:val="1"/>
    <w:qFormat/>
    <w:uiPriority w:val="0"/>
    <w:pPr>
      <w:ind w:firstLine="420" w:firstLineChars="200"/>
    </w:pPr>
    <w:rPr>
      <w:rFonts w:ascii="Calibri" w:hAnsi="Calibri"/>
    </w:rPr>
  </w:style>
  <w:style w:type="paragraph" w:customStyle="1" w:styleId="28">
    <w:name w:val="表标题"/>
    <w:basedOn w:val="1"/>
    <w:qFormat/>
    <w:uiPriority w:val="0"/>
    <w:pPr>
      <w:jc w:val="center"/>
    </w:pPr>
    <w:rPr>
      <w:rFonts w:ascii="Times New Roman" w:hAnsi="Times New Roman" w:eastAsia="宋体"/>
      <w:b/>
    </w:rPr>
  </w:style>
  <w:style w:type="paragraph" w:customStyle="1" w:styleId="29">
    <w:name w:val="正文-ls"/>
    <w:basedOn w:val="1"/>
    <w:qFormat/>
    <w:uiPriority w:val="0"/>
    <w:pPr>
      <w:spacing w:line="360" w:lineRule="auto"/>
      <w:ind w:firstLine="200" w:firstLineChars="200"/>
    </w:pPr>
    <w:rPr>
      <w:rFonts w:hAnsi="宋体" w:cs="宋体"/>
      <w:sz w:val="24"/>
      <w:szCs w:val="20"/>
    </w:rPr>
  </w:style>
  <w:style w:type="paragraph" w:customStyle="1" w:styleId="30">
    <w:name w:val="样式 样式 首行缩进:  1 字符 + (符号) 宋体 四号"/>
    <w:basedOn w:val="1"/>
    <w:qFormat/>
    <w:uiPriority w:val="0"/>
    <w:pPr>
      <w:adjustRightInd w:val="0"/>
      <w:snapToGrid w:val="0"/>
      <w:spacing w:line="360" w:lineRule="auto"/>
      <w:ind w:firstLine="200" w:firstLineChars="200"/>
    </w:pPr>
    <w:rPr>
      <w:rFonts w:ascii="宋体" w:cs="宋体"/>
      <w:snapToGrid w:val="0"/>
      <w:kern w:val="0"/>
      <w:sz w:val="24"/>
      <w:szCs w:val="24"/>
    </w:rPr>
  </w:style>
  <w:style w:type="paragraph" w:customStyle="1" w:styleId="31">
    <w:name w:val="表格内容"/>
    <w:basedOn w:val="32"/>
    <w:qFormat/>
    <w:uiPriority w:val="0"/>
    <w:pPr>
      <w:overflowPunct w:val="0"/>
      <w:adjustRightInd w:val="0"/>
      <w:spacing w:before="40" w:after="60" w:line="200" w:lineRule="atLeast"/>
      <w:textAlignment w:val="baseline"/>
    </w:pPr>
    <w:rPr>
      <w:rFonts w:ascii="Arial" w:hAnsi="Arial" w:eastAsia="仿宋_GB2312"/>
      <w:kern w:val="0"/>
      <w:sz w:val="24"/>
      <w:szCs w:val="20"/>
    </w:rPr>
  </w:style>
  <w:style w:type="paragraph" w:customStyle="1" w:styleId="32">
    <w:name w:val="图标标题"/>
    <w:basedOn w:val="1"/>
    <w:qFormat/>
    <w:uiPriority w:val="0"/>
    <w:pPr>
      <w:spacing w:line="240" w:lineRule="auto"/>
      <w:ind w:firstLine="0" w:firstLineChars="0"/>
      <w:jc w:val="center"/>
    </w:pPr>
    <w:rPr>
      <w:rFonts w:cs="Times New Roman"/>
      <w:b/>
      <w:kern w:val="0"/>
      <w:sz w:val="21"/>
      <w:szCs w:val="20"/>
    </w:rPr>
  </w:style>
  <w:style w:type="paragraph" w:customStyle="1" w:styleId="33">
    <w:name w:val="表格文字."/>
    <w:basedOn w:val="1"/>
    <w:qFormat/>
    <w:uiPriority w:val="0"/>
    <w:pPr>
      <w:adjustRightInd w:val="0"/>
      <w:snapToGrid w:val="0"/>
      <w:jc w:val="center"/>
    </w:pPr>
    <w:rPr>
      <w:rFonts w:ascii="Calibri" w:hAnsi="Calibri"/>
      <w:color w:val="000000"/>
      <w:szCs w:val="22"/>
    </w:rPr>
  </w:style>
  <w:style w:type="paragraph" w:customStyle="1" w:styleId="34">
    <w:name w:val="*正文"/>
    <w:basedOn w:val="1"/>
    <w:qFormat/>
    <w:uiPriority w:val="0"/>
    <w:pPr>
      <w:spacing w:line="360" w:lineRule="auto"/>
      <w:ind w:firstLine="200" w:firstLineChars="200"/>
    </w:pPr>
    <w:rPr>
      <w:rFonts w:ascii="Times New Roman" w:hAnsi="Times New Roman" w:eastAsia="宋体" w:cs="仿宋_GB2312"/>
      <w:sz w:val="24"/>
      <w:szCs w:val="24"/>
    </w:rPr>
  </w:style>
  <w:style w:type="paragraph" w:customStyle="1" w:styleId="35">
    <w:name w:val="Table Text"/>
    <w:basedOn w:val="1"/>
    <w:semiHidden/>
    <w:qFormat/>
    <w:uiPriority w:val="0"/>
    <w:rPr>
      <w:rFonts w:ascii="宋体" w:hAnsi="宋体" w:eastAsia="宋体" w:cs="宋体"/>
      <w:sz w:val="24"/>
      <w:szCs w:val="24"/>
      <w:lang w:val="en-US" w:eastAsia="en-US" w:bidi="ar-SA"/>
    </w:rPr>
  </w:style>
  <w:style w:type="table" w:customStyle="1" w:styleId="36">
    <w:name w:val="Table Normal"/>
    <w:unhideWhenUsed/>
    <w:qFormat/>
    <w:uiPriority w:val="0"/>
    <w:tblPr>
      <w:tblCellMar>
        <w:top w:w="0" w:type="dxa"/>
        <w:left w:w="0" w:type="dxa"/>
        <w:bottom w:w="0" w:type="dxa"/>
        <w:right w:w="0" w:type="dxa"/>
      </w:tblCellMar>
    </w:tblPr>
  </w:style>
  <w:style w:type="paragraph" w:customStyle="1" w:styleId="37">
    <w:name w:val="表格"/>
    <w:basedOn w:val="1"/>
    <w:next w:val="1"/>
    <w:qFormat/>
    <w:uiPriority w:val="0"/>
    <w:pPr>
      <w:spacing w:line="240" w:lineRule="auto"/>
      <w:ind w:firstLine="0" w:firstLineChars="0"/>
      <w:jc w:val="center"/>
    </w:pPr>
    <w:rPr>
      <w:rFonts w:ascii="Times New Roman" w:hAnsi="Times New Roman"/>
      <w:kern w:val="0"/>
      <w:sz w:val="21"/>
      <w:szCs w:val="20"/>
    </w:rPr>
  </w:style>
  <w:style w:type="paragraph" w:customStyle="1" w:styleId="38">
    <w:name w:val="飞海正文"/>
    <w:basedOn w:val="1"/>
    <w:qFormat/>
    <w:uiPriority w:val="0"/>
    <w:pPr>
      <w:widowControl/>
      <w:spacing w:line="480" w:lineRule="exact"/>
      <w:ind w:firstLine="480" w:firstLineChars="200"/>
    </w:pPr>
    <w:rPr>
      <w:rFonts w:ascii="Times New Roman" w:hAnsi="Times New Roman" w:eastAsia="宋体" w:cs="Times New Roman"/>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aacaf7f4-19f8-42b7-953e-20b679b39246</errorID>
      <errorWord>发改发</errorWord>
      <group>L1_Knowledge</group>
      <groupName>知识性问题</groupName>
      <ability>L2_Knowledge</ability>
      <abilityName>其他知识</abilityName>
      <candidateList>
        <item>发改委</item>
      </candidateList>
      <explain/>
      <paraID>172A55B5</paraID>
      <start>1</start>
      <end>4</end>
      <status>unmodified</status>
      <modifiedWord/>
      <trackRevisions>false</trackRevisions>
    </reviewItem>
    <reviewItem>
      <errorID>dc1bbfe1-87df-4452-917f-c78f4d8323c5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5DE9E5C4</paraID>
      <start>0</start>
      <end>2</end>
      <status>unmodified</status>
      <modifiedWord/>
      <trackRevisions>false</trackRevisions>
    </reviewItem>
    <reviewItem>
      <errorID>174256ec-bc99-4e53-9aec-0f85f8beccc4</errorID>
      <errorWord>发改发</errorWord>
      <group>L1_Knowledge</group>
      <groupName>知识性问题</groupName>
      <ability>L2_Knowledge</ability>
      <abilityName>其他知识</abilityName>
      <candidateList>
        <item>发改委</item>
      </candidateList>
      <explain/>
      <paraID>7CA5D00E</paraID>
      <start>117</start>
      <end>120</end>
      <status>unmodified</status>
      <modifiedWord/>
      <trackRevisions>false</trackRevisions>
    </reviewItem>
    <reviewItem>
      <errorID>e7c207ec-5743-48dd-9596-9666e50d977b</errorID>
      <errorWord>发改发</errorWord>
      <group>L1_Knowledge</group>
      <groupName>知识性问题</groupName>
      <ability>L2_Knowledge</ability>
      <abilityName>其他知识</abilityName>
      <candidateList>
        <item>发改委</item>
      </candidateList>
      <explain/>
      <paraID>7CA5D00E</paraID>
      <start>178</start>
      <end>181</end>
      <status>unmodified</status>
      <modifiedWord/>
      <trackRevisions>false</trackRevisions>
    </reviewItem>
    <reviewItem>
      <errorID>758ae8d1-5f35-4d7a-b514-149d2861b032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3A86B7E</paraID>
      <start>0</start>
      <end>2</end>
      <status>unmodified</status>
      <modifiedWord/>
      <trackRevisions>false</trackRevisions>
    </reviewItem>
    <reviewItem>
      <errorID>e5e9a9a4-029e-4599-8d7b-a3f421b18634</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6A3648DB</paraID>
      <start>69</start>
      <end>71</end>
      <status>unmodified</status>
      <modifiedWord/>
      <trackRevisions>false</trackRevisions>
    </reviewItem>
    <reviewItem>
      <errorID>391ec1de-a7eb-4cea-adfb-d018368e875f</errorID>
      <errorWord>改用其它</errorWord>
      <group>L1_Word</group>
      <groupName>字词问题</groupName>
      <ability>L2_Alias</ability>
      <abilityName>也作/曾用词</abilityName>
      <candidateList>
        <item>改用其他</item>
      </candidateList>
      <explain>词汇[改用其它]为不规范表述或旧称，其规范书面表述为[改用其他]。</explain>
      <paraID>151ED590</paraID>
      <start>46</start>
      <end>50</end>
      <status>unmodified</status>
      <modifiedWord/>
      <trackRevisions>false</trackRevisions>
    </reviewItem>
    <reviewItem>
      <errorID>aca285b3-8c48-444a-b306-56661cf94712</errorID>
      <errorWord>期</errorWord>
      <group>L1_Word</group>
      <groupName>字词问题</groupName>
      <ability>L2_Typo</ability>
      <abilityName>字词错误</abilityName>
      <candidateList>
        <item>期间</item>
      </candidateList>
      <explain>〈名〉某个时期里面：农忙～｜春节～｜抗战～。</explain>
      <paraID>4F2D3EEC</paraID>
      <start>5</start>
      <end>6</end>
      <status>unmodified</status>
      <modifiedWord/>
      <trackRevisions>false</trackRevisions>
    </reviewItem>
    <reviewItem>
      <errorID>444342fb-070a-4d38-9ab4-2a7710b98a55</errorID>
      <errorWord>期</errorWord>
      <group>L1_Word</group>
      <groupName>字词问题</groupName>
      <ability>L2_Typo</ability>
      <abilityName>字词错误</abilityName>
      <candidateList>
        <item>期间</item>
      </candidateList>
      <explain>〈名〉某个时期里面：农忙～｜春节～｜抗战～。</explain>
      <paraID>  2ABC68</paraID>
      <start>5</start>
      <end>6</end>
      <status>unmodified</status>
      <modifiedWord/>
      <trackRevisions>false</trackRevisions>
    </reviewItem>
    <reviewItem>
      <errorID>047b3047-cf93-42f1-a50f-a5839a3cc439</errorID>
      <errorWord>环</errorWord>
      <group>L1_Word</group>
      <groupName>字词问题</groupName>
      <ability>L2_Typo</ability>
      <abilityName>字词错误</abilityName>
      <candidateList>
        <item>环境</item>
      </candidateList>
      <explain>〈名〉❶周围的地方：～优美｜～卫生。❷周围的情况和条件：客观～｜工作～。</explain>
      <paraID>761AA9F4</paraID>
      <start>94</start>
      <end>95</end>
      <status>unmodified</status>
      <modifiedWord/>
      <trackRevisions>false</trackRevisions>
    </reviewItem>
    <reviewItem>
      <errorID>9892cca3-2b2c-4b69-878b-44b57f981730</errorID>
      <errorWord>、且</errorWord>
      <group>L1_Word</group>
      <groupName>字词问题</groupName>
      <ability>L2_Typo</ability>
      <abilityName>字词错误</abilityName>
      <candidateList>
        <item>且</item>
      </candidateList>
      <explain>〈书〉〈连〉❶尚且：死～不怕，困难又算什么？｜君～如此，况他人乎？❷并且；而且：既高～大｜他很聪明，～十分努力，因此成绩优异。</explain>
      <paraID>4DA60019</paraID>
      <start>16</start>
      <end>18</end>
      <status>unmodified</status>
      <modifiedWord/>
      <trackRevisions>false</trackRevisions>
    </reviewItem>
    <reviewItem>
      <errorID>8a1c937f-c7c6-481d-9e50-0b1df762de76</errorID>
      <errorWord>段</errorWord>
      <group>L1_Word</group>
      <groupName>字词问题</groupName>
      <ability>L2_Typo</ability>
      <abilityName>字词错误</abilityName>
      <candidateList>
        <item>短</item>
      </candidateList>
      <explain>存在发音相同字词的误用。</explain>
      <paraID>5C967A62</paraID>
      <start>35</start>
      <end>36</end>
      <status>unmodified</status>
      <modifiedWord/>
      <trackRevisions>false</trackRevisions>
    </reviewItem>
    <reviewItem>
      <errorID>133185f0-0f77-4726-b0f1-242699383417</errorID>
      <errorWord>期</errorWord>
      <group>L1_Word</group>
      <groupName>字词问题</groupName>
      <ability>L2_Typo</ability>
      <abilityName>字词错误</abilityName>
      <candidateList>
        <item>期间</item>
      </candidateList>
      <explain>〈名〉某个时期里面：农忙～｜春节～｜抗战～。</explain>
      <paraID>6093EFA5</paraID>
      <start>7</start>
      <end>8</end>
      <status>unmodified</status>
      <modifiedWord/>
      <trackRevisions>false</trackRevisions>
    </reviewItem>
    <reviewItem>
      <errorID>66fe41f1-f046-4e3f-9c39-283eae92935d</errorID>
      <errorWord>期</errorWord>
      <group>L1_Word</group>
      <groupName>字词问题</groupName>
      <ability>L2_Typo</ability>
      <abilityName>字词错误</abilityName>
      <candidateList>
        <item>期间</item>
      </candidateList>
      <explain>〈名〉某个时期里面：农忙～｜春节～｜抗战～。</explain>
      <paraID>3E667A88</paraID>
      <start>7</start>
      <end>8</end>
      <status>unmodified</status>
      <modifiedWord/>
      <trackRevisions>false</trackRevisions>
    </reviewItem>
    <reviewItem>
      <errorID>f5fd34d1-79af-43fc-a9c2-d639f8388993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1A3303B3</paraID>
      <start>0</start>
      <end>2</end>
      <status>unmodified</status>
      <modifiedWord/>
      <trackRevisions>false</trackRevisions>
    </reviewItem>
    <reviewItem>
      <errorID>626d586f-40ec-4f0b-829b-3e081ecf5eae</errorID>
      <errorWord>存贮</errorWord>
      <group>L1_Word</group>
      <groupName>字词问题</groupName>
      <ability>L2_Typo</ability>
      <abilityName>字词错误</abilityName>
      <candidateList>
        <item>贮存</item>
      </candidateList>
      <explain/>
      <paraID>63C84921</paraID>
      <start>39</start>
      <end>41</end>
      <status>unmodified</status>
      <modifiedWord/>
      <trackRevisions>false</trackRevisions>
    </reviewItem>
    <reviewItem>
      <errorID>8b30fa68-2ed0-4678-9568-f62754f2bb7d</errorID>
      <errorWord>工地</errorWord>
      <group>L1_Word</group>
      <groupName>字词问题</groupName>
      <ability>L2_Typo</ability>
      <abilityName>字词错误</abilityName>
      <candidateList>
        <item>场地</item>
      </candidateList>
      <explain/>
      <paraID>26CCB4B4</paraID>
      <start>32</start>
      <end>34</end>
      <status>unmodified</status>
      <modifiedWord/>
      <trackRevisions>false</trackRevisions>
    </reviewItem>
    <reviewItem>
      <errorID>2cf3ff96-cd5c-43df-b41e-04050f4126d8</errorID>
      <errorWord>IV</errorWord>
      <group>L1_Knowledge</group>
      <groupName>知识性问题</groupName>
      <ability>L2_Knowledge</ability>
      <abilityName>其他知识</abilityName>
      <candidateList>
        <item>Ⅳ</item>
      </candidateList>
      <explain/>
      <paraID>29E6D8A1</paraID>
      <start>16</start>
      <end>18</end>
      <status>unmodified</status>
      <modifiedWord/>
      <trackRevisions>false</trackRevisions>
    </reviewItem>
    <reviewItem>
      <errorID>738600a3-30d0-441d-8720-f99565e1dbdb</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83C7AA4</paraID>
      <start>5</start>
      <end>6</end>
      <status>unmodified</status>
      <modifiedWord/>
      <trackRevisions>false</trackRevisions>
    </reviewItem>
    <reviewItem>
      <errorID>26a7958f-4735-4968-a894-26625219a9b5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5FF46633</paraID>
      <start>0</start>
      <end>2</end>
      <status>unmodified</status>
      <modifiedWord/>
      <trackRevisions>false</trackRevisions>
    </reviewItem>
    <reviewItem>
      <errorID>303e29cc-d62d-4241-bed8-71de0c3f7977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6F73CCBC</paraID>
      <start>0</start>
      <end>2</end>
      <status>unmodified</status>
      <modifiedWord/>
      <trackRevisions>false</trackRevisions>
    </reviewItem>
    <reviewItem>
      <errorID>408c78a3-6efd-4038-b0ee-5897d950c798</errorID>
      <errorWord>污水厂</errorWord>
      <group>L1_Word</group>
      <groupName>字词问题</groupName>
      <ability>L2_Typo</ability>
      <abilityName>字词错误</abilityName>
      <candidateList>
        <item>污水处理厂</item>
      </candidateList>
      <explain/>
      <paraID> ED9DBD5</paraID>
      <start>44</start>
      <end>49</end>
      <status>modified</status>
      <modifiedWord>污水处理厂</modifiedWord>
      <trackRevisions>false</trackRevisions>
    </reviewItem>
    <reviewItem>
      <errorID>9cad7ea0-9e9e-4f51-a8bf-2bbd41cca3ad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61B251A1</paraID>
      <start>0</start>
      <end>2</end>
      <status>unmodified</status>
      <modifiedWord/>
      <trackRevisions>false</trackRevisions>
    </reviewItem>
    <reviewItem>
      <errorID>fad42c76-1639-4283-9a8b-cfb4486bec5f</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18F0A365</paraID>
      <start>53</start>
      <end>54</end>
      <status>modified</status>
      <modifiedWord>—</modifiedWord>
      <trackRevisions>false</trackRevisions>
    </reviewItem>
    <reviewItem>
      <errorID>376cfa65-b57e-405d-b77f-6e5feb452151</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18F0A365</paraID>
      <start>137</start>
      <end>138</end>
      <status>modified</status>
      <modifiedWord>—</modifiedWord>
      <trackRevisions>false</trackRevisions>
    </reviewItem>
    <reviewItem>
      <errorID>2a6b8bb1-e395-435a-99ce-0d71793a05df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E398A51</paraID>
      <start>0</start>
      <end>2</end>
      <status>modified</status>
      <modifiedWord>6）</modifiedWord>
      <trackRevisions>false</trackRevisions>
    </reviewItem>
    <reviewItem>
      <errorID>11ab0015-38b4-478f-8fbe-b64e278df429</errorID>
      <errorWord>~</errorWord>
      <group>L1_Format</group>
      <groupName>格式问题</groupName>
      <ability>L2_HalfPunc_CN</ability>
      <abilityName/>
      <candidateList>
        <item>～</item>
      </candidateList>
      <explain>文本全半角错误。</explain>
      <paraID>12B17BF3</paraID>
      <start>80</start>
      <end>81</end>
      <status>modified</status>
      <modifiedWord>～</modifiedWord>
      <trackRevisions>false</trackRevisions>
    </reviewItem>
    <reviewItem>
      <errorID>65a2bf98-d77b-475d-a4d0-f5c1f4d83f4e</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250A7430</paraID>
      <start>0</start>
      <end>2</end>
      <status>modified</status>
      <modifiedWord>7）</modifiedWord>
      <trackRevisions>false</trackRevisions>
    </reviewItem>
    <reviewItem>
      <errorID>be732ef5-ec35-4a24-93b6-ffe78ac3b5fe</errorID>
      <errorWord>,</errorWord>
      <group>L1_Format</group>
      <groupName>格式问题</groupName>
      <ability>L2_HalfPunc_CN</ability>
      <abilityName/>
      <candidateList>
        <item>，</item>
      </candidateList>
      <explain>文本全半角错误。</explain>
      <paraID>6DE72CBA</paraID>
      <start>10</start>
      <end>11</end>
      <status>modified</status>
      <modifiedWord>，</modifiedWord>
      <trackRevisions>false</trackRevisions>
    </reviewItem>
    <reviewItem>
      <errorID>beb8a5d2-68f1-4b95-98f3-0fcde89c29fd</errorID>
      <errorWord>：</errorWord>
      <group>L1_Format</group>
      <groupName>格式问题</groupName>
      <ability>L2_HalfPunc_CN</ability>
      <abilityName/>
      <candidateList>
        <item>:</item>
      </candidateList>
      <explain>文本全半角错误。</explain>
      <paraID>6DE72CBA</paraID>
      <start>107</start>
      <end>108</end>
      <status>modified</status>
      <modifiedWord>:</modifiedWord>
      <trackRevisions>false</trackRevisions>
    </reviewItem>
    <reviewItem>
      <errorID>b41e2aea-b129-42a8-9409-791de1e0eb3f</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350ACE40</paraID>
      <start>0</start>
      <end>2</end>
      <status>modified</status>
      <modifiedWord>8）</modifiedWord>
      <trackRevisions>false</trackRevisions>
    </reviewItem>
    <reviewItem>
      <errorID>b425dfae-2272-4efc-bc71-a538e09c2779</errorID>
      <errorWord>(</errorWord>
      <group>L1_Format</group>
      <groupName>格式问题</groupName>
      <ability>L2_HalfPunc_CN</ability>
      <abilityName/>
      <candidateList>
        <item>（</item>
      </candidateList>
      <explain>文本全半角错误。</explain>
      <paraID>15CE78BA</paraID>
      <start>8</start>
      <end>9</end>
      <status>modified</status>
      <modifiedWord>（</modifiedWord>
      <trackRevisions>false</trackRevisions>
    </reviewItem>
    <reviewItem>
      <errorID>37365827-75c7-41e9-9fe8-c8fab0268dcf</errorID>
      <errorWord>(</errorWord>
      <group>L1_Format</group>
      <groupName>格式问题</groupName>
      <ability>L2_HalfPunc_CN</ability>
      <abilityName/>
      <candidateList>
        <item>（</item>
      </candidateList>
      <explain>文本全半角错误。</explain>
      <paraID>29BE3785</paraID>
      <start>21</start>
      <end>22</end>
      <status>modified</status>
      <modifiedWord>（</modifiedWord>
      <trackRevisions>false</trackRevisions>
    </reviewItem>
    <reviewItem>
      <errorID>d613fcbf-e3ab-4298-9492-933eb112ae9e</errorID>
      <errorWord>,</errorWord>
      <group>L1_Format</group>
      <groupName>格式问题</groupName>
      <ability>L2_HalfPunc_CN</ability>
      <abilityName/>
      <candidateList>
        <item>，</item>
      </candidateList>
      <explain>文本全半角错误。</explain>
      <paraID>10450DD8</paraID>
      <start>33</start>
      <end>34</end>
      <status>modified</status>
      <modifiedWord>，</modifiedWord>
      <trackRevisions>false</trackRevisions>
    </reviewItem>
    <reviewItem>
      <errorID>e72e6773-efc7-46b2-8d4f-b2f0d0028995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6DDC18E9</paraID>
      <start>0</start>
      <end>2</end>
      <status>unmodified</status>
      <modifiedWord/>
      <trackRevisions>false</trackRevisions>
    </reviewItem>
    <reviewItem>
      <errorID>da596ead-8276-4147-a8d5-10bb67e46eab</errorID>
      <errorWord>(</errorWord>
      <group>L1_Format</group>
      <groupName>格式问题</groupName>
      <ability>L2_HalfPunc_CN</ability>
      <abilityName/>
      <candidateList>
        <item>（</item>
      </candidateList>
      <explain>文本全半角错误。</explain>
      <paraID>4D1119C3</paraID>
      <start>7</start>
      <end>8</end>
      <status>modified</status>
      <modifiedWord>（</modifiedWord>
      <trackRevisions>false</trackRevisions>
    </reviewItem>
    <reviewItem>
      <errorID>0c2083d2-6088-47df-a882-dfacb17a7cb8</errorID>
      <errorWord>)</errorWord>
      <group>L1_Format</group>
      <groupName>格式问题</groupName>
      <ability>L2_HalfPunc_CN</ability>
      <abilityName/>
      <candidateList>
        <item>）</item>
      </candidateList>
      <explain>文本全半角错误。</explain>
      <paraID>4D1119C3</paraID>
      <start>13</start>
      <end>14</end>
      <status>modified</status>
      <modifiedWord>）</modifiedWord>
      <trackRevisions>false</trackRevisions>
    </reviewItem>
    <reviewItem>
      <errorID>fe0aefe3-79b9-4753-83a8-226ddbfa4b6e</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6F734F3F</paraID>
      <start>9</start>
      <end>10</end>
      <status>unmodified</status>
      <modifiedWord/>
      <trackRevisions>false</trackRevisions>
    </reviewItem>
    <reviewItem>
      <errorID>c5a1035e-7c1d-4147-9a2f-2d86e2ac6545</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3FF39984</paraID>
      <start>9</start>
      <end>10</end>
      <status>unmodified</status>
      <modifiedWord/>
      <trackRevisions>false</trackRevisions>
    </reviewItem>
    <reviewItem>
      <errorID>02ebeec9-693e-4036-add1-ff0424a0f088</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645B1C04</paraID>
      <start>9</start>
      <end>10</end>
      <status>unmodified</status>
      <modifiedWord/>
      <trackRevisions>false</trackRevisions>
    </reviewItem>
    <reviewItem>
      <errorID>78acac6b-19a9-4bb2-8d10-490a748e08de</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433DD555</paraID>
      <start>9</start>
      <end>10</end>
      <status>unmodified</status>
      <modifiedWord/>
      <trackRevisions>false</trackRevisions>
    </reviewItem>
    <reviewItem>
      <errorID>47c29783-2885-450d-8dd2-fa02437f999e</errorID>
      <errorWord>(</errorWord>
      <group>L1_Format</group>
      <groupName>格式问题</groupName>
      <ability>L2_HalfPunc_CN</ability>
      <abilityName/>
      <candidateList>
        <item>（</item>
      </candidateList>
      <explain>文本全半角错误。</explain>
      <paraID> 426D3B2</paraID>
      <start>7</start>
      <end>8</end>
      <status>modified</status>
      <modifiedWord>（</modifiedWord>
      <trackRevisions>false</trackRevisions>
    </reviewItem>
    <reviewItem>
      <errorID>0211d8ac-afec-4fa0-b7f7-c1904bde8c42</errorID>
      <errorWord>~</errorWord>
      <group>L1_Format</group>
      <groupName>格式问题</groupName>
      <ability>L2_HalfPunc_CN</ability>
      <abilityName/>
      <candidateList>
        <item>～</item>
      </candidateList>
      <explain>文本全半角错误。</explain>
      <paraID> 426D3B2</paraID>
      <start>13</start>
      <end>14</end>
      <status>unmodified</status>
      <modifiedWord/>
      <trackRevisions>false</trackRevisions>
    </reviewItem>
    <reviewItem>
      <errorID>5a52a0e5-ad43-46f8-af86-c2cc01be5822</errorID>
      <errorWord>)</errorWord>
      <group>L1_Format</group>
      <groupName>格式问题</groupName>
      <ability>L2_HalfPunc_CN</ability>
      <abilityName/>
      <candidateList>
        <item>）</item>
      </candidateList>
      <explain>文本全半角错误。</explain>
      <paraID> 426D3B2</paraID>
      <start>18</start>
      <end>19</end>
      <status>modified</status>
      <modifiedWord>）</modifiedWord>
      <trackRevisions>false</trackRevisions>
    </reviewItem>
    <reviewItem>
      <errorID>b043f696-a567-4290-b96b-30bf1483e7b3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7EE0BCCA</paraID>
      <start>0</start>
      <end>2</end>
      <status>unmodified</status>
      <modifiedWord/>
      <trackRevisions>false</trackRevisions>
    </reviewItem>
    <reviewItem>
      <errorID>98f24473-0636-4652-8695-0c6453422095</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7B0C7D3B</paraID>
      <start>0</start>
      <end>2</end>
      <status>unmodified</status>
      <modifiedWord/>
      <trackRevisions>false</trackRevisions>
    </reviewItem>
    <reviewItem>
      <errorID>0c570bc0-7496-45a9-acdd-2ca70477158d</errorID>
      <errorWord>程</errorWord>
      <group>L1_Word</group>
      <groupName>字词问题</groupName>
      <ability>L2_Typo</ability>
      <abilityName>字词错误</abilityName>
      <candidateList>
        <item>程中</item>
      </candidateList>
      <explain/>
      <paraID>1FECEA26</paraID>
      <start>17</start>
      <end>18</end>
      <status>unmodified</status>
      <modifiedWord/>
      <trackRevisions>false</trackRevisions>
    </reviewItem>
    <reviewItem>
      <errorID>99bbdec9-b92a-4752-a7a2-8b35a1ebe23e</errorID>
      <errorWord>~</errorWord>
      <group>L1_Format</group>
      <groupName>格式问题</groupName>
      <ability>L2_HalfPunc_CN</ability>
      <abilityName/>
      <candidateList>
        <item>～</item>
      </candidateList>
      <explain>文本全半角错误。</explain>
      <paraID>1FECEA26</paraID>
      <start>50</start>
      <end>51</end>
      <status>unmodified</status>
      <modifiedWord/>
      <trackRevisions>false</trackRevisions>
    </reviewItem>
    <reviewItem>
      <errorID>7a39bc8c-366d-4ea0-b9a4-bd16d5226ef6</errorID>
      <errorWord>~</errorWord>
      <group>L1_Format</group>
      <groupName>格式问题</groupName>
      <ability>L2_HalfPunc_CN</ability>
      <abilityName/>
      <candidateList>
        <item>～</item>
      </candidateList>
      <explain>文本全半角错误。</explain>
      <paraID>11810177</paraID>
      <start>53</start>
      <end>54</end>
      <status>unmodified</status>
      <modifiedWord/>
      <trackRevisions>false</trackRevisions>
    </reviewItem>
    <reviewItem>
      <errorID>7b5944fd-5789-4d6b-8c18-ab46b9ddc4c6</errorID>
      <errorWord>~</errorWord>
      <group>L1_Format</group>
      <groupName>格式问题</groupName>
      <ability>L2_HalfPunc_CN</ability>
      <abilityName/>
      <candidateList>
        <item>～</item>
      </candidateList>
      <explain>文本全半角错误。</explain>
      <paraID>6057FFDD</paraID>
      <start>49</start>
      <end>50</end>
      <status>unmodified</status>
      <modifiedWord/>
      <trackRevisions>false</trackRevisions>
    </reviewItem>
    <reviewItem>
      <errorID>3727902a-aad0-4cd7-be06-4835b7140255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491476D1</paraID>
      <start>0</start>
      <end>2</end>
      <status>unmodified</status>
      <modifiedWord/>
      <trackRevisions>false</trackRevisions>
    </reviewItem>
    <reviewItem>
      <errorID>fd99f150-20de-4e78-9255-482afab81789</errorID>
      <errorWord>-</errorWord>
      <group>L1_Format</group>
      <groupName>格式问题</groupName>
      <ability>L2_HalfPunc_CN</ability>
      <abilityName/>
      <candidateList>
        <item>－</item>
      </candidateList>
      <explain>文本全半角错误。</explain>
      <paraID> 6F13714</paraID>
      <start>35</start>
      <end>36</end>
      <status>unmodified</status>
      <modifiedWord/>
      <trackRevisions>false</trackRevisions>
    </reviewItem>
    <reviewItem>
      <errorID>1687ff3c-d4b3-4658-b589-886b795214ca</errorID>
      <errorWord>路沿</errorWord>
      <group>L1_Word</group>
      <groupName>字词问题</groupName>
      <ability>L2_Typo</ability>
      <abilityName>字词错误</abilityName>
      <candidateList>
        <item>路缘</item>
      </candidateList>
      <explain/>
      <paraID>398D3F88</paraID>
      <start>96</start>
      <end>98</end>
      <status>unmodified</status>
      <modifiedWord/>
      <trackRevisions>false</trackRevisions>
    </reviewItem>
    <reviewItem>
      <errorID>f65df8dd-c92c-4819-8308-6aa9b2496e25</errorID>
      <errorWord>泌水</errorWord>
      <group>L1_Word</group>
      <groupName>字词问题</groupName>
      <ability>L2_Typo</ability>
      <abilityName>字词错误</abilityName>
      <candidateList>
        <item>积水</item>
      </candidateList>
      <explain>存在发音相近字词的误用。</explain>
      <paraID>398D3F88</paraID>
      <start>243</start>
      <end>245</end>
      <status>unmodified</status>
      <modifiedWord/>
      <trackRevisions>false</trackRevisions>
    </reviewItem>
    <reviewItem>
      <errorID>2c3ac8db-cccb-4d42-a62c-292076b30325</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1F8317EC</paraID>
      <start>74</start>
      <end>75</end>
      <status>unmodified</status>
      <modifiedWord/>
      <trackRevisions>false</trackRevisions>
    </reviewItem>
    <reviewItem>
      <errorID>f3027d4e-fa4a-460b-b9aa-04ff19db8eed</errorID>
      <errorWord>:</errorWord>
      <group>L1_Format</group>
      <groupName>格式问题</groupName>
      <ability>L2_HalfPunc_CN</ability>
      <abilityName/>
      <candidateList>
        <item>：</item>
      </candidateList>
      <explain>文本全半角错误。</explain>
      <paraID>1CE4A985</paraID>
      <start>119</start>
      <end>120</end>
      <status>modified</status>
      <modifiedWord>：</modifiedWord>
      <trackRevisions>false</trackRevisions>
    </reviewItem>
    <reviewItem>
      <errorID>628198ad-1603-4afe-ad7e-d5b6b43e365c</errorID>
      <errorWord>,</errorWord>
      <group>L1_Format</group>
      <groupName>格式问题</groupName>
      <ability>L2_HalfPunc_CN</ability>
      <abilityName/>
      <candidateList>
        <item>，</item>
      </candidateList>
      <explain>文本全半角错误。</explain>
      <paraID>1CE4A985</paraID>
      <start>141</start>
      <end>142</end>
      <status>modified</status>
      <modifiedWord>，</modifiedWord>
      <trackRevisions>false</trackRevisions>
    </reviewItem>
    <reviewItem>
      <errorID>0ffcca8c-f208-4271-a72f-9ba91ed8f36e</errorID>
      <errorWord>,</errorWord>
      <group>L1_Format</group>
      <groupName>格式问题</groupName>
      <ability>L2_HalfPunc_CN</ability>
      <abilityName/>
      <candidateList>
        <item>，</item>
      </candidateList>
      <explain>文本全半角错误。</explain>
      <paraID>1CE4A985</paraID>
      <start>150</start>
      <end>151</end>
      <status>modified</status>
      <modifiedWord>，</modifiedWord>
      <trackRevisions>false</trackRevisions>
    </reviewItem>
    <reviewItem>
      <errorID>c65ea576-2af3-4633-9a61-b88928f1e11c</errorID>
      <errorWord>;</errorWord>
      <group>L1_Format</group>
      <groupName>格式问题</groupName>
      <ability>L2_HalfPunc_CN</ability>
      <abilityName/>
      <candidateList>
        <item>；</item>
      </candidateList>
      <explain>文本全半角错误。</explain>
      <paraID>1CE4A985</paraID>
      <start>157</start>
      <end>158</end>
      <status>modified</status>
      <modifiedWord>；</modifiedWord>
      <trackRevisions>false</trackRevisions>
    </reviewItem>
    <reviewItem>
      <errorID>e664ccf6-8543-4eaf-9fd5-f5943451cd3a</errorID>
      <errorWord>,</errorWord>
      <group>L1_Format</group>
      <groupName>格式问题</groupName>
      <ability>L2_HalfPunc_CN</ability>
      <abilityName/>
      <candidateList>
        <item>，</item>
      </candidateList>
      <explain>文本全半角错误。</explain>
      <paraID>1CE4A985</paraID>
      <start>189</start>
      <end>190</end>
      <status>modified</status>
      <modifiedWord>，</modifiedWord>
      <trackRevisions>false</trackRevisions>
    </reviewItem>
    <reviewItem>
      <errorID>9fe2e062-2e13-447e-8ecb-11dad4cb3a4a</errorID>
      <errorWord>,</errorWord>
      <group>L1_Format</group>
      <groupName>格式问题</groupName>
      <ability>L2_HalfPunc_CN</ability>
      <abilityName/>
      <candidateList>
        <item>，</item>
      </candidateList>
      <explain>文本全半角错误。</explain>
      <paraID>1CE4A985</paraID>
      <start>198</start>
      <end>199</end>
      <status>modified</status>
      <modifiedWord>，</modifiedWord>
      <trackRevisions>false</trackRevisions>
    </reviewItem>
    <reviewItem>
      <errorID>ad55585a-104c-4568-b271-32f0e3d657cf</errorID>
      <errorWord>,</errorWord>
      <group>L1_Format</group>
      <groupName>格式问题</groupName>
      <ability>L2_HalfPunc_CN</ability>
      <abilityName/>
      <candidateList>
        <item>，</item>
      </candidateList>
      <explain>文本全半角错误。</explain>
      <paraID>4E606A55</paraID>
      <start>19</start>
      <end>20</end>
      <status>modified</status>
      <modifiedWord>，</modifiedWord>
      <trackRevisions>false</trackRevisions>
    </reviewItem>
    <reviewItem>
      <errorID>2cd14218-db75-4fd1-9b82-037910bc0a35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4B68B834</paraID>
      <start>0</start>
      <end>2</end>
      <status>unmodified</status>
      <modifiedWord/>
      <trackRevisions>false</trackRevisions>
    </reviewItem>
    <reviewItem>
      <errorID>4d78eb8f-3c3f-464e-8610-430ca00ea0a8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52339B86</paraID>
      <start>0</start>
      <end>2</end>
      <status>unmodified</status>
      <modifiedWord/>
      <trackRevisions>false</trackRevisions>
    </reviewItem>
    <reviewItem>
      <errorID>c95d9360-ea99-4a9b-a37d-0d55f452d8d9</errorID>
      <errorWord>-</errorWord>
      <group>L1_Format</group>
      <groupName>格式问题</groupName>
      <ability>L2_HalfPunc_CN</ability>
      <abilityName/>
      <candidateList>
        <item>－</item>
      </candidateList>
      <explain>文本全半角错误。</explain>
      <paraID>5BB7AA29</paraID>
      <start>77</start>
      <end>78</end>
      <status>modified</status>
      <modifiedWord>－</modifiedWord>
      <trackRevisions>false</trackRevisions>
    </reviewItem>
    <reviewItem>
      <errorID>1cbb3345-f1ac-4f68-8f54-7b06cc9947ee</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7DD9D0CA</paraID>
      <start>13</start>
      <end>15</end>
      <status>modified</status>
      <modifiedWord>”“</modifiedWord>
      <trackRevisions>false</trackRevisions>
    </reviewItem>
    <reviewItem>
      <errorID>81258901-396c-40dc-b040-5b555109900a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49B3B1BA</paraID>
      <start>0</start>
      <end>2</end>
      <status>unmodified</status>
      <modifiedWord/>
      <trackRevisions>false</trackRevisions>
    </reviewItem>
    <reviewItem>
      <errorID>eced07f6-6929-4a1b-92c3-c1db8bf148ac</errorID>
      <errorWord>水源涵养与土壤保持</errorWord>
      <group>L1_Political</group>
      <groupName>政治性问题</groupName>
      <ability>L2_Keyword</ability>
      <abilityName>固定表述</abilityName>
      <candidateList>
        <item>水源涵养与水土保持</item>
      </candidateList>
      <explain>词汇“水源涵养与水土保持”在特定场景下为固定表述形式，请确认此处的“水源涵养与土壤保持”是否存在不当。</explain>
      <paraID>1B31B212</paraID>
      <start>84</start>
      <end>93</end>
      <status>unmodified</status>
      <modifiedWord/>
      <trackRevisions>false</trackRevisions>
    </reviewItem>
    <reviewItem>
      <errorID>3bc7c21d-3ff4-48bc-bddd-dee42c3242f4</errorID>
      <errorWord>水源涵养与土壤保持</errorWord>
      <group>L1_Political</group>
      <groupName>政治性问题</groupName>
      <ability>L2_Keyword</ability>
      <abilityName>固定表述</abilityName>
      <candidateList>
        <item>水源涵养与水土保持</item>
      </candidateList>
      <explain>词汇“水源涵养与水土保持”在特定场景下为固定表述形式，请确认此处的“水源涵养与土壤保持”是否存在不当。</explain>
      <paraID>207F29F7</paraID>
      <start>84</start>
      <end>93</end>
      <status>unmodified</status>
      <modifiedWord/>
      <trackRevisions>false</trackRevisions>
    </reviewItem>
    <reviewItem>
      <errorID>b91a4977-ad15-4599-b2b0-69385c7ea094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6D414BD7</paraID>
      <start>0</start>
      <end>2</end>
      <status>unmodified</status>
      <modifiedWord/>
      <trackRevisions>false</trackRevisions>
    </reviewItem>
    <reviewItem>
      <errorID>b255768e-4cd2-48db-a42f-7e3eec8ec70a</errorID>
      <errorWord>主要以旱作耕地为主</errorWord>
      <group>L1_Grammar</group>
      <groupName>语法问题</groupName>
      <ability>L2_Grammar</ability>
      <abilityName>语法错误</abilityName>
      <candidateList>
        <item>以旱作耕地为主</item>
      </candidateList>
      <explain/>
      <paraID>640AB2B2</paraID>
      <start>66</start>
      <end>73</end>
      <status>modified</status>
      <modifiedWord>以旱作耕地为主</modifiedWord>
      <trackRevisions>false</trackRevisions>
    </reviewItem>
    <reviewItem>
      <errorID>5bc1d431-2432-4179-817a-5f1e760104fd</errorID>
      <errorWord>30%-50%</errorWord>
      <group>L1_Knowledge</group>
      <groupName>知识性问题</groupName>
      <ability>L2_Knowledge</ability>
      <abilityName>其他知识</abilityName>
      <candidateList>
        <item>30%—50%</item>
      </candidateList>
      <explain>1. “30%-50%”中的单位“%”仅出现在后一个数字上，容易引起歧义；根据《现代汉语标点符号数字用法规范手册》，数字表示范围两边需要使用统一的格式。2. 根据标点国标 4.13 中的规则，数字、时间或地域连接符应使用（视觉上更长的）“—”或“～”。</explain>
      <paraID>640AB2B2</paraID>
      <start>127</start>
      <end>134</end>
      <status>unmodified</status>
      <modifiedWord/>
      <trackRevisions>false</trackRevisions>
    </reviewItem>
    <reviewItem>
      <errorID>f0ba06fd-9690-4caa-851d-154a070a3a16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2C40C241</paraID>
      <start>0</start>
      <end>2</end>
      <status>unmodified</status>
      <modifiedWord/>
      <trackRevisions>false</trackRevisions>
    </reviewItem>
    <reviewItem>
      <errorID>f33145ff-a022-466e-aabd-505bde275d23</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6945E9AC</paraID>
      <start>136</start>
      <end>137</end>
      <status>unmodified</status>
      <modifiedWord/>
      <trackRevisions>false</trackRevisions>
    </reviewItem>
    <reviewItem>
      <errorID>3e26c8f1-1cea-4682-9cbc-fd6e89d26f93</errorID>
      <errorWord>卿</errorWord>
      <group>L1_Word</group>
      <groupName>字词问题</groupName>
      <ability>L2_Typo</ability>
      <abilityName>字词错误</abilityName>
      <candidateList>
        <item>鲟</item>
      </candidateList>
      <explain/>
      <paraID>735F17F8</paraID>
      <start>27</start>
      <end>28</end>
      <status>unmodified</status>
      <modifiedWord/>
      <trackRevisions>false</trackRevisions>
    </reviewItem>
    <reviewItem>
      <errorID>200d799a-c1a3-47a9-b981-05ed7110a075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37064A2B</paraID>
      <start>0</start>
      <end>2</end>
      <status>unmodified</status>
      <modifiedWord/>
      <trackRevisions>false</trackRevisions>
    </reviewItem>
    <reviewItem>
      <errorID>94b35fdd-f828-44db-8407-a9027ac84ad9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2FB92741</paraID>
      <start>0</start>
      <end>2</end>
      <status>unmodified</status>
      <modifiedWord/>
      <trackRevisions>false</trackRevisions>
    </reviewItem>
    <reviewItem>
      <errorID>26feb5af-6c8a-4031-8308-a36894c1d2a4</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6EF0D948</paraID>
      <start>88</start>
      <end>89</end>
      <status>unmodified</status>
      <modifiedWord/>
      <trackRevisions>false</trackRevisions>
    </reviewItem>
    <reviewItem>
      <errorID>6610f88f-250f-41c7-80ac-8d22d1251c56</errorID>
      <errorWord>)</errorWord>
      <group>L1_Format</group>
      <groupName>格式问题</groupName>
      <ability>L2_HalfPunc_CN</ability>
      <abilityName/>
      <candidateList>
        <item>）</item>
      </candidateList>
      <explain>文本全半角错误。</explain>
      <paraID> FEC6138</paraID>
      <start>10</start>
      <end>11</end>
      <status>modified</status>
      <modifiedWord>）</modifiedWord>
      <trackRevisions>false</trackRevisions>
    </reviewItem>
    <reviewItem>
      <errorID>cbe01185-28d4-4b81-bca9-b7fe69971ab6</errorID>
      <errorWord>，</errorWord>
      <group>L1_Format</group>
      <groupName>格式问题</groupName>
      <ability>L2_HalfPunc_CN</ability>
      <abilityName/>
      <candidateList>
        <item>, </item>
      </candidateList>
      <explain>文本全半角错误。</explain>
      <paraID> 960DE0F</paraID>
      <start>2</start>
      <end>3</end>
      <status>unmodified</status>
      <modifiedWord/>
      <trackRevisions>false</trackRevisions>
    </reviewItem>
    <reviewItem>
      <errorID>22877527-4ea2-4393-9b0e-fb7803e97906</errorID>
      <errorWord>，</errorWord>
      <group>L1_Format</group>
      <groupName>格式问题</groupName>
      <ability>L2_HalfPunc_CN</ability>
      <abilityName/>
      <candidateList>
        <item>, </item>
      </candidateList>
      <explain>文本全半角错误。</explain>
      <paraID> 960DE0F</paraID>
      <start>7</start>
      <end>8</end>
      <status>unmodified</status>
      <modifiedWord/>
      <trackRevisions>false</trackRevisions>
    </reviewItem>
    <reviewItem>
      <errorID>bade6a1b-c136-49ff-9189-80455aae08a2</errorID>
      <errorWord>pHj</errorWord>
      <group>L1_English</group>
      <groupName>英文问题</groupName>
      <ability>L2_Spell</ability>
      <abilityName>拼写问题</abilityName>
      <candidateList>
        <item>pH</item>
      </candidateList>
      <explain>疑似单词拼写有误，建议将pHj修改为pH</explain>
      <paraID>30A81A73</paraID>
      <start>0</start>
      <end>3</end>
      <status>unmodified</status>
      <modifiedWord/>
      <trackRevisions>false</trackRevisions>
    </reviewItem>
    <reviewItem>
      <errorID>d8a030c1-49e6-4b88-a22a-57b79ee05f35</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7DEA7F0</paraID>
      <start>82</start>
      <end>83</end>
      <status>unmodified</status>
      <modifiedWord/>
      <trackRevisions>false</trackRevisions>
    </reviewItem>
    <reviewItem>
      <errorID>57000a7c-16dc-45eb-a675-d22c0ca9bc9f</errorID>
      <errorWord>程</errorWord>
      <group>L1_Word</group>
      <groupName>字词问题</groupName>
      <ability>L2_Typo</ability>
      <abilityName>字词错误</abilityName>
      <candidateList>
        <item>程中</item>
      </candidateList>
      <explain/>
      <paraID>7D6A0DA7</paraID>
      <start>26</start>
      <end>27</end>
      <status>unmodified</status>
      <modifiedWord/>
      <trackRevisions>false</trackRevisions>
    </reviewItem>
    <reviewItem>
      <errorID>915e6560-e29c-4397-a60d-2fa5027afe6f</errorID>
      <errorWord>*</errorWord>
      <group>L1_Punc</group>
      <groupName>标点问题</groupName>
      <ability>L2_Punc_CN</ability>
      <abilityName/>
      <candidateList/>
      <explain/>
      <paraID>1006B619</paraID>
      <start>0</start>
      <end>1</end>
      <status>unmodified</status>
      <modifiedWord/>
      <trackRevisions>false</trackRevisions>
    </reviewItem>
    <reviewItem>
      <errorID>df5c2518-e794-4812-a79f-b63ca25f1d38</errorID>
      <errorWord>*</errorWord>
      <group>L1_Punc</group>
      <groupName>标点问题</groupName>
      <ability>L2_Punc_CN</ability>
      <abilityName/>
      <candidateList/>
      <explain/>
      <paraID>62218212</paraID>
      <start>0</start>
      <end>1</end>
      <status>unmodified</status>
      <modifiedWord/>
      <trackRevisions>false</trackRevisions>
    </reviewItem>
    <reviewItem>
      <errorID>ee7eab06-90f9-4752-847a-27a7ae7c49b2</errorID>
      <errorWord>（</errorWord>
      <group>L1_Format</group>
      <groupName>格式问题</groupName>
      <ability>L2_HalfPunc_CN</ability>
      <abilityName/>
      <candidateList>
        <item>(</item>
      </candidateList>
      <explain>文本全半角错误。</explain>
      <paraID>591A6AD8</paraID>
      <start>0</start>
      <end>1</end>
      <status>modified</status>
      <modifiedWord>(</modifiedWord>
      <trackRevisions>false</trackRevisions>
    </reviewItem>
    <reviewItem>
      <errorID>1b957258-af2e-4fa7-a025-b3564ff50084</errorID>
      <errorWord>）</errorWord>
      <group>L1_Format</group>
      <groupName>格式问题</groupName>
      <ability>L2_HalfPunc_CN</ability>
      <abilityName/>
      <candidateList>
        <item>)</item>
      </candidateList>
      <explain>文本全半角错误。</explain>
      <paraID>591A6AD8</paraID>
      <start>12</start>
      <end>13</end>
      <status>modified</status>
      <modifiedWord>)</modifiedWord>
      <trackRevisions>false</trackRevisions>
    </reviewItem>
    <reviewItem>
      <errorID>47eee6c5-b205-4307-a44d-08074dccbd5d</errorID>
      <errorWord>～</errorWord>
      <group>L1_Format</group>
      <groupName>格式问题</groupName>
      <ability>L2_HalfPunc_CN</ability>
      <abilityName/>
      <candidateList>
        <item>~</item>
      </candidateList>
      <explain>文本全半角错误。</explain>
      <paraID>2BB87CF0</paraID>
      <start>1</start>
      <end>2</end>
      <status>unmodified</status>
      <modifiedWord/>
      <trackRevisions>false</trackRevisions>
    </reviewItem>
    <reviewItem>
      <errorID>7a24ee1a-25ca-4339-b7cf-8f06ceb64ea3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3F1CBDE3</paraID>
      <start>0</start>
      <end>2</end>
      <status>unmodified</status>
      <modifiedWord/>
      <trackRevisions>false</trackRevisions>
    </reviewItem>
    <reviewItem>
      <errorID>b7f480a2-768e-4742-a929-e2788b7de744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34A76558</paraID>
      <start>0</start>
      <end>2</end>
      <status>unmodified</status>
      <modifiedWord/>
      <trackRevisions>false</trackRevisions>
    </reviewItem>
    <reviewItem>
      <errorID>28f8d502-7ff4-436e-8230-c27058f5d540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732A208B</paraID>
      <start>0</start>
      <end>2</end>
      <status>unmodified</status>
      <modifiedWord/>
      <trackRevisions>false</trackRevisions>
    </reviewItem>
    <reviewItem>
      <errorID>5ca76753-13ab-45d9-b2a3-5dacb96e8773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643A544</paraID>
      <start>0</start>
      <end>2</end>
      <status>unmodified</status>
      <modifiedWord/>
      <trackRevisions>false</trackRevisions>
    </reviewItem>
    <reviewItem>
      <errorID>e458da6a-8239-49d9-9b7b-a10eb1572409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6BB02033</paraID>
      <start>0</start>
      <end>2</end>
      <status>unmodified</status>
      <modifiedWord/>
      <trackRevisions>false</trackRevisions>
    </reviewItem>
    <reviewItem>
      <errorID>b7155e3b-7aaf-4656-93e5-13c6ac352b9c</errorID>
      <errorWord>r、</errorWord>
      <group>L1_Format</group>
      <groupName>格式问题</groupName>
      <ability>L2_Ordinal</ability>
      <abilityName>序号格式</abilityName>
      <candidateList>
        <item>r.</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482734F1</paraID>
      <start>0</start>
      <end>2</end>
      <status>unmodified</status>
      <modifiedWord/>
      <trackRevisions>false</trackRevisions>
    </reviewItem>
    <reviewItem>
      <errorID>22648350-a3f6-45ca-882f-ae3a3f9a7dd0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354316E4</paraID>
      <start>0</start>
      <end>2</end>
      <status>unmodified</status>
      <modifiedWord/>
      <trackRevisions>false</trackRevisions>
    </reviewItem>
    <reviewItem>
      <errorID>0ece3937-7894-466f-bcb0-dad1afffde8b</errorID>
      <errorWord>野生珍稀濒危</errorWord>
      <group>L1_Word</group>
      <groupName>字词问题</groupName>
      <ability>L2_Typo</ability>
      <abilityName>字词错误</abilityName>
      <candidateList>
        <item>珍稀濒危野生</item>
      </candidateList>
      <explain/>
      <paraID>3061A73C</paraID>
      <start>9</start>
      <end>15</end>
      <status>unmodified</status>
      <modifiedWord/>
      <trackRevisions>false</trackRevisions>
    </reviewItem>
    <reviewItem>
      <errorID>c522213e-2397-41af-baae-d8df3afefef1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540ED42F</paraID>
      <start>0</start>
      <end>2</end>
      <status>unmodified</status>
      <modifiedWord/>
      <trackRevisions>false</trackRevisions>
    </reviewItem>
    <reviewItem>
      <errorID>6bdf7d17-53f2-423a-b190-0f883ddbffd0</errorID>
      <errorWord>贱</errorWord>
      <group>L1_Word</group>
      <groupName>字词问题</groupName>
      <ability>L2_Typo</ability>
      <abilityName>字词错误</abilityName>
      <candidateList>
        <item>浆</item>
      </candidateList>
      <explain>存在发音相近字词的误用。</explain>
      <paraID>384B7CEE</paraID>
      <start>82</start>
      <end>83</end>
      <status>unmodified</status>
      <modifiedWord/>
      <trackRevisions>false</trackRevisions>
    </reviewItem>
    <reviewItem>
      <errorID>b448b697-1ef7-4a5d-a4dd-df99d2bb7aed</errorID>
      <errorWord>程</errorWord>
      <group>L1_Word</group>
      <groupName>字词问题</groupName>
      <ability>L2_Typo</ability>
      <abilityName>字词错误</abilityName>
      <candidateList>
        <item>程中</item>
      </candidateList>
      <explain/>
      <paraID>7001A4AB</paraID>
      <start>82</start>
      <end>83</end>
      <status>unmodified</status>
      <modifiedWord/>
      <trackRevisions>false</trackRevisions>
    </reviewItem>
    <reviewItem>
      <errorID>8cbe7bbb-24e3-4c12-ae78-b96b0ffdeffb</errorID>
      <errorWord>完</errorWord>
      <group>L1_Word</group>
      <groupName>字词问题</groupName>
      <ability>L2_Typo</ability>
      <abilityName>字词错误</abilityName>
      <candidateList>
        <item>完成</item>
      </candidateList>
      <explain>〈动〉按照预期的目的结束；做成：～任务｜～作业｜计划完得成。</explain>
      <paraID>2D6A2EC9</paraID>
      <start>87</start>
      <end>89</end>
      <status>modified</status>
      <modifiedWord>完成</modifiedWord>
      <trackRevisions>false</trackRevisions>
    </reviewItem>
    <reviewItem>
      <errorID>0d270839-7f3d-4449-b4dc-134bc8f5ea9f</errorID>
      <errorWord>撒水</errorWord>
      <group>L1_Word</group>
      <groupName>字词问题</groupName>
      <ability>L2_Typo</ability>
      <abilityName>字词错误</abilityName>
      <candidateList>
        <item>洒水</item>
      </candidateList>
      <explain/>
      <paraID>2D6A2EC9</paraID>
      <start>153</start>
      <end>155</end>
      <status>modified</status>
      <modifiedWord>洒水</modifiedWord>
      <trackRevisions>false</trackRevisions>
    </reviewItem>
    <reviewItem>
      <errorID>df383447-b5fc-4d2d-8eab-c840476b5387</errorID>
      <errorWord>沉砂池</errorWord>
      <group>L1_Word</group>
      <groupName>字词问题</groupName>
      <ability>L2_Typo</ability>
      <abilityName>字词错误</abilityName>
      <candidateList>
        <item>沉沙池</item>
      </candidateList>
      <explain>存在发音相同字词的误用。</explain>
      <paraID> 5A0220A</paraID>
      <start>111</start>
      <end>114</end>
      <status>modified</status>
      <modifiedWord>沉沙池</modifiedWord>
      <trackRevisions>false</trackRevisions>
    </reviewItem>
    <reviewItem>
      <errorID>e487dcdf-aa54-458f-8bc0-7c5e9f880754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37F5278C</paraID>
      <start>0</start>
      <end>2</end>
      <status>unmodified</status>
      <modifiedWord/>
      <trackRevisions>false</trackRevisions>
    </reviewItem>
    <reviewItem>
      <errorID>75a18eba-2c9b-4137-8cee-b07843aa2550</errorID>
      <errorWord>，</errorWord>
      <group>L1_Word</group>
      <groupName>字词问题</groupName>
      <ability>L2_Typo</ability>
      <abilityName>字词错误</abilityName>
      <candidateList>
        <item>，将</item>
      </candidateList>
      <explain/>
      <paraID>6F8831B1</paraID>
      <start>46</start>
      <end>48</end>
      <status>modified</status>
      <modifiedWord>，将</modifiedWord>
      <trackRevisions>false</trackRevisions>
    </reviewItem>
    <reviewItem>
      <errorID>c48b5d08-d8f1-4256-b66a-0d6d889ea094</errorID>
      <errorWord>抛撒</errorWord>
      <group>L1_Word</group>
      <groupName>字词问题</groupName>
      <ability>L2_Typo</ability>
      <abilityName>字词错误</abilityName>
      <candidateList>
        <item>抛洒</item>
      </candidateList>
      <explain>存在发音相同字词的误用。</explain>
      <paraID>4768025B</paraID>
      <start>73</start>
      <end>75</end>
      <status>unmodified</status>
      <modifiedWord/>
      <trackRevisions>false</trackRevisions>
    </reviewItem>
    <reviewItem>
      <errorID>fbef5287-b7f6-42f2-a1a9-fb7885df1d78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1C6A5BDD</paraID>
      <start>0</start>
      <end>2</end>
      <status>unmodified</status>
      <modifiedWord/>
      <trackRevisions>false</trackRevisions>
    </reviewItem>
    <reviewItem>
      <errorID>2a81c482-2783-403f-8ee0-4aa30020e123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47F76E42</paraID>
      <start>0</start>
      <end>2</end>
      <status>unmodified</status>
      <modifiedWord/>
      <trackRevisions>false</trackRevisions>
    </reviewItem>
    <reviewItem>
      <errorID>eecefdb0-c800-485f-8e80-b0174a6e72a4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14EF7BF8</paraID>
      <start>0</start>
      <end>2</end>
      <status>unmodified</status>
      <modifiedWord/>
      <trackRevisions>false</trackRevisions>
    </reviewItem>
    <reviewItem>
      <errorID>ffd3120d-ddbc-4805-bcc6-88f2f0bd2e11</errorID>
      <errorWord>管理办法》中</errorWord>
      <group>L1_Word</group>
      <groupName>字词问题</groupName>
      <ability>L2_Typo</ability>
      <abilityName>字词错误</abilityName>
      <candidateList>
        <item>管理办法》</item>
      </candidateList>
      <explain/>
      <paraID>7B8848B4</paraID>
      <start>20</start>
      <end>25</end>
      <status>modified</status>
      <modifiedWord>管理办法》</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69d504-107f-4025-8b95-7284fd6f8a17}">
  <ds:schemaRefs/>
</ds:datastoreItem>
</file>

<file path=docProps/app.xml><?xml version="1.0" encoding="utf-8"?>
<Properties xmlns="http://schemas.openxmlformats.org/officeDocument/2006/extended-properties" xmlns:vt="http://schemas.openxmlformats.org/officeDocument/2006/docPropsVTypes">
  <Template>Normal.dotm</Template>
  <Pages>67</Pages>
  <Words>40454</Words>
  <Characters>44772</Characters>
  <Lines>0</Lines>
  <Paragraphs>0</Paragraphs>
  <TotalTime>20</TotalTime>
  <ScaleCrop>false</ScaleCrop>
  <LinksUpToDate>false</LinksUpToDate>
  <CharactersWithSpaces>45107</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2025-07-16T05:59:00Z</dcterms:created>
  <dc:creator>Administrator</dc:creator>
  <cp:lastModifiedBy>maying</cp:lastModifiedBy>
  <cp:lastPrinted>2025-11-25T05:27:00Z</cp:lastPrinted>
  <dcterms:modified xsi:type="dcterms:W3CDTF">2026-05-26T02:32:43Z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2EFBA672B4404C739B368C2E7A206BB8_13</vt:lpwstr>
  </property>
  <property fmtid="{D5CDD505-2E9C-101B-9397-08002B2CF9AE}" pid="4" name="KSOTemplateDocerSaveRecord">
    <vt:lpwstr>eyJoZGlkIjoiY2VhNThmNjJmNTcyNmVhYjM1YmVhNGRjN2I4OWViNDgiLCJ1c2VySWQiOiIzMTcwNTQ0NjIifQ==</vt:lpwstr>
  </property>
</Properties>
</file>